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67" w:rsidRPr="00AC7B43" w:rsidRDefault="00F42967" w:rsidP="00E375B2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 xml:space="preserve">Online </w:t>
      </w:r>
      <w:r w:rsidRPr="00AC7B43">
        <w:rPr>
          <w:rFonts w:cs="Arial"/>
          <w:b/>
        </w:rPr>
        <w:t>Supplementary Tables</w:t>
      </w:r>
    </w:p>
    <w:p w:rsidR="00F42967" w:rsidRPr="00DB6372" w:rsidRDefault="00F42967" w:rsidP="00E375B2">
      <w:pPr>
        <w:spacing w:line="360" w:lineRule="auto"/>
        <w:rPr>
          <w:rFonts w:cs="Arial"/>
          <w:b/>
          <w:sz w:val="22"/>
          <w:szCs w:val="22"/>
        </w:rPr>
      </w:pPr>
      <w:r w:rsidRPr="00DB6372">
        <w:rPr>
          <w:rFonts w:cs="Arial"/>
          <w:b/>
          <w:sz w:val="22"/>
          <w:szCs w:val="22"/>
        </w:rPr>
        <w:t xml:space="preserve">Table </w:t>
      </w:r>
      <w:proofErr w:type="gramStart"/>
      <w:r w:rsidRPr="00DB6372">
        <w:rPr>
          <w:rFonts w:cs="Arial"/>
          <w:b/>
          <w:sz w:val="22"/>
          <w:szCs w:val="22"/>
        </w:rPr>
        <w:t xml:space="preserve">S1  </w:t>
      </w:r>
      <w:r w:rsidRPr="00DB6372">
        <w:rPr>
          <w:rFonts w:cs="Arial"/>
          <w:sz w:val="22"/>
          <w:szCs w:val="22"/>
        </w:rPr>
        <w:t>Primary</w:t>
      </w:r>
      <w:proofErr w:type="gramEnd"/>
      <w:r w:rsidRPr="00DB6372">
        <w:rPr>
          <w:rFonts w:cs="Arial"/>
          <w:sz w:val="22"/>
          <w:szCs w:val="22"/>
        </w:rPr>
        <w:t>, secondary, and exploratory efficacy endpoints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6948"/>
      </w:tblGrid>
      <w:tr w:rsidR="00F42967" w:rsidRPr="00DB6372" w:rsidTr="00CF6E85">
        <w:tc>
          <w:tcPr>
            <w:tcW w:w="88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2967" w:rsidRPr="00DB6372" w:rsidRDefault="00F42967" w:rsidP="00CF6E85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B6372">
              <w:rPr>
                <w:rFonts w:cs="Arial"/>
                <w:b/>
                <w:sz w:val="22"/>
                <w:szCs w:val="22"/>
              </w:rPr>
              <w:t>Efficacy endpoints</w:t>
            </w:r>
          </w:p>
        </w:tc>
      </w:tr>
      <w:tr w:rsidR="00F42967" w:rsidRPr="00DB6372" w:rsidTr="00CF6E85">
        <w:tc>
          <w:tcPr>
            <w:tcW w:w="1908" w:type="dxa"/>
            <w:tcBorders>
              <w:top w:val="single" w:sz="12" w:space="0" w:color="auto"/>
            </w:tcBorders>
          </w:tcPr>
          <w:p w:rsidR="00F42967" w:rsidRPr="00DB6372" w:rsidRDefault="00F42967" w:rsidP="00CF6E8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B6372">
              <w:rPr>
                <w:rFonts w:cs="Arial"/>
                <w:b/>
                <w:sz w:val="22"/>
                <w:szCs w:val="22"/>
              </w:rPr>
              <w:t>Primary</w:t>
            </w:r>
          </w:p>
        </w:tc>
        <w:tc>
          <w:tcPr>
            <w:tcW w:w="6948" w:type="dxa"/>
            <w:tcBorders>
              <w:top w:val="single" w:sz="12" w:space="0" w:color="auto"/>
            </w:tcBorders>
          </w:tcPr>
          <w:p w:rsidR="00F42967" w:rsidRPr="00DD7F4E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DD7F4E">
              <w:rPr>
                <w:rFonts w:cs="Arial"/>
                <w:sz w:val="22"/>
                <w:szCs w:val="22"/>
              </w:rPr>
              <w:t>Modif</w:t>
            </w:r>
            <w:r>
              <w:rPr>
                <w:rFonts w:cs="Arial"/>
                <w:sz w:val="22"/>
                <w:szCs w:val="22"/>
              </w:rPr>
              <w:t>i</w:t>
            </w:r>
            <w:r w:rsidRPr="00DD7F4E">
              <w:rPr>
                <w:rFonts w:cs="Arial"/>
                <w:sz w:val="22"/>
                <w:szCs w:val="22"/>
              </w:rPr>
              <w:t>ed ACR20 response* at week 16</w:t>
            </w:r>
            <w:r w:rsidRPr="00DD7F4E">
              <w:rPr>
                <w:rFonts w:cs="Arial"/>
                <w:noProof/>
                <w:sz w:val="22"/>
                <w:szCs w:val="22"/>
                <w:vertAlign w:val="superscript"/>
              </w:rPr>
              <w:t>1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B6372">
              <w:rPr>
                <w:rFonts w:cs="Arial"/>
                <w:b/>
                <w:sz w:val="22"/>
                <w:szCs w:val="22"/>
              </w:rPr>
              <w:t>Key secondary</w:t>
            </w:r>
          </w:p>
        </w:tc>
        <w:tc>
          <w:tcPr>
            <w:tcW w:w="6948" w:type="dxa"/>
          </w:tcPr>
          <w:p w:rsidR="00F42967" w:rsidRPr="00DD7F4E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DD7F4E">
              <w:rPr>
                <w:rFonts w:cs="Arial"/>
                <w:sz w:val="22"/>
                <w:szCs w:val="22"/>
              </w:rPr>
              <w:t>Change from baseline in HAQ-DI score</w:t>
            </w:r>
            <w:r>
              <w:rPr>
                <w:rFonts w:cs="Arial"/>
                <w:sz w:val="22"/>
                <w:szCs w:val="22"/>
                <w:vertAlign w:val="superscript"/>
              </w:rPr>
              <w:t>†</w:t>
            </w:r>
            <w:r w:rsidRPr="00DD7F4E">
              <w:rPr>
                <w:rFonts w:cs="Arial"/>
                <w:sz w:val="22"/>
                <w:szCs w:val="22"/>
              </w:rPr>
              <w:t xml:space="preserve"> at week 16</w:t>
            </w:r>
            <w:r w:rsidRPr="00DD7F4E">
              <w:rPr>
                <w:rFonts w:cs="Arial"/>
                <w:noProof/>
                <w:sz w:val="22"/>
                <w:szCs w:val="22"/>
                <w:vertAlign w:val="superscript"/>
              </w:rPr>
              <w:t>2, 3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B6372">
              <w:rPr>
                <w:rFonts w:cs="Arial"/>
                <w:b/>
                <w:sz w:val="22"/>
                <w:szCs w:val="22"/>
              </w:rPr>
              <w:t>Secondary</w:t>
            </w:r>
          </w:p>
        </w:tc>
        <w:tc>
          <w:tcPr>
            <w:tcW w:w="6948" w:type="dxa"/>
          </w:tcPr>
          <w:p w:rsidR="00F42967" w:rsidRPr="009F7623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9F7623">
              <w:rPr>
                <w:rFonts w:cs="Arial"/>
                <w:sz w:val="22"/>
                <w:szCs w:val="22"/>
              </w:rPr>
              <w:t>ACR20 response at week 24</w:t>
            </w:r>
            <w:r w:rsidRPr="009F7623">
              <w:rPr>
                <w:rFonts w:cs="Arial"/>
                <w:noProof/>
                <w:sz w:val="22"/>
                <w:szCs w:val="22"/>
                <w:vertAlign w:val="superscript"/>
              </w:rPr>
              <w:t>1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9F7623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9F7623">
              <w:rPr>
                <w:rFonts w:cs="Arial"/>
                <w:sz w:val="22"/>
                <w:szCs w:val="22"/>
              </w:rPr>
              <w:t>Change from baseline in HAQ-DI score at week 24</w:t>
            </w:r>
            <w:r w:rsidRPr="009F7623">
              <w:rPr>
                <w:rFonts w:cs="Arial"/>
                <w:noProof/>
                <w:sz w:val="22"/>
                <w:szCs w:val="22"/>
                <w:vertAlign w:val="superscript"/>
              </w:rPr>
              <w:t>2, 3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004989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004989">
              <w:rPr>
                <w:rFonts w:cs="Arial"/>
                <w:sz w:val="22"/>
                <w:szCs w:val="22"/>
              </w:rPr>
              <w:t>Change from baseline in the SF-36v2 Physical Functioning scale score (norm-based) at week 24</w:t>
            </w:r>
            <w:r w:rsidRPr="00004989">
              <w:rPr>
                <w:rFonts w:cs="Arial"/>
                <w:noProof/>
                <w:sz w:val="22"/>
                <w:szCs w:val="22"/>
                <w:vertAlign w:val="superscript"/>
              </w:rPr>
              <w:t>4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004989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004989">
              <w:rPr>
                <w:rFonts w:cs="Arial"/>
                <w:sz w:val="22"/>
                <w:szCs w:val="22"/>
              </w:rPr>
              <w:t xml:space="preserve">Modified </w:t>
            </w:r>
            <w:proofErr w:type="spellStart"/>
            <w:r w:rsidRPr="00004989">
              <w:rPr>
                <w:rFonts w:cs="Arial"/>
                <w:sz w:val="22"/>
                <w:szCs w:val="22"/>
              </w:rPr>
              <w:t>PsARC</w:t>
            </w:r>
            <w:proofErr w:type="spellEnd"/>
            <w:r w:rsidRPr="00004989">
              <w:rPr>
                <w:rFonts w:cs="Arial"/>
                <w:sz w:val="22"/>
                <w:szCs w:val="22"/>
              </w:rPr>
              <w:t xml:space="preserve"> response</w:t>
            </w:r>
            <w:r w:rsidRPr="00004989">
              <w:rPr>
                <w:rFonts w:cs="Arial"/>
                <w:sz w:val="22"/>
                <w:szCs w:val="22"/>
                <w:vertAlign w:val="superscript"/>
              </w:rPr>
              <w:t>‡</w:t>
            </w:r>
            <w:r w:rsidRPr="00004989">
              <w:rPr>
                <w:rFonts w:cs="Arial"/>
                <w:sz w:val="22"/>
                <w:szCs w:val="22"/>
              </w:rPr>
              <w:t xml:space="preserve"> at week 24</w:t>
            </w:r>
            <w:r w:rsidRPr="00004989">
              <w:rPr>
                <w:rFonts w:cs="Arial"/>
                <w:noProof/>
                <w:sz w:val="22"/>
                <w:szCs w:val="22"/>
                <w:vertAlign w:val="superscript"/>
              </w:rPr>
              <w:t>5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004989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004989">
              <w:rPr>
                <w:rFonts w:cs="Arial"/>
                <w:sz w:val="22"/>
                <w:szCs w:val="22"/>
              </w:rPr>
              <w:t>Change from baseline in the patient assessment of pain at week 24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004989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004989">
              <w:rPr>
                <w:rFonts w:cs="Arial"/>
                <w:sz w:val="22"/>
                <w:szCs w:val="22"/>
              </w:rPr>
              <w:t xml:space="preserve">Change from baseline in the MASES at week 24 in patients with </w:t>
            </w:r>
            <w:proofErr w:type="spellStart"/>
            <w:r w:rsidRPr="00004989">
              <w:rPr>
                <w:rFonts w:cs="Arial"/>
                <w:sz w:val="22"/>
                <w:szCs w:val="22"/>
              </w:rPr>
              <w:t>enthesitis</w:t>
            </w:r>
            <w:proofErr w:type="spellEnd"/>
            <w:r w:rsidRPr="00004989">
              <w:rPr>
                <w:rFonts w:cs="Arial"/>
                <w:sz w:val="22"/>
                <w:szCs w:val="22"/>
              </w:rPr>
              <w:t xml:space="preserve"> at baseline</w:t>
            </w:r>
            <w:r w:rsidRPr="00004989">
              <w:rPr>
                <w:rFonts w:cs="Arial"/>
                <w:noProof/>
                <w:sz w:val="22"/>
                <w:szCs w:val="22"/>
                <w:vertAlign w:val="superscript"/>
              </w:rPr>
              <w:t>6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8201A7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8201A7">
              <w:rPr>
                <w:rFonts w:cs="Arial"/>
                <w:sz w:val="22"/>
                <w:szCs w:val="22"/>
              </w:rPr>
              <w:t xml:space="preserve">Change from baseline in the </w:t>
            </w:r>
            <w:proofErr w:type="spellStart"/>
            <w:r w:rsidRPr="008201A7">
              <w:rPr>
                <w:rFonts w:cs="Arial"/>
                <w:sz w:val="22"/>
                <w:szCs w:val="22"/>
              </w:rPr>
              <w:t>dactylitis</w:t>
            </w:r>
            <w:proofErr w:type="spellEnd"/>
            <w:r w:rsidRPr="008201A7">
              <w:rPr>
                <w:rFonts w:cs="Arial"/>
                <w:sz w:val="22"/>
                <w:szCs w:val="22"/>
              </w:rPr>
              <w:t xml:space="preserve"> count</w:t>
            </w:r>
            <w:r w:rsidRPr="008201A7">
              <w:rPr>
                <w:rFonts w:cs="Arial"/>
                <w:color w:val="221E1F"/>
                <w:sz w:val="22"/>
                <w:szCs w:val="22"/>
                <w:vertAlign w:val="superscript"/>
              </w:rPr>
              <w:t>§</w:t>
            </w:r>
            <w:r w:rsidRPr="008201A7">
              <w:rPr>
                <w:rFonts w:cs="Arial"/>
                <w:sz w:val="22"/>
                <w:szCs w:val="22"/>
              </w:rPr>
              <w:t xml:space="preserve"> at week 24 in patients with </w:t>
            </w:r>
            <w:proofErr w:type="spellStart"/>
            <w:r w:rsidRPr="008201A7">
              <w:rPr>
                <w:rFonts w:cs="Arial"/>
                <w:sz w:val="22"/>
                <w:szCs w:val="22"/>
              </w:rPr>
              <w:t>dactylitis</w:t>
            </w:r>
            <w:proofErr w:type="spellEnd"/>
            <w:r w:rsidRPr="008201A7">
              <w:rPr>
                <w:rFonts w:cs="Arial"/>
                <w:sz w:val="22"/>
                <w:szCs w:val="22"/>
              </w:rPr>
              <w:t xml:space="preserve"> at baseline</w:t>
            </w:r>
            <w:r w:rsidRPr="008201A7">
              <w:rPr>
                <w:rFonts w:cs="Arial"/>
                <w:noProof/>
                <w:sz w:val="22"/>
                <w:szCs w:val="22"/>
                <w:vertAlign w:val="superscript"/>
              </w:rPr>
              <w:t>7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8201A7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8201A7">
              <w:rPr>
                <w:rFonts w:cs="Arial"/>
                <w:sz w:val="22"/>
                <w:szCs w:val="22"/>
              </w:rPr>
              <w:t>Change from baseline in the DAS-28 (CRP) at week 24</w:t>
            </w:r>
            <w:r w:rsidRPr="008201A7">
              <w:rPr>
                <w:rFonts w:cs="Arial"/>
                <w:noProof/>
                <w:sz w:val="22"/>
                <w:szCs w:val="22"/>
                <w:vertAlign w:val="superscript"/>
              </w:rPr>
              <w:t>8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8201A7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8201A7">
              <w:rPr>
                <w:rFonts w:cs="Arial"/>
                <w:sz w:val="22"/>
                <w:szCs w:val="22"/>
              </w:rPr>
              <w:t>Change from baseline in the CDAI score at week 24</w:t>
            </w:r>
            <w:r w:rsidRPr="008201A7">
              <w:rPr>
                <w:rFonts w:cs="Arial"/>
                <w:noProof/>
                <w:sz w:val="22"/>
                <w:szCs w:val="22"/>
                <w:vertAlign w:val="superscript"/>
              </w:rPr>
              <w:t>9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4D73DB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4D73DB">
              <w:rPr>
                <w:rFonts w:cs="Arial"/>
                <w:sz w:val="22"/>
                <w:szCs w:val="22"/>
              </w:rPr>
              <w:t>Proportion of patients achieving good or moderate EULAR response</w:t>
            </w:r>
            <w:r w:rsidRPr="004D73DB">
              <w:rPr>
                <w:rFonts w:ascii="Times New Roman" w:hAnsi="Times New Roman"/>
                <w:sz w:val="22"/>
                <w:szCs w:val="22"/>
                <w:vertAlign w:val="superscript"/>
              </w:rPr>
              <w:t>‖</w:t>
            </w:r>
            <w:r w:rsidRPr="004D73DB">
              <w:rPr>
                <w:rFonts w:cs="Arial"/>
                <w:sz w:val="22"/>
                <w:szCs w:val="22"/>
              </w:rPr>
              <w:t xml:space="preserve"> at week 24</w:t>
            </w:r>
            <w:r w:rsidRPr="004D73DB">
              <w:rPr>
                <w:rFonts w:cs="Arial"/>
                <w:noProof/>
                <w:sz w:val="22"/>
                <w:szCs w:val="22"/>
                <w:vertAlign w:val="superscript"/>
              </w:rPr>
              <w:t>10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825284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4D73DB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4D73DB">
              <w:rPr>
                <w:rFonts w:cs="Arial"/>
                <w:sz w:val="22"/>
                <w:szCs w:val="22"/>
              </w:rPr>
              <w:t>ACR50 response at week 24</w:t>
            </w:r>
            <w:r w:rsidRPr="004D73DB">
              <w:rPr>
                <w:rFonts w:cs="Arial"/>
                <w:noProof/>
                <w:sz w:val="22"/>
                <w:szCs w:val="22"/>
                <w:vertAlign w:val="superscript"/>
              </w:rPr>
              <w:t>1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825284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825284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825284">
              <w:rPr>
                <w:rFonts w:cs="Arial"/>
                <w:sz w:val="22"/>
                <w:szCs w:val="22"/>
              </w:rPr>
              <w:t>ACR70 response at week 24</w:t>
            </w:r>
            <w:r w:rsidRPr="00825284">
              <w:rPr>
                <w:rFonts w:cs="Arial"/>
                <w:noProof/>
                <w:sz w:val="22"/>
                <w:szCs w:val="22"/>
                <w:vertAlign w:val="superscript"/>
              </w:rPr>
              <w:t>1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944CB2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944CB2">
              <w:rPr>
                <w:rFonts w:cs="Arial"/>
                <w:sz w:val="22"/>
                <w:szCs w:val="22"/>
              </w:rPr>
              <w:t xml:space="preserve">Proportion of patients with </w:t>
            </w:r>
            <w:proofErr w:type="spellStart"/>
            <w:r w:rsidRPr="00944CB2">
              <w:rPr>
                <w:rFonts w:cs="Arial"/>
                <w:sz w:val="22"/>
                <w:szCs w:val="22"/>
              </w:rPr>
              <w:t>enthesitis</w:t>
            </w:r>
            <w:proofErr w:type="spellEnd"/>
            <w:r w:rsidRPr="00944CB2">
              <w:rPr>
                <w:rFonts w:cs="Arial"/>
                <w:sz w:val="22"/>
                <w:szCs w:val="22"/>
              </w:rPr>
              <w:t xml:space="preserve"> at baseline whose MASES improves from baseline to 0 at week 24</w:t>
            </w:r>
            <w:r w:rsidRPr="00944CB2">
              <w:rPr>
                <w:rFonts w:cs="Arial"/>
                <w:noProof/>
                <w:sz w:val="22"/>
                <w:szCs w:val="22"/>
                <w:vertAlign w:val="superscript"/>
              </w:rPr>
              <w:t>6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ind w:left="540"/>
              <w:rPr>
                <w:rFonts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:rsidR="00F42967" w:rsidRPr="004D73DB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4D73DB">
              <w:rPr>
                <w:rFonts w:cs="Arial"/>
                <w:sz w:val="22"/>
                <w:szCs w:val="22"/>
              </w:rPr>
              <w:t xml:space="preserve">Proportion of patients with </w:t>
            </w:r>
            <w:proofErr w:type="spellStart"/>
            <w:r w:rsidRPr="004D73DB">
              <w:rPr>
                <w:rFonts w:cs="Arial"/>
                <w:sz w:val="22"/>
                <w:szCs w:val="22"/>
              </w:rPr>
              <w:t>dactylitis</w:t>
            </w:r>
            <w:proofErr w:type="spellEnd"/>
            <w:r w:rsidRPr="004D73DB">
              <w:rPr>
                <w:rFonts w:cs="Arial"/>
                <w:sz w:val="22"/>
                <w:szCs w:val="22"/>
              </w:rPr>
              <w:t xml:space="preserve"> at baseline whose </w:t>
            </w:r>
            <w:proofErr w:type="spellStart"/>
            <w:r w:rsidRPr="004D73DB">
              <w:rPr>
                <w:rFonts w:cs="Arial"/>
                <w:sz w:val="22"/>
                <w:szCs w:val="22"/>
              </w:rPr>
              <w:t>dactylitis</w:t>
            </w:r>
            <w:proofErr w:type="spellEnd"/>
            <w:r w:rsidRPr="004D73DB">
              <w:rPr>
                <w:rFonts w:cs="Arial"/>
                <w:sz w:val="22"/>
                <w:szCs w:val="22"/>
              </w:rPr>
              <w:t xml:space="preserve"> count improves from baseline to 0 at week 24</w:t>
            </w:r>
            <w:r w:rsidRPr="004D73DB">
              <w:rPr>
                <w:rFonts w:cs="Arial"/>
                <w:noProof/>
                <w:sz w:val="22"/>
                <w:szCs w:val="22"/>
                <w:vertAlign w:val="superscript"/>
              </w:rPr>
              <w:t>7</w:t>
            </w:r>
          </w:p>
        </w:tc>
      </w:tr>
      <w:tr w:rsidR="00F42967" w:rsidRPr="00DB6372" w:rsidTr="00CF6E85">
        <w:tc>
          <w:tcPr>
            <w:tcW w:w="1908" w:type="dxa"/>
          </w:tcPr>
          <w:p w:rsidR="00F42967" w:rsidRPr="00DB6372" w:rsidRDefault="00F42967" w:rsidP="00CF6E8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B6372">
              <w:rPr>
                <w:rFonts w:cs="Arial"/>
                <w:b/>
                <w:sz w:val="22"/>
                <w:szCs w:val="22"/>
              </w:rPr>
              <w:t>Exploratory</w:t>
            </w:r>
          </w:p>
        </w:tc>
        <w:tc>
          <w:tcPr>
            <w:tcW w:w="6948" w:type="dxa"/>
          </w:tcPr>
          <w:p w:rsidR="00F42967" w:rsidRPr="004D73DB" w:rsidRDefault="00F42967" w:rsidP="00CF6E85">
            <w:pPr>
              <w:tabs>
                <w:tab w:val="clear" w:pos="0"/>
              </w:tabs>
              <w:spacing w:line="276" w:lineRule="auto"/>
              <w:ind w:left="162" w:hanging="162"/>
              <w:rPr>
                <w:rFonts w:cs="Arial"/>
                <w:sz w:val="22"/>
                <w:szCs w:val="22"/>
              </w:rPr>
            </w:pPr>
            <w:r w:rsidRPr="004D73DB">
              <w:rPr>
                <w:rFonts w:cs="Arial"/>
                <w:sz w:val="22"/>
                <w:szCs w:val="22"/>
              </w:rPr>
              <w:t>PASI-75 response</w:t>
            </w:r>
            <w:r w:rsidRPr="004D73DB">
              <w:rPr>
                <w:rFonts w:cs="Arial"/>
                <w:sz w:val="22"/>
                <w:szCs w:val="22"/>
                <w:vertAlign w:val="superscript"/>
              </w:rPr>
              <w:t>¶</w:t>
            </w:r>
            <w:r w:rsidRPr="004D73DB">
              <w:rPr>
                <w:rFonts w:cs="Arial"/>
                <w:sz w:val="22"/>
                <w:szCs w:val="22"/>
              </w:rPr>
              <w:t xml:space="preserve"> at week 24 among patients with psoriasis body surface area ≥3% at baseline</w:t>
            </w:r>
            <w:r w:rsidRPr="004D73DB">
              <w:rPr>
                <w:rFonts w:cs="Arial"/>
                <w:noProof/>
                <w:sz w:val="22"/>
                <w:szCs w:val="22"/>
                <w:vertAlign w:val="superscript"/>
              </w:rPr>
              <w:t>11</w:t>
            </w:r>
          </w:p>
        </w:tc>
      </w:tr>
      <w:tr w:rsidR="00F42967" w:rsidRPr="00DB6372" w:rsidTr="00CF6E85">
        <w:tc>
          <w:tcPr>
            <w:tcW w:w="1908" w:type="dxa"/>
            <w:tcBorders>
              <w:bottom w:val="single" w:sz="12" w:space="0" w:color="auto"/>
            </w:tcBorders>
          </w:tcPr>
          <w:p w:rsidR="00F42967" w:rsidRPr="00DB6372" w:rsidRDefault="00F42967" w:rsidP="00CF6E85">
            <w:pPr>
              <w:spacing w:line="276" w:lineRule="auto"/>
              <w:ind w:left="36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948" w:type="dxa"/>
            <w:tcBorders>
              <w:bottom w:val="single" w:sz="12" w:space="0" w:color="auto"/>
            </w:tcBorders>
          </w:tcPr>
          <w:p w:rsidR="00F42967" w:rsidRPr="004D73DB" w:rsidRDefault="00F42967" w:rsidP="00CF6E8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D73DB">
              <w:rPr>
                <w:rFonts w:cs="Arial"/>
                <w:sz w:val="22"/>
                <w:szCs w:val="22"/>
              </w:rPr>
              <w:t>PASI-50 response at week 24 among patients with psoriasis body surface area ≥3% at baseline</w:t>
            </w:r>
            <w:r w:rsidRPr="004D73DB">
              <w:rPr>
                <w:rFonts w:cs="Arial"/>
                <w:noProof/>
                <w:sz w:val="22"/>
                <w:szCs w:val="22"/>
                <w:vertAlign w:val="superscript"/>
              </w:rPr>
              <w:t>11</w:t>
            </w:r>
          </w:p>
        </w:tc>
      </w:tr>
    </w:tbl>
    <w:p w:rsidR="00F42967" w:rsidRPr="00DB6372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2"/>
        </w:rPr>
      </w:pPr>
      <w:r w:rsidRPr="00DB6372">
        <w:rPr>
          <w:rFonts w:ascii="Arial" w:hAnsi="Arial" w:cs="Arial"/>
          <w:color w:val="221E1F"/>
          <w:sz w:val="20"/>
          <w:szCs w:val="12"/>
        </w:rPr>
        <w:t xml:space="preserve">*The modified ACR20 response requires ≥20% improvement from baseline in </w:t>
      </w:r>
      <w:r>
        <w:rPr>
          <w:rFonts w:ascii="Arial" w:hAnsi="Arial" w:cs="Arial"/>
          <w:color w:val="221E1F"/>
          <w:sz w:val="20"/>
          <w:szCs w:val="12"/>
        </w:rPr>
        <w:t>swollen or</w:t>
      </w:r>
      <w:r w:rsidRPr="00DB6372">
        <w:rPr>
          <w:rFonts w:ascii="Arial" w:hAnsi="Arial" w:cs="Arial"/>
          <w:color w:val="221E1F"/>
          <w:sz w:val="20"/>
          <w:szCs w:val="12"/>
        </w:rPr>
        <w:t xml:space="preserve"> </w:t>
      </w:r>
      <w:r>
        <w:rPr>
          <w:rFonts w:ascii="Arial" w:hAnsi="Arial" w:cs="Arial"/>
          <w:color w:val="221E1F"/>
          <w:sz w:val="20"/>
          <w:szCs w:val="12"/>
        </w:rPr>
        <w:t>tender joint counts</w:t>
      </w:r>
      <w:r w:rsidRPr="00DB6372">
        <w:rPr>
          <w:rFonts w:ascii="Arial" w:hAnsi="Arial" w:cs="Arial"/>
          <w:color w:val="221E1F"/>
          <w:sz w:val="20"/>
          <w:szCs w:val="12"/>
        </w:rPr>
        <w:t xml:space="preserve">, based on evaluation of 76 swollen and 78 tender joints, plus ≥20% improvement in </w:t>
      </w:r>
      <w:r>
        <w:rPr>
          <w:rFonts w:ascii="Arial" w:hAnsi="Arial" w:cs="Arial"/>
          <w:color w:val="221E1F"/>
          <w:sz w:val="20"/>
          <w:szCs w:val="12"/>
        </w:rPr>
        <w:t>three</w:t>
      </w:r>
      <w:r w:rsidRPr="00DB6372">
        <w:rPr>
          <w:rFonts w:ascii="Arial" w:hAnsi="Arial" w:cs="Arial"/>
          <w:color w:val="221E1F"/>
          <w:sz w:val="20"/>
          <w:szCs w:val="12"/>
        </w:rPr>
        <w:t xml:space="preserve"> of the following: patient</w:t>
      </w:r>
      <w:r>
        <w:rPr>
          <w:rFonts w:ascii="Arial" w:hAnsi="Arial" w:cs="Arial"/>
          <w:color w:val="221E1F"/>
          <w:sz w:val="20"/>
          <w:szCs w:val="12"/>
        </w:rPr>
        <w:t>’s</w:t>
      </w:r>
      <w:r w:rsidRPr="00DB6372">
        <w:rPr>
          <w:rFonts w:ascii="Arial" w:hAnsi="Arial" w:cs="Arial"/>
          <w:color w:val="221E1F"/>
          <w:sz w:val="20"/>
          <w:szCs w:val="12"/>
        </w:rPr>
        <w:t xml:space="preserve"> global assessment of disease </w:t>
      </w:r>
      <w:r w:rsidRPr="00DD7F4E">
        <w:rPr>
          <w:rFonts w:ascii="Arial" w:hAnsi="Arial" w:cs="Arial"/>
          <w:color w:val="221E1F"/>
          <w:sz w:val="20"/>
          <w:szCs w:val="12"/>
        </w:rPr>
        <w:t>activity</w:t>
      </w:r>
      <w:r w:rsidRPr="00DD7F4E">
        <w:rPr>
          <w:rFonts w:ascii="Arial" w:hAnsi="Arial" w:cs="Arial"/>
          <w:noProof/>
          <w:color w:val="221E1F"/>
          <w:sz w:val="20"/>
          <w:szCs w:val="12"/>
          <w:vertAlign w:val="superscript"/>
        </w:rPr>
        <w:t>1</w:t>
      </w:r>
      <w:r w:rsidRPr="00DD7F4E">
        <w:rPr>
          <w:rFonts w:ascii="Arial" w:hAnsi="Arial" w:cs="Arial"/>
          <w:color w:val="221E1F"/>
          <w:sz w:val="20"/>
          <w:szCs w:val="12"/>
        </w:rPr>
        <w:t xml:space="preserve"> (0</w:t>
      </w:r>
      <w:r>
        <w:rPr>
          <w:rFonts w:ascii="Arial" w:hAnsi="Arial" w:cs="Arial"/>
          <w:color w:val="221E1F"/>
          <w:sz w:val="20"/>
          <w:szCs w:val="12"/>
        </w:rPr>
        <w:t>-</w:t>
      </w:r>
      <w:r w:rsidRPr="00DD7F4E">
        <w:rPr>
          <w:rFonts w:ascii="Arial" w:hAnsi="Arial" w:cs="Arial"/>
          <w:color w:val="221E1F"/>
          <w:sz w:val="20"/>
          <w:szCs w:val="12"/>
        </w:rPr>
        <w:t>100 mm VAS); physician</w:t>
      </w:r>
      <w:r>
        <w:rPr>
          <w:rFonts w:ascii="Arial" w:hAnsi="Arial" w:cs="Arial"/>
          <w:color w:val="221E1F"/>
          <w:sz w:val="20"/>
          <w:szCs w:val="12"/>
        </w:rPr>
        <w:t>’s</w:t>
      </w:r>
      <w:r w:rsidRPr="00DD7F4E">
        <w:rPr>
          <w:rFonts w:ascii="Arial" w:hAnsi="Arial" w:cs="Arial"/>
          <w:color w:val="221E1F"/>
          <w:sz w:val="20"/>
          <w:szCs w:val="12"/>
        </w:rPr>
        <w:t xml:space="preserve"> global assessment of disease activity</w:t>
      </w:r>
      <w:r>
        <w:rPr>
          <w:rFonts w:ascii="Arial" w:hAnsi="Arial" w:cs="Arial"/>
          <w:color w:val="221E1F"/>
          <w:sz w:val="20"/>
          <w:szCs w:val="12"/>
        </w:rPr>
        <w:t xml:space="preserve"> (VAS)</w:t>
      </w:r>
      <w:r w:rsidRPr="00DD7F4E">
        <w:rPr>
          <w:rFonts w:ascii="Arial" w:hAnsi="Arial" w:cs="Arial"/>
          <w:noProof/>
          <w:color w:val="221E1F"/>
          <w:sz w:val="20"/>
          <w:szCs w:val="12"/>
          <w:vertAlign w:val="superscript"/>
        </w:rPr>
        <w:t>1</w:t>
      </w:r>
      <w:r w:rsidRPr="00DD7F4E">
        <w:rPr>
          <w:rFonts w:ascii="Arial" w:hAnsi="Arial" w:cs="Arial"/>
          <w:color w:val="221E1F"/>
          <w:sz w:val="20"/>
          <w:szCs w:val="12"/>
        </w:rPr>
        <w:t>; patient</w:t>
      </w:r>
      <w:r>
        <w:rPr>
          <w:rFonts w:ascii="Arial" w:hAnsi="Arial" w:cs="Arial"/>
          <w:color w:val="221E1F"/>
          <w:sz w:val="20"/>
          <w:szCs w:val="12"/>
        </w:rPr>
        <w:t>’s</w:t>
      </w:r>
      <w:r w:rsidRPr="00DD7F4E">
        <w:rPr>
          <w:rFonts w:ascii="Arial" w:hAnsi="Arial" w:cs="Arial"/>
          <w:color w:val="221E1F"/>
          <w:sz w:val="20"/>
          <w:szCs w:val="12"/>
        </w:rPr>
        <w:t xml:space="preserve"> assessment of pain (VAS); </w:t>
      </w:r>
      <w:r>
        <w:rPr>
          <w:rFonts w:ascii="Arial" w:hAnsi="Arial" w:cs="Arial"/>
          <w:color w:val="221E1F"/>
          <w:sz w:val="20"/>
          <w:szCs w:val="12"/>
        </w:rPr>
        <w:t>HAQ-DI</w:t>
      </w:r>
      <w:r w:rsidRPr="00DD7F4E">
        <w:rPr>
          <w:rFonts w:ascii="Arial" w:hAnsi="Arial" w:cs="Arial"/>
          <w:noProof/>
          <w:color w:val="221E1F"/>
          <w:sz w:val="20"/>
          <w:szCs w:val="12"/>
          <w:vertAlign w:val="superscript"/>
        </w:rPr>
        <w:t>2, 3</w:t>
      </w:r>
      <w:r w:rsidRPr="00DB6372">
        <w:rPr>
          <w:rFonts w:ascii="Arial" w:hAnsi="Arial" w:cs="Arial"/>
          <w:color w:val="221E1F"/>
          <w:sz w:val="20"/>
          <w:szCs w:val="12"/>
        </w:rPr>
        <w:t>; or CRP level.</w:t>
      </w:r>
    </w:p>
    <w:p w:rsidR="00F42967" w:rsidRPr="00DB6372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4"/>
        </w:rPr>
      </w:pPr>
      <w:r>
        <w:rPr>
          <w:rFonts w:ascii="Arial" w:hAnsi="Arial" w:cs="Arial"/>
          <w:sz w:val="20"/>
          <w:vertAlign w:val="superscript"/>
        </w:rPr>
        <w:t>†</w:t>
      </w:r>
      <w:r w:rsidRPr="00DB6372">
        <w:rPr>
          <w:rFonts w:ascii="Arial" w:hAnsi="Arial" w:cs="Arial"/>
          <w:color w:val="221E1F"/>
          <w:sz w:val="20"/>
          <w:szCs w:val="14"/>
        </w:rPr>
        <w:t>Proportions of patients achieving minimal clinically important differences on the HAQ-DI (≥0.13</w:t>
      </w:r>
      <w:r w:rsidRPr="00DB6372">
        <w:rPr>
          <w:rFonts w:ascii="Arial" w:hAnsi="Arial" w:cs="Arial"/>
          <w:color w:val="221E1F"/>
          <w:sz w:val="20"/>
          <w:szCs w:val="8"/>
        </w:rPr>
        <w:t xml:space="preserve"> [Kwok] </w:t>
      </w:r>
      <w:r w:rsidRPr="00DB6372">
        <w:rPr>
          <w:rFonts w:ascii="Arial" w:hAnsi="Arial" w:cs="Arial"/>
          <w:color w:val="221E1F"/>
          <w:sz w:val="20"/>
          <w:szCs w:val="14"/>
        </w:rPr>
        <w:t>and ≥0.30</w:t>
      </w:r>
      <w:r w:rsidRPr="00DB6372">
        <w:rPr>
          <w:rFonts w:ascii="Arial" w:hAnsi="Arial" w:cs="Arial"/>
          <w:color w:val="221E1F"/>
          <w:sz w:val="20"/>
          <w:szCs w:val="8"/>
        </w:rPr>
        <w:t xml:space="preserve"> [</w:t>
      </w:r>
      <w:proofErr w:type="spellStart"/>
      <w:r w:rsidRPr="00DB6372">
        <w:rPr>
          <w:rFonts w:ascii="Arial" w:hAnsi="Arial" w:cs="Arial"/>
          <w:color w:val="221E1F"/>
          <w:sz w:val="20"/>
          <w:szCs w:val="8"/>
        </w:rPr>
        <w:t>Mease</w:t>
      </w:r>
      <w:proofErr w:type="spellEnd"/>
      <w:r w:rsidRPr="00DB6372">
        <w:rPr>
          <w:rFonts w:ascii="Arial" w:hAnsi="Arial" w:cs="Arial"/>
          <w:color w:val="221E1F"/>
          <w:sz w:val="20"/>
          <w:szCs w:val="8"/>
        </w:rPr>
        <w:t>]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) </w:t>
      </w:r>
      <w:r w:rsidRPr="00DB6372">
        <w:rPr>
          <w:rFonts w:ascii="Arial" w:hAnsi="Arial" w:cs="Arial"/>
          <w:color w:val="auto"/>
          <w:sz w:val="20"/>
          <w:szCs w:val="14"/>
        </w:rPr>
        <w:t>were also determined</w:t>
      </w:r>
      <w:r w:rsidRPr="00DB6372">
        <w:rPr>
          <w:rFonts w:ascii="Arial" w:hAnsi="Arial" w:cs="Arial"/>
          <w:color w:val="215295"/>
          <w:sz w:val="20"/>
          <w:szCs w:val="14"/>
        </w:rPr>
        <w:t xml:space="preserve">. 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Pre-specified thresholds were based on the literature at the time of the protocol </w:t>
      </w:r>
      <w:r w:rsidRPr="00DD7F4E">
        <w:rPr>
          <w:rFonts w:ascii="Arial" w:hAnsi="Arial" w:cs="Arial"/>
          <w:color w:val="221E1F"/>
          <w:sz w:val="20"/>
          <w:szCs w:val="14"/>
        </w:rPr>
        <w:t>development.</w:t>
      </w:r>
      <w:r w:rsidRPr="00DD7F4E">
        <w:rPr>
          <w:rFonts w:ascii="Arial" w:hAnsi="Arial" w:cs="Arial"/>
          <w:noProof/>
          <w:color w:val="221E1F"/>
          <w:sz w:val="20"/>
          <w:szCs w:val="14"/>
          <w:vertAlign w:val="superscript"/>
        </w:rPr>
        <w:t>12, 13</w:t>
      </w:r>
    </w:p>
    <w:p w:rsidR="00F42967" w:rsidRPr="00DB6372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4"/>
        </w:rPr>
      </w:pPr>
      <w:r>
        <w:rPr>
          <w:rFonts w:ascii="Arial" w:hAnsi="Arial" w:cs="Arial"/>
          <w:color w:val="221E1F"/>
          <w:sz w:val="20"/>
          <w:szCs w:val="14"/>
          <w:vertAlign w:val="superscript"/>
        </w:rPr>
        <w:t>‡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Modified </w:t>
      </w:r>
      <w:proofErr w:type="spellStart"/>
      <w:r w:rsidRPr="00DB6372">
        <w:rPr>
          <w:rFonts w:ascii="Arial" w:hAnsi="Arial" w:cs="Arial"/>
          <w:color w:val="221E1F"/>
          <w:sz w:val="20"/>
          <w:szCs w:val="14"/>
        </w:rPr>
        <w:t>PsARC</w:t>
      </w:r>
      <w:proofErr w:type="spellEnd"/>
      <w:r w:rsidRPr="00DB6372">
        <w:rPr>
          <w:rFonts w:ascii="Arial" w:hAnsi="Arial" w:cs="Arial"/>
          <w:color w:val="221E1F"/>
          <w:sz w:val="20"/>
          <w:szCs w:val="14"/>
        </w:rPr>
        <w:t xml:space="preserve"> response is defined as improvement in at least </w:t>
      </w:r>
      <w:r>
        <w:rPr>
          <w:rFonts w:ascii="Arial" w:hAnsi="Arial" w:cs="Arial"/>
          <w:color w:val="221E1F"/>
          <w:sz w:val="20"/>
          <w:szCs w:val="14"/>
        </w:rPr>
        <w:t>two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of the </w:t>
      </w:r>
      <w:r>
        <w:rPr>
          <w:rFonts w:ascii="Arial" w:hAnsi="Arial" w:cs="Arial"/>
          <w:color w:val="221E1F"/>
          <w:sz w:val="20"/>
          <w:szCs w:val="14"/>
        </w:rPr>
        <w:t>four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measures (</w:t>
      </w:r>
      <w:r>
        <w:rPr>
          <w:rFonts w:ascii="Arial" w:hAnsi="Arial" w:cs="Arial"/>
          <w:color w:val="221E1F"/>
          <w:sz w:val="20"/>
          <w:szCs w:val="14"/>
        </w:rPr>
        <w:t>swollen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joint count, </w:t>
      </w:r>
      <w:r>
        <w:rPr>
          <w:rFonts w:ascii="Arial" w:hAnsi="Arial" w:cs="Arial"/>
          <w:color w:val="221E1F"/>
          <w:sz w:val="20"/>
          <w:szCs w:val="14"/>
        </w:rPr>
        <w:t>tender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joint count, </w:t>
      </w:r>
      <w:r>
        <w:rPr>
          <w:rFonts w:ascii="Arial" w:hAnsi="Arial" w:cs="Arial"/>
          <w:color w:val="221E1F"/>
          <w:sz w:val="20"/>
          <w:szCs w:val="14"/>
        </w:rPr>
        <w:t>patient’s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global assessment of disease activity, physician</w:t>
      </w:r>
      <w:r>
        <w:rPr>
          <w:rFonts w:ascii="Arial" w:hAnsi="Arial" w:cs="Arial"/>
          <w:color w:val="221E1F"/>
          <w:sz w:val="20"/>
          <w:szCs w:val="14"/>
        </w:rPr>
        <w:t>’s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global assessment of disease activity), at least </w:t>
      </w:r>
      <w:r>
        <w:rPr>
          <w:rFonts w:ascii="Arial" w:hAnsi="Arial" w:cs="Arial"/>
          <w:color w:val="221E1F"/>
          <w:sz w:val="20"/>
          <w:szCs w:val="14"/>
        </w:rPr>
        <w:t>one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of which must be </w:t>
      </w:r>
      <w:r>
        <w:rPr>
          <w:rFonts w:ascii="Arial" w:hAnsi="Arial" w:cs="Arial"/>
          <w:color w:val="221E1F"/>
          <w:sz w:val="20"/>
          <w:szCs w:val="14"/>
        </w:rPr>
        <w:t xml:space="preserve">swollen or 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tender joint count, and no worsening in any of the </w:t>
      </w:r>
      <w:r>
        <w:rPr>
          <w:rFonts w:ascii="Arial" w:hAnsi="Arial" w:cs="Arial"/>
          <w:color w:val="221E1F"/>
          <w:sz w:val="20"/>
          <w:szCs w:val="14"/>
        </w:rPr>
        <w:t>four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measures. Improvement or worsening in joint counts is defined as </w:t>
      </w:r>
      <w:r>
        <w:rPr>
          <w:rFonts w:ascii="Arial" w:hAnsi="Arial" w:cs="Arial"/>
          <w:color w:val="221E1F"/>
          <w:sz w:val="20"/>
          <w:szCs w:val="14"/>
        </w:rPr>
        <w:t xml:space="preserve">a </w:t>
      </w:r>
      <w:r w:rsidRPr="00DB6372">
        <w:rPr>
          <w:rFonts w:ascii="Arial" w:hAnsi="Arial" w:cs="Arial"/>
          <w:color w:val="221E1F"/>
          <w:sz w:val="20"/>
          <w:szCs w:val="14"/>
        </w:rPr>
        <w:t>decrease or increase, respectively, from baseline by ≥30%</w:t>
      </w:r>
      <w:r>
        <w:rPr>
          <w:rFonts w:ascii="Arial" w:hAnsi="Arial" w:cs="Arial"/>
          <w:color w:val="221E1F"/>
          <w:sz w:val="20"/>
          <w:szCs w:val="14"/>
        </w:rPr>
        <w:t>;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improvement or worsening in global assessments is defined as </w:t>
      </w:r>
      <w:r>
        <w:rPr>
          <w:rFonts w:ascii="Arial" w:hAnsi="Arial" w:cs="Arial"/>
          <w:color w:val="221E1F"/>
          <w:sz w:val="20"/>
          <w:szCs w:val="14"/>
        </w:rPr>
        <w:t xml:space="preserve">a </w:t>
      </w:r>
      <w:r w:rsidRPr="00DB6372">
        <w:rPr>
          <w:rFonts w:ascii="Arial" w:hAnsi="Arial" w:cs="Arial"/>
          <w:color w:val="221E1F"/>
          <w:sz w:val="20"/>
          <w:szCs w:val="14"/>
        </w:rPr>
        <w:t>decrease or increase, respectively, from baseline by ≥20 mm VAS.</w:t>
      </w:r>
    </w:p>
    <w:p w:rsidR="00F42967" w:rsidRPr="00DB6372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4"/>
        </w:rPr>
      </w:pPr>
      <w:r>
        <w:rPr>
          <w:rFonts w:ascii="Arial" w:hAnsi="Arial" w:cs="Arial"/>
          <w:sz w:val="22"/>
          <w:szCs w:val="22"/>
          <w:vertAlign w:val="superscript"/>
        </w:rPr>
        <w:t>§</w:t>
      </w:r>
      <w:r w:rsidRPr="00023036">
        <w:rPr>
          <w:rFonts w:ascii="Arial" w:hAnsi="Arial" w:cs="Arial"/>
          <w:sz w:val="20"/>
          <w:szCs w:val="20"/>
          <w:lang w:val="en-GB"/>
        </w:rPr>
        <w:t>E</w:t>
      </w:r>
      <w:r w:rsidRPr="00DB6372">
        <w:rPr>
          <w:rFonts w:ascii="Arial" w:hAnsi="Arial" w:cs="Arial"/>
          <w:sz w:val="20"/>
          <w:szCs w:val="21"/>
          <w:lang w:val="en-GB"/>
        </w:rPr>
        <w:t xml:space="preserve">ach digit on the patient’s hand and feet was assessed for presence (score=1) or absence (score=0) of </w:t>
      </w:r>
      <w:proofErr w:type="spellStart"/>
      <w:r w:rsidRPr="00DB6372">
        <w:rPr>
          <w:rFonts w:ascii="Arial" w:hAnsi="Arial" w:cs="Arial"/>
          <w:sz w:val="20"/>
          <w:szCs w:val="21"/>
          <w:lang w:val="en-GB"/>
        </w:rPr>
        <w:t>dactylitis</w:t>
      </w:r>
      <w:proofErr w:type="spellEnd"/>
      <w:r w:rsidRPr="00DB6372">
        <w:rPr>
          <w:rFonts w:ascii="Arial" w:hAnsi="Arial" w:cs="Arial"/>
          <w:sz w:val="20"/>
          <w:szCs w:val="21"/>
          <w:lang w:val="en-GB"/>
        </w:rPr>
        <w:t xml:space="preserve">. The </w:t>
      </w:r>
      <w:proofErr w:type="spellStart"/>
      <w:r w:rsidRPr="00DB6372">
        <w:rPr>
          <w:rFonts w:ascii="Arial" w:hAnsi="Arial" w:cs="Arial"/>
          <w:sz w:val="20"/>
          <w:szCs w:val="21"/>
          <w:lang w:val="en-GB"/>
        </w:rPr>
        <w:t>dactylitis</w:t>
      </w:r>
      <w:proofErr w:type="spellEnd"/>
      <w:r w:rsidRPr="00DB6372">
        <w:rPr>
          <w:rFonts w:ascii="Arial" w:hAnsi="Arial" w:cs="Arial"/>
          <w:sz w:val="20"/>
          <w:szCs w:val="21"/>
          <w:lang w:val="en-GB"/>
        </w:rPr>
        <w:t xml:space="preserve"> count was the sum of the individual assessments for all 20 digits</w:t>
      </w:r>
      <w:r>
        <w:rPr>
          <w:rFonts w:ascii="Arial" w:hAnsi="Arial" w:cs="Arial"/>
          <w:sz w:val="20"/>
          <w:szCs w:val="21"/>
          <w:lang w:val="en-GB"/>
        </w:rPr>
        <w:t>.</w:t>
      </w:r>
    </w:p>
    <w:p w:rsidR="00F42967" w:rsidRPr="00DB6372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4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‖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A </w:t>
      </w:r>
      <w:r>
        <w:rPr>
          <w:rFonts w:ascii="Arial" w:hAnsi="Arial" w:cs="Arial"/>
          <w:color w:val="221E1F"/>
          <w:sz w:val="20"/>
          <w:szCs w:val="14"/>
        </w:rPr>
        <w:t xml:space="preserve">EULAR </w:t>
      </w:r>
      <w:r w:rsidRPr="00DB6372">
        <w:rPr>
          <w:rFonts w:ascii="Arial" w:hAnsi="Arial" w:cs="Arial"/>
          <w:color w:val="221E1F"/>
          <w:sz w:val="20"/>
          <w:szCs w:val="14"/>
        </w:rPr>
        <w:t>good response is defined as DAS</w:t>
      </w:r>
      <w:r>
        <w:rPr>
          <w:rFonts w:ascii="Arial" w:hAnsi="Arial" w:cs="Arial"/>
          <w:color w:val="221E1F"/>
          <w:sz w:val="20"/>
          <w:szCs w:val="14"/>
        </w:rPr>
        <w:t>-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28 at the time point ≤3.2 and improvement from baseline </w:t>
      </w:r>
      <w:r w:rsidRPr="00DB6372">
        <w:rPr>
          <w:rFonts w:ascii="Arial" w:hAnsi="Arial" w:cs="Arial"/>
          <w:color w:val="221E1F"/>
          <w:sz w:val="20"/>
          <w:szCs w:val="14"/>
        </w:rPr>
        <w:lastRenderedPageBreak/>
        <w:t xml:space="preserve">&gt;1.2. A </w:t>
      </w:r>
      <w:r>
        <w:rPr>
          <w:rFonts w:ascii="Arial" w:hAnsi="Arial" w:cs="Arial"/>
          <w:color w:val="221E1F"/>
          <w:sz w:val="20"/>
          <w:szCs w:val="14"/>
        </w:rPr>
        <w:t xml:space="preserve">EULAR </w:t>
      </w:r>
      <w:r w:rsidRPr="00DB6372">
        <w:rPr>
          <w:rFonts w:ascii="Arial" w:hAnsi="Arial" w:cs="Arial"/>
          <w:color w:val="221E1F"/>
          <w:sz w:val="20"/>
          <w:szCs w:val="14"/>
        </w:rPr>
        <w:t>moderate response is defined as DAS</w:t>
      </w:r>
      <w:r>
        <w:rPr>
          <w:rFonts w:ascii="Arial" w:hAnsi="Arial" w:cs="Arial"/>
          <w:color w:val="221E1F"/>
          <w:sz w:val="20"/>
          <w:szCs w:val="14"/>
        </w:rPr>
        <w:t>-</w:t>
      </w:r>
      <w:r w:rsidRPr="00DB6372">
        <w:rPr>
          <w:rFonts w:ascii="Arial" w:hAnsi="Arial" w:cs="Arial"/>
          <w:color w:val="221E1F"/>
          <w:sz w:val="20"/>
          <w:szCs w:val="14"/>
        </w:rPr>
        <w:t>28 at the time point &gt;3.2 and improvement from baseline &gt;1.2, or DAS</w:t>
      </w:r>
      <w:r>
        <w:rPr>
          <w:rFonts w:ascii="Arial" w:hAnsi="Arial" w:cs="Arial"/>
          <w:color w:val="221E1F"/>
          <w:sz w:val="20"/>
          <w:szCs w:val="14"/>
        </w:rPr>
        <w:t>-</w:t>
      </w:r>
      <w:r w:rsidRPr="00DB6372">
        <w:rPr>
          <w:rFonts w:ascii="Arial" w:hAnsi="Arial" w:cs="Arial"/>
          <w:color w:val="221E1F"/>
          <w:sz w:val="20"/>
          <w:szCs w:val="14"/>
        </w:rPr>
        <w:t>28 at the time point ≤5.1 and improvement from baseline &gt;0.6 and ≤1.2.</w:t>
      </w:r>
    </w:p>
    <w:p w:rsidR="00F42967" w:rsidRDefault="00F42967" w:rsidP="00E375B2">
      <w:pPr>
        <w:pStyle w:val="Default"/>
        <w:spacing w:before="30"/>
        <w:rPr>
          <w:rFonts w:ascii="Arial" w:hAnsi="Arial" w:cs="Arial"/>
          <w:color w:val="221E1F"/>
          <w:sz w:val="20"/>
          <w:szCs w:val="14"/>
        </w:rPr>
      </w:pPr>
      <w:r>
        <w:rPr>
          <w:rFonts w:ascii="Arial" w:hAnsi="Arial" w:cs="Arial"/>
          <w:color w:val="221E1F"/>
          <w:sz w:val="20"/>
          <w:szCs w:val="14"/>
          <w:vertAlign w:val="superscript"/>
        </w:rPr>
        <w:t>¶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The PASI score </w:t>
      </w:r>
      <w:r>
        <w:rPr>
          <w:rFonts w:ascii="Arial" w:hAnsi="Arial" w:cs="Arial"/>
          <w:color w:val="221E1F"/>
          <w:sz w:val="20"/>
          <w:szCs w:val="14"/>
        </w:rPr>
        <w:t>was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determined only for </w:t>
      </w:r>
      <w:r>
        <w:rPr>
          <w:rFonts w:ascii="Arial" w:hAnsi="Arial" w:cs="Arial"/>
          <w:color w:val="221E1F"/>
          <w:sz w:val="20"/>
          <w:szCs w:val="14"/>
        </w:rPr>
        <w:t>patients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whose </w:t>
      </w:r>
      <w:r>
        <w:rPr>
          <w:rFonts w:ascii="Arial" w:hAnsi="Arial" w:cs="Arial"/>
          <w:color w:val="221E1F"/>
          <w:sz w:val="20"/>
          <w:szCs w:val="14"/>
        </w:rPr>
        <w:t>psoriasis has a body surface area</w:t>
      </w:r>
      <w:r w:rsidRPr="00DB6372">
        <w:rPr>
          <w:rFonts w:ascii="Arial" w:hAnsi="Arial" w:cs="Arial"/>
          <w:color w:val="221E1F"/>
          <w:sz w:val="20"/>
          <w:szCs w:val="14"/>
        </w:rPr>
        <w:t xml:space="preserve"> ≥3%. PASI scores range from 0 to 72, with higher scores reflecting greater disease severity.</w:t>
      </w:r>
      <w:r w:rsidRPr="00DD7F4E">
        <w:rPr>
          <w:rFonts w:ascii="Arial" w:hAnsi="Arial" w:cs="Arial"/>
          <w:noProof/>
          <w:color w:val="221E1F"/>
          <w:sz w:val="20"/>
          <w:szCs w:val="14"/>
          <w:vertAlign w:val="superscript"/>
        </w:rPr>
        <w:t>11</w:t>
      </w:r>
    </w:p>
    <w:p w:rsidR="00F42967" w:rsidRPr="00FF4334" w:rsidRDefault="00F42967" w:rsidP="00E375B2">
      <w:pPr>
        <w:pStyle w:val="Default"/>
        <w:spacing w:before="30"/>
        <w:rPr>
          <w:rFonts w:ascii="Arial" w:hAnsi="Arial" w:cs="Arial"/>
          <w:b/>
          <w:color w:val="auto"/>
          <w:sz w:val="20"/>
          <w:szCs w:val="20"/>
        </w:rPr>
      </w:pPr>
      <w:r w:rsidRPr="00B42766">
        <w:rPr>
          <w:rFonts w:ascii="Arial" w:hAnsi="Arial" w:cs="Arial"/>
          <w:color w:val="221E1F"/>
          <w:sz w:val="20"/>
          <w:szCs w:val="14"/>
        </w:rPr>
        <w:t>ACR20/50/70, 20%/50%70% improvement in baseline American College of Rheumatology response criteria; CDAI, Clinical</w:t>
      </w:r>
      <w:r>
        <w:rPr>
          <w:rFonts w:ascii="Arial" w:hAnsi="Arial" w:cs="Arial"/>
          <w:color w:val="221E1F"/>
          <w:sz w:val="20"/>
          <w:szCs w:val="14"/>
        </w:rPr>
        <w:t xml:space="preserve"> Disease Activity Index; CRP, C-reactive protein</w:t>
      </w:r>
      <w:r w:rsidRPr="00B42766">
        <w:rPr>
          <w:rFonts w:ascii="Arial" w:hAnsi="Arial" w:cs="Arial"/>
          <w:color w:val="221E1F"/>
          <w:sz w:val="20"/>
          <w:szCs w:val="14"/>
        </w:rPr>
        <w:t>; DAS-28, 28-joint count Disease Activity Score; EULAR, European League Against Rheumatism; HAQ-DI, Health Assessment</w:t>
      </w:r>
      <w:r>
        <w:rPr>
          <w:rFonts w:ascii="Arial" w:hAnsi="Arial" w:cs="Arial"/>
          <w:color w:val="221E1F"/>
          <w:sz w:val="20"/>
          <w:szCs w:val="14"/>
        </w:rPr>
        <w:t xml:space="preserve"> Questionnaire-Disability Index</w:t>
      </w:r>
      <w:r w:rsidRPr="00FF4334">
        <w:rPr>
          <w:rFonts w:ascii="Arial" w:hAnsi="Arial" w:cs="Arial"/>
          <w:color w:val="221E1F"/>
          <w:sz w:val="20"/>
          <w:szCs w:val="20"/>
        </w:rPr>
        <w:t xml:space="preserve">; MASES, </w:t>
      </w:r>
      <w:r w:rsidRPr="00FF4334">
        <w:rPr>
          <w:rFonts w:ascii="Arial" w:hAnsi="Arial" w:cs="Arial"/>
          <w:sz w:val="20"/>
          <w:szCs w:val="20"/>
        </w:rPr>
        <w:t xml:space="preserve">Maastricht </w:t>
      </w:r>
      <w:proofErr w:type="spellStart"/>
      <w:r w:rsidRPr="00FF4334">
        <w:rPr>
          <w:rFonts w:ascii="Arial" w:hAnsi="Arial" w:cs="Arial"/>
          <w:sz w:val="20"/>
          <w:szCs w:val="20"/>
        </w:rPr>
        <w:t>Ankylosing</w:t>
      </w:r>
      <w:proofErr w:type="spellEnd"/>
      <w:r w:rsidRPr="00FF4334">
        <w:rPr>
          <w:rFonts w:ascii="Arial" w:hAnsi="Arial" w:cs="Arial"/>
          <w:sz w:val="20"/>
          <w:szCs w:val="20"/>
        </w:rPr>
        <w:t xml:space="preserve"> Spondylitis </w:t>
      </w:r>
      <w:proofErr w:type="spellStart"/>
      <w:r w:rsidRPr="00FF4334">
        <w:rPr>
          <w:rFonts w:ascii="Arial" w:hAnsi="Arial" w:cs="Arial"/>
          <w:sz w:val="20"/>
          <w:szCs w:val="20"/>
        </w:rPr>
        <w:t>Enthesitis</w:t>
      </w:r>
      <w:proofErr w:type="spellEnd"/>
      <w:r w:rsidRPr="00FF4334">
        <w:rPr>
          <w:rFonts w:ascii="Arial" w:hAnsi="Arial" w:cs="Arial"/>
          <w:sz w:val="20"/>
          <w:szCs w:val="20"/>
        </w:rPr>
        <w:t xml:space="preserve"> Score</w:t>
      </w:r>
      <w:r w:rsidRPr="00FF4334">
        <w:rPr>
          <w:rFonts w:ascii="Arial" w:hAnsi="Arial" w:cs="Arial"/>
          <w:color w:val="auto"/>
          <w:sz w:val="20"/>
          <w:szCs w:val="20"/>
        </w:rPr>
        <w:t>; PA</w:t>
      </w:r>
      <w:r>
        <w:rPr>
          <w:rFonts w:ascii="Arial" w:hAnsi="Arial" w:cs="Arial"/>
          <w:color w:val="auto"/>
          <w:sz w:val="20"/>
          <w:szCs w:val="20"/>
        </w:rPr>
        <w:t xml:space="preserve">SI-75/50, 75%/50% reduction from baseline Psoriasis Area and Severity Index </w:t>
      </w:r>
      <w:r w:rsidRPr="000401B7">
        <w:rPr>
          <w:rFonts w:ascii="Arial" w:hAnsi="Arial" w:cs="Arial"/>
          <w:color w:val="auto"/>
          <w:sz w:val="20"/>
          <w:szCs w:val="20"/>
        </w:rPr>
        <w:t xml:space="preserve">score; </w:t>
      </w:r>
      <w:proofErr w:type="spellStart"/>
      <w:r w:rsidRPr="000401B7">
        <w:rPr>
          <w:rFonts w:ascii="Arial" w:hAnsi="Arial" w:cs="Arial"/>
          <w:color w:val="auto"/>
          <w:sz w:val="20"/>
          <w:szCs w:val="20"/>
        </w:rPr>
        <w:t>PsARC</w:t>
      </w:r>
      <w:proofErr w:type="spellEnd"/>
      <w:r w:rsidRPr="000401B7">
        <w:rPr>
          <w:rFonts w:ascii="Arial" w:hAnsi="Arial" w:cs="Arial"/>
          <w:color w:val="auto"/>
          <w:sz w:val="20"/>
          <w:szCs w:val="20"/>
        </w:rPr>
        <w:t>, Psoriatic Arthritis Response Criteria; SF-36v2, 36-item Short-Form Health Survey</w:t>
      </w:r>
      <w:r>
        <w:rPr>
          <w:rFonts w:ascii="Arial" w:hAnsi="Arial" w:cs="Arial"/>
          <w:color w:val="auto"/>
          <w:sz w:val="20"/>
          <w:szCs w:val="20"/>
        </w:rPr>
        <w:t xml:space="preserve"> version 2</w:t>
      </w:r>
      <w:r w:rsidRPr="000401B7">
        <w:rPr>
          <w:rFonts w:ascii="Arial" w:hAnsi="Arial" w:cs="Arial"/>
          <w:color w:val="auto"/>
          <w:sz w:val="20"/>
          <w:szCs w:val="20"/>
        </w:rPr>
        <w:t>; VAS, visual analog scale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42967" w:rsidRPr="00FF4334" w:rsidRDefault="00F42967" w:rsidP="00E375B2">
      <w:pPr>
        <w:rPr>
          <w:rFonts w:cs="Arial"/>
          <w:b/>
          <w:sz w:val="20"/>
          <w:szCs w:val="20"/>
        </w:rPr>
      </w:pPr>
    </w:p>
    <w:p w:rsidR="00F42967" w:rsidRPr="00F073D0" w:rsidRDefault="00F42967" w:rsidP="00E375B2">
      <w:pPr>
        <w:spacing w:line="360" w:lineRule="auto"/>
        <w:rPr>
          <w:rFonts w:cs="Arial"/>
          <w:sz w:val="20"/>
          <w:szCs w:val="20"/>
        </w:rPr>
      </w:pPr>
      <w:r w:rsidRPr="00F073D0">
        <w:rPr>
          <w:rFonts w:cs="Arial"/>
          <w:b/>
          <w:sz w:val="20"/>
          <w:szCs w:val="20"/>
        </w:rPr>
        <w:t>References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1</w:t>
      </w:r>
      <w:r w:rsidRPr="00745023">
        <w:rPr>
          <w:rFonts w:cs="Arial"/>
          <w:noProof/>
          <w:sz w:val="20"/>
          <w:szCs w:val="20"/>
        </w:rPr>
        <w:tab/>
        <w:t xml:space="preserve">Felson DT, Anderson JJ, Boers M,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American College of Rheumatology. Preliminary definition of improvement in rheumatoid arthritis. </w:t>
      </w:r>
      <w:r w:rsidRPr="00745023">
        <w:rPr>
          <w:rFonts w:cs="Arial"/>
          <w:i/>
          <w:noProof/>
          <w:sz w:val="20"/>
          <w:szCs w:val="20"/>
        </w:rPr>
        <w:t>Arthritis Rheum</w:t>
      </w:r>
      <w:r w:rsidRPr="00745023">
        <w:rPr>
          <w:rFonts w:cs="Arial"/>
          <w:noProof/>
          <w:sz w:val="20"/>
          <w:szCs w:val="20"/>
        </w:rPr>
        <w:t xml:space="preserve"> 1995;</w:t>
      </w:r>
      <w:r w:rsidRPr="00745023">
        <w:rPr>
          <w:rFonts w:cs="Arial"/>
          <w:b/>
          <w:noProof/>
          <w:sz w:val="20"/>
          <w:szCs w:val="20"/>
        </w:rPr>
        <w:t>38:</w:t>
      </w:r>
      <w:r w:rsidRPr="00745023">
        <w:rPr>
          <w:rFonts w:cs="Arial"/>
          <w:noProof/>
          <w:sz w:val="20"/>
          <w:szCs w:val="20"/>
        </w:rPr>
        <w:t>727-35.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2</w:t>
      </w:r>
      <w:r w:rsidRPr="00745023">
        <w:rPr>
          <w:rFonts w:cs="Arial"/>
          <w:noProof/>
          <w:sz w:val="20"/>
          <w:szCs w:val="20"/>
        </w:rPr>
        <w:tab/>
        <w:t xml:space="preserve">Bruce B, Fries JF. The Stanford Health Assessment Questionnaire: a review of its history, issues, progress, and documentation. </w:t>
      </w:r>
      <w:r w:rsidRPr="00745023">
        <w:rPr>
          <w:rFonts w:cs="Arial"/>
          <w:i/>
          <w:noProof/>
          <w:sz w:val="20"/>
          <w:szCs w:val="20"/>
        </w:rPr>
        <w:t>J Rheumatol</w:t>
      </w:r>
      <w:r w:rsidRPr="00745023">
        <w:rPr>
          <w:rFonts w:cs="Arial"/>
          <w:noProof/>
          <w:sz w:val="20"/>
          <w:szCs w:val="20"/>
        </w:rPr>
        <w:t xml:space="preserve"> 2003;</w:t>
      </w:r>
      <w:r w:rsidRPr="00745023">
        <w:rPr>
          <w:rFonts w:cs="Arial"/>
          <w:b/>
          <w:noProof/>
          <w:sz w:val="20"/>
          <w:szCs w:val="20"/>
        </w:rPr>
        <w:t>30:</w:t>
      </w:r>
      <w:r w:rsidRPr="00745023">
        <w:rPr>
          <w:rFonts w:cs="Arial"/>
          <w:noProof/>
          <w:sz w:val="20"/>
          <w:szCs w:val="20"/>
        </w:rPr>
        <w:t>167-78.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3</w:t>
      </w:r>
      <w:r w:rsidRPr="00745023">
        <w:rPr>
          <w:rFonts w:cs="Arial"/>
          <w:noProof/>
          <w:sz w:val="20"/>
          <w:szCs w:val="20"/>
        </w:rPr>
        <w:tab/>
        <w:t xml:space="preserve">Fries JF, Spitz P, Kraines RG,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Measurement of patient outcome in arthritis. </w:t>
      </w:r>
      <w:r w:rsidRPr="00745023">
        <w:rPr>
          <w:rFonts w:cs="Arial"/>
          <w:i/>
          <w:noProof/>
          <w:sz w:val="20"/>
          <w:szCs w:val="20"/>
        </w:rPr>
        <w:t>Arthritis Rheum</w:t>
      </w:r>
      <w:r w:rsidRPr="00745023">
        <w:rPr>
          <w:rFonts w:cs="Arial"/>
          <w:noProof/>
          <w:sz w:val="20"/>
          <w:szCs w:val="20"/>
        </w:rPr>
        <w:t xml:space="preserve"> 1980;</w:t>
      </w:r>
      <w:r w:rsidRPr="00745023">
        <w:rPr>
          <w:rFonts w:cs="Arial"/>
          <w:b/>
          <w:noProof/>
          <w:sz w:val="20"/>
          <w:szCs w:val="20"/>
        </w:rPr>
        <w:t>23:</w:t>
      </w:r>
      <w:r w:rsidRPr="00745023">
        <w:rPr>
          <w:rFonts w:cs="Arial"/>
          <w:noProof/>
          <w:sz w:val="20"/>
          <w:szCs w:val="20"/>
        </w:rPr>
        <w:t>137-45.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4</w:t>
      </w:r>
      <w:r w:rsidRPr="00745023">
        <w:rPr>
          <w:rFonts w:cs="Arial"/>
          <w:noProof/>
          <w:sz w:val="20"/>
          <w:szCs w:val="20"/>
        </w:rPr>
        <w:tab/>
        <w:t xml:space="preserve">Ware JE Jr, Sherbourne CD. The MOS 36-item short-form health survey (SF-36). I. Conceptual framework and item selection. </w:t>
      </w:r>
      <w:r w:rsidRPr="00745023">
        <w:rPr>
          <w:rFonts w:cs="Arial"/>
          <w:i/>
          <w:noProof/>
          <w:sz w:val="20"/>
          <w:szCs w:val="20"/>
        </w:rPr>
        <w:t>Med Care</w:t>
      </w:r>
      <w:r w:rsidRPr="00745023">
        <w:rPr>
          <w:rFonts w:cs="Arial"/>
          <w:noProof/>
          <w:sz w:val="20"/>
          <w:szCs w:val="20"/>
        </w:rPr>
        <w:t xml:space="preserve"> 1992;</w:t>
      </w:r>
      <w:r w:rsidRPr="00745023">
        <w:rPr>
          <w:rFonts w:cs="Arial"/>
          <w:b/>
          <w:noProof/>
          <w:sz w:val="20"/>
          <w:szCs w:val="20"/>
        </w:rPr>
        <w:t>30:</w:t>
      </w:r>
      <w:r w:rsidRPr="00745023">
        <w:rPr>
          <w:rFonts w:cs="Arial"/>
          <w:noProof/>
          <w:sz w:val="20"/>
          <w:szCs w:val="20"/>
        </w:rPr>
        <w:t>473-83.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5</w:t>
      </w:r>
      <w:r w:rsidRPr="00745023">
        <w:rPr>
          <w:rFonts w:cs="Arial"/>
          <w:noProof/>
          <w:sz w:val="20"/>
          <w:szCs w:val="20"/>
        </w:rPr>
        <w:tab/>
        <w:t xml:space="preserve">Clegg DO, Reda DJ, Mejias E,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Comparison of sulfasalazine and placebo in the treatment of psoriatic arthritis. A Department of Veterans Affairs Cooperative Study. </w:t>
      </w:r>
      <w:r w:rsidRPr="00745023">
        <w:rPr>
          <w:rFonts w:cs="Arial"/>
          <w:i/>
          <w:noProof/>
          <w:sz w:val="20"/>
          <w:szCs w:val="20"/>
        </w:rPr>
        <w:t>Arthritis Rheum</w:t>
      </w:r>
      <w:r w:rsidRPr="00745023">
        <w:rPr>
          <w:rFonts w:cs="Arial"/>
          <w:noProof/>
          <w:sz w:val="20"/>
          <w:szCs w:val="20"/>
        </w:rPr>
        <w:t xml:space="preserve"> 1996;</w:t>
      </w:r>
      <w:r w:rsidRPr="00745023">
        <w:rPr>
          <w:rFonts w:cs="Arial"/>
          <w:b/>
          <w:noProof/>
          <w:sz w:val="20"/>
          <w:szCs w:val="20"/>
        </w:rPr>
        <w:t>39:</w:t>
      </w:r>
      <w:r w:rsidRPr="00745023">
        <w:rPr>
          <w:rFonts w:cs="Arial"/>
          <w:noProof/>
          <w:sz w:val="20"/>
          <w:szCs w:val="20"/>
        </w:rPr>
        <w:t>2013-20.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6</w:t>
      </w:r>
      <w:r w:rsidRPr="00745023">
        <w:rPr>
          <w:rFonts w:cs="Arial"/>
          <w:noProof/>
          <w:sz w:val="20"/>
          <w:szCs w:val="20"/>
        </w:rPr>
        <w:tab/>
        <w:t xml:space="preserve">Heuft-Dorenbosch L, Spoorenberg A, van Tubergen A,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Assessment of enthesitis in ankylosing spondylitis. </w:t>
      </w:r>
      <w:r w:rsidRPr="00745023">
        <w:rPr>
          <w:rFonts w:cs="Arial"/>
          <w:i/>
          <w:noProof/>
          <w:sz w:val="20"/>
          <w:szCs w:val="20"/>
        </w:rPr>
        <w:t>Ann Rheum Dis</w:t>
      </w:r>
      <w:r w:rsidRPr="00745023">
        <w:rPr>
          <w:rFonts w:cs="Arial"/>
          <w:noProof/>
          <w:sz w:val="20"/>
          <w:szCs w:val="20"/>
        </w:rPr>
        <w:t xml:space="preserve"> 2003;</w:t>
      </w:r>
      <w:r w:rsidRPr="00745023">
        <w:rPr>
          <w:rFonts w:cs="Arial"/>
          <w:b/>
          <w:noProof/>
          <w:sz w:val="20"/>
          <w:szCs w:val="20"/>
        </w:rPr>
        <w:t>62:</w:t>
      </w:r>
      <w:r w:rsidRPr="00745023">
        <w:rPr>
          <w:rFonts w:cs="Arial"/>
          <w:noProof/>
          <w:sz w:val="20"/>
          <w:szCs w:val="20"/>
        </w:rPr>
        <w:t>127-32.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7</w:t>
      </w:r>
      <w:r w:rsidRPr="00745023">
        <w:rPr>
          <w:rFonts w:cs="Arial"/>
          <w:noProof/>
          <w:sz w:val="20"/>
          <w:szCs w:val="20"/>
        </w:rPr>
        <w:tab/>
        <w:t xml:space="preserve">Antoni C, Krueger GG, de Vlam K,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Infliximab improves signs and symptoms of psoriatic arthritis: results of the IMPACT 2 trial. </w:t>
      </w:r>
      <w:r w:rsidRPr="00745023">
        <w:rPr>
          <w:rFonts w:cs="Arial"/>
          <w:i/>
          <w:noProof/>
          <w:sz w:val="20"/>
          <w:szCs w:val="20"/>
        </w:rPr>
        <w:t>Ann Rheum Dis</w:t>
      </w:r>
      <w:r w:rsidRPr="00745023">
        <w:rPr>
          <w:rFonts w:cs="Arial"/>
          <w:noProof/>
          <w:sz w:val="20"/>
          <w:szCs w:val="20"/>
        </w:rPr>
        <w:t xml:space="preserve"> 2005;</w:t>
      </w:r>
      <w:r w:rsidRPr="00745023">
        <w:rPr>
          <w:rFonts w:cs="Arial"/>
          <w:b/>
          <w:noProof/>
          <w:sz w:val="20"/>
          <w:szCs w:val="20"/>
        </w:rPr>
        <w:t>64:</w:t>
      </w:r>
      <w:r w:rsidRPr="00745023">
        <w:rPr>
          <w:rFonts w:cs="Arial"/>
          <w:noProof/>
          <w:sz w:val="20"/>
          <w:szCs w:val="20"/>
        </w:rPr>
        <w:t>1150-7.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8</w:t>
      </w:r>
      <w:r w:rsidRPr="00745023">
        <w:rPr>
          <w:rFonts w:cs="Arial"/>
          <w:noProof/>
          <w:sz w:val="20"/>
          <w:szCs w:val="20"/>
        </w:rPr>
        <w:tab/>
        <w:t xml:space="preserve">Mease PJ, Antoni CE. Psoriatic arthritis treatment: biological response modifiers. </w:t>
      </w:r>
      <w:r w:rsidRPr="00745023">
        <w:rPr>
          <w:rFonts w:cs="Arial"/>
          <w:i/>
          <w:noProof/>
          <w:sz w:val="20"/>
          <w:szCs w:val="20"/>
        </w:rPr>
        <w:t>Ann Rheum Dis</w:t>
      </w:r>
      <w:r w:rsidRPr="00745023">
        <w:rPr>
          <w:rFonts w:cs="Arial"/>
          <w:noProof/>
          <w:sz w:val="20"/>
          <w:szCs w:val="20"/>
        </w:rPr>
        <w:t xml:space="preserve"> 2005;</w:t>
      </w:r>
      <w:r w:rsidRPr="00745023">
        <w:rPr>
          <w:rFonts w:cs="Arial"/>
          <w:b/>
          <w:noProof/>
          <w:sz w:val="20"/>
          <w:szCs w:val="20"/>
        </w:rPr>
        <w:t>64</w:t>
      </w:r>
      <w:r w:rsidRPr="00745023">
        <w:rPr>
          <w:rFonts w:cs="Arial"/>
          <w:noProof/>
          <w:sz w:val="20"/>
          <w:szCs w:val="20"/>
        </w:rPr>
        <w:t>(Suppl 2)</w:t>
      </w:r>
      <w:r w:rsidRPr="00745023">
        <w:rPr>
          <w:rFonts w:cs="Arial"/>
          <w:b/>
          <w:noProof/>
          <w:sz w:val="20"/>
          <w:szCs w:val="20"/>
        </w:rPr>
        <w:t>:</w:t>
      </w:r>
      <w:r w:rsidRPr="00745023">
        <w:rPr>
          <w:rFonts w:cs="Arial"/>
          <w:noProof/>
          <w:sz w:val="20"/>
          <w:szCs w:val="20"/>
        </w:rPr>
        <w:t>ii78-ii82.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9</w:t>
      </w:r>
      <w:r w:rsidRPr="00745023">
        <w:rPr>
          <w:rFonts w:cs="Arial"/>
          <w:noProof/>
          <w:sz w:val="20"/>
          <w:szCs w:val="20"/>
        </w:rPr>
        <w:tab/>
        <w:t xml:space="preserve">Aletaha D, Smolen J. The Simplified Disease Activity Index (SDAI) and the Clinical Disease Activity Index (CDAI): a review of their usefulness and validity in rheumatoid arthritis. </w:t>
      </w:r>
      <w:r w:rsidRPr="00745023">
        <w:rPr>
          <w:rFonts w:cs="Arial"/>
          <w:i/>
          <w:noProof/>
          <w:sz w:val="20"/>
          <w:szCs w:val="20"/>
        </w:rPr>
        <w:t>Clin Exp Rheumatol</w:t>
      </w:r>
      <w:r w:rsidRPr="00745023">
        <w:rPr>
          <w:rFonts w:cs="Arial"/>
          <w:noProof/>
          <w:sz w:val="20"/>
          <w:szCs w:val="20"/>
        </w:rPr>
        <w:t xml:space="preserve"> 2005;</w:t>
      </w:r>
      <w:r w:rsidRPr="00745023">
        <w:rPr>
          <w:rFonts w:cs="Arial"/>
          <w:b/>
          <w:noProof/>
          <w:sz w:val="20"/>
          <w:szCs w:val="20"/>
        </w:rPr>
        <w:t>23:</w:t>
      </w:r>
      <w:r w:rsidRPr="00745023">
        <w:rPr>
          <w:rFonts w:cs="Arial"/>
          <w:noProof/>
          <w:sz w:val="20"/>
          <w:szCs w:val="20"/>
        </w:rPr>
        <w:t>S100-S108.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10</w:t>
      </w:r>
      <w:r w:rsidRPr="00745023">
        <w:rPr>
          <w:rFonts w:cs="Arial"/>
          <w:noProof/>
          <w:sz w:val="20"/>
          <w:szCs w:val="20"/>
        </w:rPr>
        <w:tab/>
        <w:t xml:space="preserve">Fransen J, Van Riel PL. The Disease Activity Score and the EULAR response criteria. </w:t>
      </w:r>
      <w:r w:rsidRPr="00745023">
        <w:rPr>
          <w:rFonts w:cs="Arial"/>
          <w:i/>
          <w:noProof/>
          <w:sz w:val="20"/>
          <w:szCs w:val="20"/>
        </w:rPr>
        <w:t>Clin Exp Rheumatol</w:t>
      </w:r>
      <w:r w:rsidRPr="00745023">
        <w:rPr>
          <w:rFonts w:cs="Arial"/>
          <w:noProof/>
          <w:sz w:val="20"/>
          <w:szCs w:val="20"/>
        </w:rPr>
        <w:t xml:space="preserve"> 2005;</w:t>
      </w:r>
      <w:r w:rsidRPr="00745023">
        <w:rPr>
          <w:rFonts w:cs="Arial"/>
          <w:b/>
          <w:noProof/>
          <w:sz w:val="20"/>
          <w:szCs w:val="20"/>
        </w:rPr>
        <w:t>23:</w:t>
      </w:r>
      <w:r w:rsidRPr="00745023">
        <w:rPr>
          <w:rFonts w:cs="Arial"/>
          <w:noProof/>
          <w:sz w:val="20"/>
          <w:szCs w:val="20"/>
        </w:rPr>
        <w:t>S93-S99.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11</w:t>
      </w:r>
      <w:r w:rsidRPr="00745023">
        <w:rPr>
          <w:rFonts w:cs="Arial"/>
          <w:noProof/>
          <w:sz w:val="20"/>
          <w:szCs w:val="20"/>
        </w:rPr>
        <w:tab/>
        <w:t xml:space="preserve">Fredriksson T, Pettersson U. Severe psoriasis--oral therapy with a new retinoid. </w:t>
      </w:r>
      <w:r w:rsidRPr="00745023">
        <w:rPr>
          <w:rFonts w:cs="Arial"/>
          <w:i/>
          <w:noProof/>
          <w:sz w:val="20"/>
          <w:szCs w:val="20"/>
        </w:rPr>
        <w:t>Dermatologica</w:t>
      </w:r>
      <w:r w:rsidRPr="00745023">
        <w:rPr>
          <w:rFonts w:cs="Arial"/>
          <w:noProof/>
          <w:sz w:val="20"/>
          <w:szCs w:val="20"/>
        </w:rPr>
        <w:t xml:space="preserve"> 1978;</w:t>
      </w:r>
      <w:r w:rsidRPr="00745023">
        <w:rPr>
          <w:rFonts w:cs="Arial"/>
          <w:b/>
          <w:noProof/>
          <w:sz w:val="20"/>
          <w:szCs w:val="20"/>
        </w:rPr>
        <w:t>157:</w:t>
      </w:r>
      <w:r w:rsidRPr="00745023">
        <w:rPr>
          <w:rFonts w:cs="Arial"/>
          <w:noProof/>
          <w:sz w:val="20"/>
          <w:szCs w:val="20"/>
        </w:rPr>
        <w:t>238-44.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12</w:t>
      </w:r>
      <w:r w:rsidRPr="00745023">
        <w:rPr>
          <w:rFonts w:cs="Arial"/>
          <w:noProof/>
          <w:sz w:val="20"/>
          <w:szCs w:val="20"/>
        </w:rPr>
        <w:tab/>
        <w:t xml:space="preserve">Kwok T, Pope JE. Minimally important difference for patient-reported outcomes in psoriatic arthritis: Health Assessment Questionnaire and pain, fatigue, and global visual analog scales. </w:t>
      </w:r>
      <w:r w:rsidRPr="00745023">
        <w:rPr>
          <w:rFonts w:cs="Arial"/>
          <w:i/>
          <w:noProof/>
          <w:sz w:val="20"/>
          <w:szCs w:val="20"/>
        </w:rPr>
        <w:t>J Rheumatol</w:t>
      </w:r>
      <w:r w:rsidRPr="00745023">
        <w:rPr>
          <w:rFonts w:cs="Arial"/>
          <w:noProof/>
          <w:sz w:val="20"/>
          <w:szCs w:val="20"/>
        </w:rPr>
        <w:t xml:space="preserve"> 2010;</w:t>
      </w:r>
      <w:r w:rsidRPr="00745023">
        <w:rPr>
          <w:rFonts w:cs="Arial"/>
          <w:b/>
          <w:noProof/>
          <w:sz w:val="20"/>
          <w:szCs w:val="20"/>
        </w:rPr>
        <w:t>37:</w:t>
      </w:r>
      <w:r w:rsidRPr="00745023">
        <w:rPr>
          <w:rFonts w:cs="Arial"/>
          <w:noProof/>
          <w:sz w:val="20"/>
          <w:szCs w:val="20"/>
        </w:rPr>
        <w:t>1024-8.</w:t>
      </w:r>
    </w:p>
    <w:p w:rsidR="00F42967" w:rsidRPr="00745023" w:rsidRDefault="00F42967" w:rsidP="00E375B2">
      <w:pPr>
        <w:spacing w:line="276" w:lineRule="auto"/>
        <w:ind w:left="360" w:hanging="360"/>
        <w:rPr>
          <w:rFonts w:cs="Arial"/>
          <w:noProof/>
          <w:sz w:val="20"/>
          <w:szCs w:val="20"/>
        </w:rPr>
      </w:pPr>
      <w:r w:rsidRPr="00745023">
        <w:rPr>
          <w:rFonts w:cs="Arial"/>
          <w:noProof/>
          <w:sz w:val="20"/>
          <w:szCs w:val="20"/>
        </w:rPr>
        <w:t>13</w:t>
      </w:r>
      <w:r w:rsidRPr="00745023">
        <w:rPr>
          <w:rFonts w:cs="Arial"/>
          <w:noProof/>
          <w:sz w:val="20"/>
          <w:szCs w:val="20"/>
        </w:rPr>
        <w:tab/>
        <w:t xml:space="preserve">Mease PJ, Ganguly R, Wanke L, </w:t>
      </w:r>
      <w:r w:rsidRPr="00745023">
        <w:rPr>
          <w:rFonts w:cs="Arial"/>
          <w:i/>
          <w:noProof/>
          <w:sz w:val="20"/>
          <w:szCs w:val="20"/>
        </w:rPr>
        <w:t>et al</w:t>
      </w:r>
      <w:r w:rsidRPr="00745023">
        <w:rPr>
          <w:rFonts w:cs="Arial"/>
          <w:noProof/>
          <w:sz w:val="20"/>
          <w:szCs w:val="20"/>
        </w:rPr>
        <w:t xml:space="preserve">. How much improvement in functional status is considered important by patients with active psoriatic arthritis: applying the outcome measures in rheumatoid arthritis clinical trials (OMERACT) group guidelines [abstract SAT0015]. </w:t>
      </w:r>
      <w:r w:rsidRPr="00745023">
        <w:rPr>
          <w:rFonts w:cs="Arial"/>
          <w:i/>
          <w:noProof/>
          <w:sz w:val="20"/>
          <w:szCs w:val="20"/>
        </w:rPr>
        <w:t>Ann Rheum Dis</w:t>
      </w:r>
      <w:r w:rsidRPr="00745023">
        <w:rPr>
          <w:rFonts w:cs="Arial"/>
          <w:noProof/>
          <w:sz w:val="20"/>
          <w:szCs w:val="20"/>
        </w:rPr>
        <w:t xml:space="preserve"> 2004;</w:t>
      </w:r>
      <w:r w:rsidRPr="00745023">
        <w:rPr>
          <w:rFonts w:cs="Arial"/>
          <w:b/>
          <w:noProof/>
          <w:sz w:val="20"/>
          <w:szCs w:val="20"/>
        </w:rPr>
        <w:t>63</w:t>
      </w:r>
      <w:r w:rsidRPr="00745023">
        <w:rPr>
          <w:rFonts w:cs="Arial"/>
          <w:noProof/>
          <w:sz w:val="20"/>
          <w:szCs w:val="20"/>
        </w:rPr>
        <w:t>(Suppl 1)</w:t>
      </w:r>
      <w:r w:rsidRPr="00745023">
        <w:rPr>
          <w:rFonts w:cs="Arial"/>
          <w:b/>
          <w:noProof/>
          <w:sz w:val="20"/>
          <w:szCs w:val="20"/>
        </w:rPr>
        <w:t>:</w:t>
      </w:r>
      <w:r w:rsidRPr="00745023">
        <w:rPr>
          <w:rFonts w:cs="Arial"/>
          <w:noProof/>
          <w:sz w:val="20"/>
          <w:szCs w:val="20"/>
        </w:rPr>
        <w:t>391.</w:t>
      </w:r>
    </w:p>
    <w:p w:rsidR="00F42967" w:rsidRDefault="00F42967" w:rsidP="00E375B2">
      <w:pPr>
        <w:spacing w:line="276" w:lineRule="auto"/>
        <w:rPr>
          <w:rFonts w:cs="Arial"/>
          <w:sz w:val="20"/>
          <w:szCs w:val="20"/>
        </w:rPr>
      </w:pPr>
    </w:p>
    <w:p w:rsidR="00F42967" w:rsidRDefault="00F42967" w:rsidP="00E375B2">
      <w:pPr>
        <w:tabs>
          <w:tab w:val="clear" w:pos="0"/>
        </w:tabs>
        <w:spacing w:after="200" w:line="276" w:lineRule="auto"/>
        <w:outlineLvl w:val="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F42967" w:rsidRPr="00AC7B43" w:rsidRDefault="00F42967" w:rsidP="00E375B2">
      <w:pPr>
        <w:spacing w:line="360" w:lineRule="auto"/>
        <w:rPr>
          <w:sz w:val="22"/>
          <w:szCs w:val="22"/>
        </w:rPr>
      </w:pPr>
      <w:proofErr w:type="gramStart"/>
      <w:r w:rsidRPr="00AC7B43">
        <w:rPr>
          <w:b/>
          <w:sz w:val="22"/>
          <w:szCs w:val="22"/>
        </w:rPr>
        <w:t>Table 2S.</w:t>
      </w:r>
      <w:proofErr w:type="gramEnd"/>
      <w:r w:rsidRPr="00AC7B43">
        <w:rPr>
          <w:b/>
          <w:sz w:val="22"/>
          <w:szCs w:val="22"/>
        </w:rPr>
        <w:t xml:space="preserve"> </w:t>
      </w:r>
      <w:r w:rsidRPr="00AC7B43">
        <w:rPr>
          <w:sz w:val="22"/>
          <w:szCs w:val="22"/>
        </w:rPr>
        <w:t xml:space="preserve">Week 16 values for baseline clinical characteristics presented in Table 1: </w:t>
      </w:r>
      <w:r w:rsidRPr="00AC7B43">
        <w:rPr>
          <w:rFonts w:cs="Arial"/>
          <w:sz w:val="22"/>
          <w:szCs w:val="22"/>
          <w:lang w:val="en-GB"/>
        </w:rPr>
        <w:t>intent-to-treat population (N=504*)</w:t>
      </w:r>
    </w:p>
    <w:tbl>
      <w:tblPr>
        <w:tblW w:w="8964" w:type="dxa"/>
        <w:tblBorders>
          <w:top w:val="single" w:sz="12" w:space="0" w:color="auto"/>
          <w:left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4"/>
        <w:gridCol w:w="1260"/>
        <w:gridCol w:w="1620"/>
        <w:gridCol w:w="1620"/>
        <w:gridCol w:w="1440"/>
      </w:tblGrid>
      <w:tr w:rsidR="00F42967" w:rsidRPr="004C5ACF" w:rsidTr="00CF6E85">
        <w:trPr>
          <w:trHeight w:val="330"/>
        </w:trPr>
        <w:tc>
          <w:tcPr>
            <w:tcW w:w="3024" w:type="dxa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t>Apremilast</w:t>
            </w:r>
            <w:proofErr w:type="spellEnd"/>
          </w:p>
        </w:tc>
      </w:tr>
      <w:tr w:rsidR="00F42967" w:rsidRPr="004C5ACF" w:rsidTr="00CF6E85">
        <w:trPr>
          <w:trHeight w:val="492"/>
        </w:trPr>
        <w:tc>
          <w:tcPr>
            <w:tcW w:w="4284" w:type="dxa"/>
            <w:gridSpan w:val="2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t>Placebo</w:t>
            </w: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  <w:t>n=168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t>20 mg BID</w:t>
            </w: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  <w:t>n=168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t>30 mg BID</w:t>
            </w:r>
            <w:r w:rsidRPr="004C5ACF">
              <w:rPr>
                <w:rFonts w:cs="Arial"/>
                <w:b/>
                <w:bCs/>
                <w:sz w:val="20"/>
                <w:szCs w:val="20"/>
                <w:lang w:val="en-GB"/>
              </w:rPr>
              <w:br/>
              <w:t>n=168</w:t>
            </w:r>
          </w:p>
        </w:tc>
      </w:tr>
      <w:tr w:rsidR="00F42967" w:rsidRPr="004C5ACF" w:rsidTr="00CF6E85">
        <w:trPr>
          <w:trHeight w:val="267"/>
        </w:trPr>
        <w:tc>
          <w:tcPr>
            <w:tcW w:w="4284" w:type="dxa"/>
            <w:gridSpan w:val="2"/>
            <w:tcBorders>
              <w:top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ind w:left="180" w:hanging="180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Swollen joint count (0</w:t>
            </w:r>
            <w:r w:rsidRPr="004C5ACF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>76), mean (SD)</w:t>
            </w:r>
          </w:p>
        </w:tc>
        <w:tc>
          <w:tcPr>
            <w:tcW w:w="1620" w:type="dxa"/>
            <w:tcBorders>
              <w:top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10.9 (10.2)</w:t>
            </w:r>
          </w:p>
        </w:tc>
        <w:tc>
          <w:tcPr>
            <w:tcW w:w="1620" w:type="dxa"/>
            <w:tcBorders>
              <w:top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8.2 (8.7)</w:t>
            </w:r>
          </w:p>
        </w:tc>
        <w:tc>
          <w:tcPr>
            <w:tcW w:w="1440" w:type="dxa"/>
            <w:tcBorders>
              <w:top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7.5 (8.3)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ind w:left="180" w:hanging="180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Tender joint count (0</w:t>
            </w:r>
            <w:r w:rsidRPr="004C5ACF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>78), mean (SD)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21.2 (16.2)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16.9 (16.3)</w:t>
            </w:r>
          </w:p>
        </w:tc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15.8 (14.7)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HAQ-DI (0-3), mean (SD)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1.1 (0.64)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0.95 (0.67)</w:t>
            </w:r>
          </w:p>
        </w:tc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0.97 (0.68)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Patient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’s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g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 xml:space="preserve">lobal 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a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ssessment (0</w:t>
            </w:r>
            <w:r w:rsidRPr="004C5ACF">
              <w:rPr>
                <w:rFonts w:ascii="Times New Roman" w:eastAsia="Cambria" w:hAnsi="Times New Roman"/>
                <w:sz w:val="20"/>
                <w:szCs w:val="20"/>
                <w:lang w:val="en-GB"/>
              </w:rPr>
              <w:t>-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100 mm VAS), mean (SD)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53.8 (24.6)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46.2 (27.2)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45.9 (25.7)</w:t>
            </w:r>
          </w:p>
        </w:tc>
      </w:tr>
      <w:tr w:rsidR="00F42967" w:rsidRPr="004C5ACF" w:rsidTr="00CF6E85">
        <w:trPr>
          <w:trHeight w:val="465"/>
        </w:trPr>
        <w:tc>
          <w:tcPr>
            <w:tcW w:w="4284" w:type="dxa"/>
            <w:gridSpan w:val="2"/>
            <w:tcBorders>
              <w:top w:val="single" w:sz="12" w:space="0" w:color="FFFFFF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Physician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’s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g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 xml:space="preserve">lobal 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a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ssessment (0</w:t>
            </w:r>
            <w:r w:rsidRPr="004C5ACF">
              <w:rPr>
                <w:rFonts w:ascii="Times New Roman" w:eastAsia="Cambria" w:hAnsi="Times New Roman"/>
                <w:sz w:val="20"/>
                <w:szCs w:val="20"/>
                <w:lang w:val="en-GB"/>
              </w:rPr>
              <w:t>-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100 mm VAS), mean (SD)</w:t>
            </w:r>
          </w:p>
        </w:tc>
        <w:tc>
          <w:tcPr>
            <w:tcW w:w="1620" w:type="dxa"/>
            <w:tcBorders>
              <w:top w:val="single" w:sz="12" w:space="0" w:color="FFFFFF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46.8 (24.9)</w:t>
            </w:r>
          </w:p>
        </w:tc>
        <w:tc>
          <w:tcPr>
            <w:tcW w:w="1620" w:type="dxa"/>
            <w:tcBorders>
              <w:top w:val="single" w:sz="12" w:space="0" w:color="FFFFFF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37.5 (26.1)</w:t>
            </w:r>
          </w:p>
        </w:tc>
        <w:tc>
          <w:tcPr>
            <w:tcW w:w="1440" w:type="dxa"/>
            <w:tcBorders>
              <w:top w:val="single" w:sz="12" w:space="0" w:color="FFFFFF"/>
              <w:bottom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36.9 (24.7)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CRP (mg/</w:t>
            </w:r>
            <w:proofErr w:type="spellStart"/>
            <w:r w:rsidRPr="004C5ACF">
              <w:rPr>
                <w:rFonts w:eastAsia="Cambria" w:cs="Arial"/>
                <w:sz w:val="20"/>
                <w:szCs w:val="20"/>
                <w:lang w:val="en-GB"/>
              </w:rPr>
              <w:t>dL</w:t>
            </w:r>
            <w:proofErr w:type="spellEnd"/>
            <w:r w:rsidRPr="004C5ACF">
              <w:rPr>
                <w:rFonts w:eastAsia="Cambria" w:cs="Arial"/>
                <w:sz w:val="20"/>
                <w:szCs w:val="20"/>
                <w:lang w:val="en-GB"/>
              </w:rPr>
              <w:t>, normal range &lt;0.5), mean (SD)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1.6 (2.0)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0.79 (1.2)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0.73 (0.87)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rPr>
                <w:rFonts w:eastAsia="Cambria" w:cs="Arial"/>
                <w:sz w:val="20"/>
                <w:szCs w:val="20"/>
                <w:lang w:val="en-GB"/>
              </w:rPr>
            </w:pP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Patient</w:t>
            </w:r>
            <w:r>
              <w:rPr>
                <w:rFonts w:eastAsia="Cambria" w:cs="Arial"/>
                <w:sz w:val="20"/>
                <w:szCs w:val="20"/>
                <w:lang w:val="en-GB"/>
              </w:rPr>
              <w:t>’s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 xml:space="preserve"> assessment of pain (0</w:t>
            </w:r>
            <w:r w:rsidRPr="004C5ACF">
              <w:rPr>
                <w:rFonts w:ascii="Times New Roman" w:eastAsia="Cambria" w:hAnsi="Times New Roman"/>
                <w:sz w:val="20"/>
                <w:szCs w:val="20"/>
                <w:lang w:val="en-GB"/>
              </w:rPr>
              <w:t>-</w:t>
            </w: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100 mm VAS), mean (SD)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53.4 (23.5)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44.7 (25.9)</w:t>
            </w:r>
          </w:p>
        </w:tc>
        <w:tc>
          <w:tcPr>
            <w:tcW w:w="144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44.4 (25.3)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rPr>
                <w:rFonts w:eastAsia="Cambria" w:cs="Arial"/>
                <w:sz w:val="20"/>
                <w:szCs w:val="20"/>
                <w:lang w:val="en-GB"/>
              </w:rPr>
            </w:pPr>
            <w:r w:rsidRPr="004C5ACF">
              <w:rPr>
                <w:rFonts w:eastAsia="Cambria" w:cs="Arial"/>
                <w:sz w:val="20"/>
                <w:szCs w:val="20"/>
                <w:lang w:val="en-GB"/>
              </w:rPr>
              <w:t>SF-36v2 PF score, mean (SD)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35.9 (10.9)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38.7 (11.6)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37.7 (11.</w:t>
            </w: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F42967" w:rsidRPr="004C5ACF" w:rsidTr="00CF6E85">
        <w:trPr>
          <w:trHeight w:val="348"/>
        </w:trPr>
        <w:tc>
          <w:tcPr>
            <w:tcW w:w="4284" w:type="dxa"/>
            <w:gridSpan w:val="2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DAS-28 (CRP), mean (SD)</w:t>
            </w:r>
          </w:p>
        </w:tc>
        <w:tc>
          <w:tcPr>
            <w:tcW w:w="1620" w:type="dxa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4.6 (1.2)</w:t>
            </w:r>
          </w:p>
        </w:tc>
        <w:tc>
          <w:tcPr>
            <w:tcW w:w="1620" w:type="dxa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4.0 (1.3)</w:t>
            </w:r>
          </w:p>
        </w:tc>
        <w:tc>
          <w:tcPr>
            <w:tcW w:w="1440" w:type="dxa"/>
            <w:tcBorders>
              <w:top w:val="nil"/>
              <w:bottom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4.0 (1.3)</w:t>
            </w:r>
          </w:p>
        </w:tc>
      </w:tr>
      <w:tr w:rsidR="00F42967" w:rsidRPr="004C5ACF" w:rsidTr="00CF6E85">
        <w:trPr>
          <w:trHeight w:val="348"/>
        </w:trPr>
        <w:tc>
          <w:tcPr>
            <w:tcW w:w="4284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CDAI (0-76), mean (SD)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25.6 (13.7)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20.3 (13.</w:t>
            </w:r>
            <w:r>
              <w:rPr>
                <w:rFonts w:cs="Arial"/>
                <w:sz w:val="20"/>
                <w:szCs w:val="20"/>
                <w:lang w:val="en-GB"/>
              </w:rPr>
              <w:t>8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20.4 (13.6)</w:t>
            </w:r>
          </w:p>
        </w:tc>
      </w:tr>
      <w:tr w:rsidR="00F42967" w:rsidRPr="004C5ACF" w:rsidTr="00CF6E85">
        <w:trPr>
          <w:trHeight w:val="276"/>
        </w:trPr>
        <w:tc>
          <w:tcPr>
            <w:tcW w:w="4284" w:type="dxa"/>
            <w:gridSpan w:val="2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ind w:left="180" w:hanging="180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PASI score (0-72),</w:t>
            </w:r>
            <w:r w:rsidRPr="004C5ACF">
              <w:rPr>
                <w:rFonts w:cs="Arial"/>
                <w:sz w:val="20"/>
                <w:szCs w:val="20"/>
                <w:vertAlign w:val="superscript"/>
                <w:lang w:val="en-GB"/>
              </w:rPr>
              <w:t>†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 xml:space="preserve"> mean (SD)</w:t>
            </w:r>
          </w:p>
        </w:tc>
        <w:tc>
          <w:tcPr>
            <w:tcW w:w="1620" w:type="dxa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9.1 (10.3)</w:t>
            </w:r>
          </w:p>
        </w:tc>
        <w:tc>
          <w:tcPr>
            <w:tcW w:w="1620" w:type="dxa"/>
            <w:tcBorders>
              <w:top w:val="nil"/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5.6 (8.5)</w:t>
            </w:r>
          </w:p>
        </w:tc>
        <w:tc>
          <w:tcPr>
            <w:tcW w:w="1440" w:type="dxa"/>
            <w:tcBorders>
              <w:top w:val="nil"/>
              <w:bottom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5.7 (8.</w:t>
            </w: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F42967" w:rsidRPr="004C5ACF" w:rsidTr="00CF6E85">
        <w:trPr>
          <w:trHeight w:val="186"/>
        </w:trPr>
        <w:tc>
          <w:tcPr>
            <w:tcW w:w="4284" w:type="dxa"/>
            <w:gridSpan w:val="2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MASES (0-13),</w:t>
            </w:r>
            <w:r w:rsidRPr="004C5ACF">
              <w:rPr>
                <w:rFonts w:cs="Arial"/>
                <w:sz w:val="20"/>
                <w:szCs w:val="20"/>
                <w:vertAlign w:val="superscript"/>
                <w:lang w:val="en-GB"/>
              </w:rPr>
              <w:t>‡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 xml:space="preserve"> mean (SD)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4.3 (3.6)</w:t>
            </w:r>
          </w:p>
        </w:tc>
        <w:tc>
          <w:tcPr>
            <w:tcW w:w="1620" w:type="dxa"/>
            <w:tcBorders>
              <w:bottom w:val="single" w:sz="12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3.5 (3.7)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3.3 (3.2)</w:t>
            </w:r>
          </w:p>
        </w:tc>
      </w:tr>
      <w:tr w:rsidR="00F42967" w:rsidRPr="004C5ACF" w:rsidTr="00CF6E85">
        <w:trPr>
          <w:trHeight w:val="285"/>
        </w:trPr>
        <w:tc>
          <w:tcPr>
            <w:tcW w:w="4284" w:type="dxa"/>
            <w:gridSpan w:val="2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tabs>
                <w:tab w:val="clear" w:pos="0"/>
              </w:tabs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4C5ACF">
              <w:rPr>
                <w:rFonts w:cs="Arial"/>
                <w:sz w:val="20"/>
                <w:szCs w:val="20"/>
                <w:lang w:val="en-GB"/>
              </w:rPr>
              <w:t>Dactylitis</w:t>
            </w:r>
            <w:proofErr w:type="spellEnd"/>
            <w:r w:rsidRPr="004C5ACF">
              <w:rPr>
                <w:rFonts w:cs="Arial"/>
                <w:sz w:val="20"/>
                <w:szCs w:val="20"/>
                <w:lang w:val="en-GB"/>
              </w:rPr>
              <w:t xml:space="preserve"> severity score (0-20),</w:t>
            </w:r>
            <w:r w:rsidRPr="004C5ACF">
              <w:rPr>
                <w:rFonts w:cs="Arial"/>
                <w:sz w:val="20"/>
                <w:szCs w:val="20"/>
                <w:vertAlign w:val="superscript"/>
                <w:lang w:val="en-GB"/>
              </w:rPr>
              <w:t>§</w:t>
            </w:r>
            <w:r w:rsidRPr="004C5ACF">
              <w:rPr>
                <w:rFonts w:cs="Arial"/>
                <w:sz w:val="20"/>
                <w:szCs w:val="20"/>
                <w:lang w:val="en-GB"/>
              </w:rPr>
              <w:t xml:space="preserve"> mean (SD)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2.0 (2.7)</w:t>
            </w:r>
          </w:p>
        </w:tc>
        <w:tc>
          <w:tcPr>
            <w:tcW w:w="1620" w:type="dxa"/>
            <w:tcBorders>
              <w:top w:val="single" w:sz="12" w:space="0" w:color="FFFFFF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1.7 (2.8)</w:t>
            </w:r>
          </w:p>
        </w:tc>
        <w:tc>
          <w:tcPr>
            <w:tcW w:w="1440" w:type="dxa"/>
            <w:tcBorders>
              <w:top w:val="single" w:sz="12" w:space="0" w:color="FFFFFF"/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967" w:rsidRPr="004C5ACF" w:rsidRDefault="00F42967" w:rsidP="00CF6E85">
            <w:pPr>
              <w:spacing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C5ACF">
              <w:rPr>
                <w:rFonts w:cs="Arial"/>
                <w:sz w:val="20"/>
                <w:szCs w:val="20"/>
                <w:lang w:val="en-GB"/>
              </w:rPr>
              <w:t>1.5 (1.9)</w:t>
            </w:r>
          </w:p>
        </w:tc>
      </w:tr>
    </w:tbl>
    <w:p w:rsidR="00F42967" w:rsidRPr="00BD4CE3" w:rsidRDefault="00F42967" w:rsidP="00E375B2">
      <w:pPr>
        <w:spacing w:line="276" w:lineRule="auto"/>
        <w:rPr>
          <w:rFonts w:cs="Arial"/>
          <w:sz w:val="20"/>
          <w:szCs w:val="20"/>
          <w:lang w:val="en-GB"/>
        </w:rPr>
      </w:pPr>
      <w:r w:rsidRPr="00BD4CE3">
        <w:rPr>
          <w:rFonts w:cs="Arial"/>
          <w:sz w:val="20"/>
          <w:szCs w:val="20"/>
          <w:lang w:val="en-GB"/>
        </w:rPr>
        <w:t xml:space="preserve">*The n reflects the number of randomized patients; actual number of patients available for each endpoint may vary. </w:t>
      </w:r>
      <w:r w:rsidRPr="00CA75C9">
        <w:rPr>
          <w:rFonts w:cs="Arial"/>
          <w:sz w:val="20"/>
          <w:szCs w:val="20"/>
          <w:lang w:val="en-GB"/>
        </w:rPr>
        <w:t>Missing data at week 16 were handled using last observation carried forward methodology.</w:t>
      </w:r>
    </w:p>
    <w:p w:rsidR="00F42967" w:rsidRPr="00BD4CE3" w:rsidRDefault="00F42967" w:rsidP="00E375B2">
      <w:pPr>
        <w:spacing w:line="276" w:lineRule="auto"/>
        <w:rPr>
          <w:rFonts w:cs="Arial"/>
          <w:sz w:val="20"/>
          <w:szCs w:val="20"/>
          <w:lang w:val="en-GB"/>
        </w:rPr>
      </w:pPr>
      <w:r w:rsidRPr="00BD4CE3">
        <w:rPr>
          <w:rFonts w:cs="Arial"/>
          <w:sz w:val="20"/>
          <w:szCs w:val="20"/>
          <w:vertAlign w:val="superscript"/>
          <w:lang w:val="en-GB"/>
        </w:rPr>
        <w:t>†</w:t>
      </w:r>
      <w:r w:rsidRPr="00BD4CE3">
        <w:rPr>
          <w:rFonts w:cs="Arial"/>
          <w:sz w:val="20"/>
          <w:szCs w:val="20"/>
          <w:lang w:val="en-GB"/>
        </w:rPr>
        <w:t>Examined among patients who had body surface area ≥3% affected at baseline</w:t>
      </w:r>
      <w:r>
        <w:rPr>
          <w:rFonts w:cs="Arial"/>
          <w:sz w:val="20"/>
          <w:szCs w:val="20"/>
          <w:lang w:val="en-GB"/>
        </w:rPr>
        <w:t xml:space="preserve"> and ≥1 post-baseline value at or prior to week 16</w:t>
      </w:r>
      <w:r w:rsidRPr="00BD4CE3">
        <w:rPr>
          <w:rFonts w:cs="Arial"/>
          <w:sz w:val="20"/>
          <w:szCs w:val="20"/>
          <w:lang w:val="en-GB"/>
        </w:rPr>
        <w:t xml:space="preserve"> (placebo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n=63;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20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n=71;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30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n=79).</w:t>
      </w:r>
    </w:p>
    <w:p w:rsidR="00F42967" w:rsidRPr="00BD4CE3" w:rsidRDefault="00F42967" w:rsidP="00E375B2">
      <w:pPr>
        <w:spacing w:line="276" w:lineRule="auto"/>
        <w:rPr>
          <w:rFonts w:cs="Arial"/>
          <w:sz w:val="20"/>
          <w:szCs w:val="20"/>
          <w:lang w:val="en-GB"/>
        </w:rPr>
      </w:pPr>
      <w:r w:rsidRPr="00BD4CE3">
        <w:rPr>
          <w:rFonts w:cs="Arial"/>
          <w:sz w:val="20"/>
          <w:szCs w:val="20"/>
          <w:vertAlign w:val="superscript"/>
          <w:lang w:val="en-GB"/>
        </w:rPr>
        <w:t>‡</w:t>
      </w:r>
      <w:r w:rsidRPr="00BD4CE3">
        <w:rPr>
          <w:rFonts w:cs="Arial"/>
          <w:sz w:val="20"/>
          <w:szCs w:val="20"/>
          <w:lang w:val="en-GB"/>
        </w:rPr>
        <w:t xml:space="preserve">Examined among patients who had </w:t>
      </w:r>
      <w:proofErr w:type="spellStart"/>
      <w:r w:rsidRPr="00BD4CE3">
        <w:rPr>
          <w:rFonts w:cs="Arial"/>
          <w:sz w:val="20"/>
          <w:szCs w:val="20"/>
          <w:lang w:val="en-GB"/>
        </w:rPr>
        <w:t>enthesopathy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at baseline</w:t>
      </w:r>
      <w:r>
        <w:rPr>
          <w:rFonts w:cs="Arial"/>
          <w:sz w:val="20"/>
          <w:szCs w:val="20"/>
          <w:lang w:val="en-GB"/>
        </w:rPr>
        <w:t xml:space="preserve"> and ≥1 post-baseline value at or prior to week 16</w:t>
      </w:r>
      <w:r w:rsidRPr="00BD4CE3">
        <w:rPr>
          <w:rFonts w:cs="Arial"/>
          <w:sz w:val="20"/>
          <w:szCs w:val="20"/>
          <w:lang w:val="en-GB"/>
        </w:rPr>
        <w:t xml:space="preserve"> (placebo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n=95;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20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n=100;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30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n=108).</w:t>
      </w:r>
    </w:p>
    <w:p w:rsidR="00F42967" w:rsidRDefault="00F42967" w:rsidP="00E375B2">
      <w:pPr>
        <w:spacing w:line="276" w:lineRule="auto"/>
        <w:rPr>
          <w:rFonts w:cs="Arial"/>
          <w:sz w:val="20"/>
          <w:szCs w:val="20"/>
          <w:lang w:val="en-GB"/>
        </w:rPr>
      </w:pPr>
      <w:r w:rsidRPr="00BD4CE3">
        <w:rPr>
          <w:rFonts w:cs="Arial"/>
          <w:sz w:val="20"/>
          <w:szCs w:val="20"/>
          <w:vertAlign w:val="superscript"/>
          <w:lang w:val="en-GB"/>
        </w:rPr>
        <w:t>§</w:t>
      </w:r>
      <w:r w:rsidRPr="00BD4CE3">
        <w:rPr>
          <w:rFonts w:cs="Arial"/>
          <w:sz w:val="20"/>
          <w:szCs w:val="20"/>
          <w:lang w:val="en-GB"/>
        </w:rPr>
        <w:t xml:space="preserve">Examined among patients who had </w:t>
      </w:r>
      <w:proofErr w:type="spellStart"/>
      <w:r w:rsidRPr="00BD4CE3">
        <w:rPr>
          <w:rFonts w:cs="Arial"/>
          <w:sz w:val="20"/>
          <w:szCs w:val="20"/>
          <w:lang w:val="en-GB"/>
        </w:rPr>
        <w:t>dactylitis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at baseline </w:t>
      </w:r>
      <w:r>
        <w:rPr>
          <w:rFonts w:cs="Arial"/>
          <w:sz w:val="20"/>
          <w:szCs w:val="20"/>
          <w:lang w:val="en-GB"/>
        </w:rPr>
        <w:t>and ≥1 post-baseline value at or prior to week 16</w:t>
      </w:r>
      <w:r w:rsidRPr="00BD4CE3">
        <w:rPr>
          <w:rFonts w:cs="Arial"/>
          <w:sz w:val="20"/>
          <w:szCs w:val="20"/>
          <w:lang w:val="en-GB"/>
        </w:rPr>
        <w:t xml:space="preserve"> (placebo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n=63;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20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n=56; </w:t>
      </w:r>
      <w:proofErr w:type="spellStart"/>
      <w:r w:rsidRPr="00BD4CE3">
        <w:rPr>
          <w:rFonts w:cs="Arial"/>
          <w:sz w:val="20"/>
          <w:szCs w:val="20"/>
          <w:lang w:val="en-GB"/>
        </w:rPr>
        <w:t>apremilast</w:t>
      </w:r>
      <w:proofErr w:type="spellEnd"/>
      <w:r w:rsidRPr="00BD4CE3">
        <w:rPr>
          <w:rFonts w:cs="Arial"/>
          <w:sz w:val="20"/>
          <w:szCs w:val="20"/>
          <w:lang w:val="en-GB"/>
        </w:rPr>
        <w:t xml:space="preserve"> 30 mg BID</w:t>
      </w:r>
      <w:r>
        <w:rPr>
          <w:rFonts w:cs="Arial"/>
          <w:sz w:val="20"/>
          <w:szCs w:val="20"/>
          <w:lang w:val="en-GB"/>
        </w:rPr>
        <w:t>:</w:t>
      </w:r>
      <w:r w:rsidRPr="00BD4CE3">
        <w:rPr>
          <w:rFonts w:cs="Arial"/>
          <w:sz w:val="20"/>
          <w:szCs w:val="20"/>
          <w:lang w:val="en-GB"/>
        </w:rPr>
        <w:t xml:space="preserve"> n=66).</w:t>
      </w:r>
    </w:p>
    <w:p w:rsidR="00F42967" w:rsidRPr="00AC7B43" w:rsidRDefault="00F42967" w:rsidP="00E375B2">
      <w:pPr>
        <w:pStyle w:val="Default"/>
        <w:spacing w:before="30"/>
        <w:rPr>
          <w:rFonts w:ascii="Arial" w:hAnsi="Arial" w:cs="Arial"/>
          <w:color w:val="auto"/>
          <w:sz w:val="20"/>
          <w:szCs w:val="20"/>
        </w:rPr>
      </w:pPr>
      <w:r w:rsidRPr="00B42766">
        <w:rPr>
          <w:rFonts w:ascii="Arial" w:hAnsi="Arial" w:cs="Arial"/>
          <w:color w:val="221E1F"/>
          <w:sz w:val="20"/>
          <w:szCs w:val="14"/>
        </w:rPr>
        <w:t>CDAI, Clinical</w:t>
      </w:r>
      <w:r>
        <w:rPr>
          <w:rFonts w:ascii="Arial" w:hAnsi="Arial" w:cs="Arial"/>
          <w:color w:val="221E1F"/>
          <w:sz w:val="20"/>
          <w:szCs w:val="14"/>
        </w:rPr>
        <w:t xml:space="preserve"> Disease Activity Index; CRP, C-reactive protein</w:t>
      </w:r>
      <w:r w:rsidRPr="00B42766">
        <w:rPr>
          <w:rFonts w:ascii="Arial" w:hAnsi="Arial" w:cs="Arial"/>
          <w:color w:val="221E1F"/>
          <w:sz w:val="20"/>
          <w:szCs w:val="14"/>
        </w:rPr>
        <w:t>; DAS-28, 28-joint count Disease Activity Score; HAQ-DI, Health Assessment</w:t>
      </w:r>
      <w:r>
        <w:rPr>
          <w:rFonts w:ascii="Arial" w:hAnsi="Arial" w:cs="Arial"/>
          <w:color w:val="221E1F"/>
          <w:sz w:val="20"/>
          <w:szCs w:val="14"/>
        </w:rPr>
        <w:t xml:space="preserve"> Questionnaire-Disability Index</w:t>
      </w:r>
      <w:r w:rsidRPr="00FF4334">
        <w:rPr>
          <w:rFonts w:ascii="Arial" w:hAnsi="Arial" w:cs="Arial"/>
          <w:color w:val="221E1F"/>
          <w:sz w:val="20"/>
          <w:szCs w:val="20"/>
        </w:rPr>
        <w:t xml:space="preserve">; </w:t>
      </w:r>
      <w:r w:rsidRPr="00FF4334">
        <w:rPr>
          <w:rFonts w:ascii="Arial" w:hAnsi="Arial" w:cs="Arial"/>
          <w:color w:val="auto"/>
          <w:sz w:val="20"/>
          <w:szCs w:val="20"/>
        </w:rPr>
        <w:t>PA</w:t>
      </w:r>
      <w:r>
        <w:rPr>
          <w:rFonts w:ascii="Arial" w:hAnsi="Arial" w:cs="Arial"/>
          <w:color w:val="auto"/>
          <w:sz w:val="20"/>
          <w:szCs w:val="20"/>
        </w:rPr>
        <w:t xml:space="preserve">SI, Psoriasis Area and Severity Index </w:t>
      </w:r>
      <w:r w:rsidRPr="000401B7">
        <w:rPr>
          <w:rFonts w:ascii="Arial" w:hAnsi="Arial" w:cs="Arial"/>
          <w:color w:val="auto"/>
          <w:sz w:val="20"/>
          <w:szCs w:val="20"/>
        </w:rPr>
        <w:t>score; SF-36v2, 36-item Short-Form Health Survey</w:t>
      </w:r>
      <w:r>
        <w:rPr>
          <w:rFonts w:ascii="Arial" w:hAnsi="Arial" w:cs="Arial"/>
          <w:color w:val="auto"/>
          <w:sz w:val="20"/>
          <w:szCs w:val="20"/>
        </w:rPr>
        <w:t xml:space="preserve"> version 2</w:t>
      </w:r>
      <w:r w:rsidRPr="000401B7">
        <w:rPr>
          <w:rFonts w:ascii="Arial" w:hAnsi="Arial" w:cs="Arial"/>
          <w:color w:val="auto"/>
          <w:sz w:val="20"/>
          <w:szCs w:val="20"/>
        </w:rPr>
        <w:t>; VAS, visual analog scale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42967" w:rsidRPr="00BD4CE3" w:rsidRDefault="00F42967" w:rsidP="00E375B2">
      <w:pPr>
        <w:spacing w:line="276" w:lineRule="auto"/>
        <w:rPr>
          <w:rFonts w:cs="Arial"/>
          <w:sz w:val="20"/>
          <w:szCs w:val="20"/>
          <w:lang w:val="en-GB"/>
        </w:rPr>
      </w:pPr>
    </w:p>
    <w:p w:rsidR="000D0F1E" w:rsidRDefault="000D0F1E">
      <w:bookmarkStart w:id="0" w:name="_GoBack"/>
      <w:bookmarkEnd w:id="0"/>
    </w:p>
    <w:sectPr w:rsidR="000D0F1E" w:rsidSect="001F1F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D4" w:rsidRDefault="000D1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F42967"/>
    <w:rsid w:val="000D0F1E"/>
    <w:rsid w:val="000D1A34"/>
    <w:rsid w:val="00A34DB9"/>
    <w:rsid w:val="00EE092B"/>
    <w:rsid w:val="00F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67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F42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2967"/>
  </w:style>
  <w:style w:type="table" w:styleId="TableGrid">
    <w:name w:val="Table Grid"/>
    <w:basedOn w:val="TableNormal"/>
    <w:uiPriority w:val="59"/>
    <w:rsid w:val="00F4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967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967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967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67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67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F42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2967"/>
  </w:style>
  <w:style w:type="table" w:styleId="TableGrid">
    <w:name w:val="Table Grid"/>
    <w:basedOn w:val="TableNormal"/>
    <w:uiPriority w:val="59"/>
    <w:rsid w:val="00F4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967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2967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6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967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6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2</cp:revision>
  <dcterms:created xsi:type="dcterms:W3CDTF">2014-02-06T20:08:00Z</dcterms:created>
  <dcterms:modified xsi:type="dcterms:W3CDTF">2014-02-06T20:08:00Z</dcterms:modified>
</cp:coreProperties>
</file>