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16" w:rsidRDefault="00046135">
      <w:bookmarkStart w:id="0" w:name="_GoBack"/>
      <w:bookmarkEnd w:id="0"/>
      <w:r>
        <w:t>Supplementary</w:t>
      </w:r>
    </w:p>
    <w:p w:rsidR="00046135" w:rsidRPr="00046135" w:rsidRDefault="00FC16EA">
      <w:pPr>
        <w:rPr>
          <w:b/>
        </w:rPr>
      </w:pPr>
      <w:r>
        <w:rPr>
          <w:b/>
        </w:rPr>
        <w:t xml:space="preserve">S1 Preparation of samples, </w:t>
      </w:r>
      <w:r w:rsidR="00046135" w:rsidRPr="00046135">
        <w:rPr>
          <w:b/>
        </w:rPr>
        <w:t xml:space="preserve">chromatographic </w:t>
      </w:r>
      <w:r>
        <w:rPr>
          <w:b/>
        </w:rPr>
        <w:t xml:space="preserve">and mass spectrometry (MS) </w:t>
      </w:r>
      <w:r w:rsidR="00046135" w:rsidRPr="00046135">
        <w:rPr>
          <w:b/>
        </w:rPr>
        <w:t xml:space="preserve">conditions </w:t>
      </w:r>
    </w:p>
    <w:p w:rsidR="00046135" w:rsidRDefault="00046135" w:rsidP="00046135">
      <w:pPr>
        <w:jc w:val="both"/>
      </w:pPr>
      <w:r>
        <w:t>Blank-free plasma and serum samples were stored at -80°C, thawed, spiked with MTX, 7-OH-MTX and the internal standard (MTX-d</w:t>
      </w:r>
      <w:r w:rsidRPr="00604110">
        <w:rPr>
          <w:vertAlign w:val="subscript"/>
        </w:rPr>
        <w:t>3</w:t>
      </w:r>
      <w:r>
        <w:t>) and protein precipitated with methanol. Samples were centrifuged at 10,000g for 10 minutes, the supernatant removed and dried in a concentrator (</w:t>
      </w:r>
      <w:r w:rsidRPr="00604110">
        <w:t>Eppendorf concentrator plus</w:t>
      </w:r>
      <w:r>
        <w:t xml:space="preserve">) at room temperature and reconstituted in 50µl water prior to LC-MS/MS analysis. An </w:t>
      </w:r>
      <w:proofErr w:type="spellStart"/>
      <w:r>
        <w:t>autosampler</w:t>
      </w:r>
      <w:proofErr w:type="spellEnd"/>
      <w:r>
        <w:t xml:space="preserve"> auto-injector (Agilent 1200 series </w:t>
      </w:r>
      <w:proofErr w:type="spellStart"/>
      <w:r>
        <w:t>Autosampler</w:t>
      </w:r>
      <w:proofErr w:type="spellEnd"/>
      <w:r>
        <w:t xml:space="preserve"> with Thermostat, Cheadle, UK) was used to inject 5µl of sample. Chromatographic separation was performed using a </w:t>
      </w:r>
      <w:proofErr w:type="spellStart"/>
      <w:r>
        <w:t>Thermo</w:t>
      </w:r>
      <w:proofErr w:type="spellEnd"/>
      <w:r>
        <w:t xml:space="preserve"> Scientific </w:t>
      </w:r>
      <w:proofErr w:type="spellStart"/>
      <w:r>
        <w:t>Hypersil</w:t>
      </w:r>
      <w:proofErr w:type="spellEnd"/>
      <w:r>
        <w:t xml:space="preserve"> GOLD</w:t>
      </w:r>
      <w:r w:rsidRPr="00604110">
        <w:rPr>
          <w:vertAlign w:val="superscript"/>
        </w:rPr>
        <w:t>TM</w:t>
      </w:r>
      <w:r>
        <w:t xml:space="preserve"> HPLC column maintained at 25°C on an Agilent 1200 series HPLC on-line to the MS </w:t>
      </w:r>
      <w:r w:rsidRPr="00FA7FFB">
        <w:t xml:space="preserve"> </w:t>
      </w:r>
      <w:r>
        <w:t xml:space="preserve">(Agilent® 6460 triple quadrupole). The mobile phase consisted of acetonitrile (ACN) with 0.1% formic acid (B) as the organic component and water with 0.1% formic acid at the aqueous phase (A), the gradient elution timetable is shown in </w:t>
      </w:r>
      <w:r>
        <w:fldChar w:fldCharType="begin"/>
      </w:r>
      <w:r>
        <w:instrText xml:space="preserve"> REF _Ref519248370 \h </w:instrText>
      </w:r>
      <w:r>
        <w:fldChar w:fldCharType="separate"/>
      </w:r>
      <w:r w:rsidR="00FC16EA">
        <w:t>Table S</w:t>
      </w:r>
      <w:r w:rsidR="00FC16EA">
        <w:rPr>
          <w:noProof/>
        </w:rPr>
        <w:t>1</w:t>
      </w:r>
      <w:r>
        <w:fldChar w:fldCharType="end"/>
      </w:r>
      <w:r>
        <w:t xml:space="preserve">.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03"/>
        <w:gridCol w:w="1399"/>
        <w:gridCol w:w="1392"/>
      </w:tblGrid>
      <w:tr w:rsidR="00046135" w:rsidRPr="0066424F" w:rsidTr="00046135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046135" w:rsidRPr="0066424F" w:rsidRDefault="00046135" w:rsidP="00924C89">
            <w:pPr>
              <w:rPr>
                <w:b/>
              </w:rPr>
            </w:pPr>
            <w:r w:rsidRPr="0066424F">
              <w:rPr>
                <w:b/>
              </w:rPr>
              <w:t>Time after injection (min)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46135" w:rsidRPr="0066424F" w:rsidRDefault="00046135" w:rsidP="00924C89">
            <w:pPr>
              <w:rPr>
                <w:b/>
              </w:rPr>
            </w:pPr>
            <w:r w:rsidRPr="0066424F">
              <w:rPr>
                <w:b/>
              </w:rPr>
              <w:t>Buffer A (%)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046135" w:rsidRPr="0066424F" w:rsidRDefault="00046135" w:rsidP="00924C89">
            <w:pPr>
              <w:rPr>
                <w:b/>
              </w:rPr>
            </w:pPr>
            <w:r w:rsidRPr="0066424F">
              <w:rPr>
                <w:b/>
              </w:rPr>
              <w:t>Buffer B (%)</w:t>
            </w:r>
          </w:p>
        </w:tc>
      </w:tr>
      <w:tr w:rsidR="00046135" w:rsidRPr="0066424F" w:rsidTr="00046135">
        <w:tc>
          <w:tcPr>
            <w:tcW w:w="2603" w:type="dxa"/>
            <w:tcBorders>
              <w:top w:val="single" w:sz="4" w:space="0" w:color="auto"/>
            </w:tcBorders>
          </w:tcPr>
          <w:p w:rsidR="00046135" w:rsidRPr="0066424F" w:rsidRDefault="00046135" w:rsidP="00924C89">
            <w:r w:rsidRPr="0066424F">
              <w:t>0.00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46135" w:rsidRPr="0066424F" w:rsidRDefault="00046135" w:rsidP="00924C89">
            <w:r w:rsidRPr="0066424F">
              <w:t>92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046135" w:rsidRPr="0066424F" w:rsidRDefault="00046135" w:rsidP="00924C89">
            <w:r w:rsidRPr="0066424F">
              <w:t>8</w:t>
            </w:r>
          </w:p>
        </w:tc>
      </w:tr>
      <w:tr w:rsidR="00046135" w:rsidRPr="0066424F" w:rsidTr="00046135">
        <w:tc>
          <w:tcPr>
            <w:tcW w:w="2603" w:type="dxa"/>
          </w:tcPr>
          <w:p w:rsidR="00046135" w:rsidRPr="0066424F" w:rsidRDefault="00046135" w:rsidP="00924C89">
            <w:r w:rsidRPr="0066424F">
              <w:t>1.00</w:t>
            </w:r>
          </w:p>
        </w:tc>
        <w:tc>
          <w:tcPr>
            <w:tcW w:w="1399" w:type="dxa"/>
          </w:tcPr>
          <w:p w:rsidR="00046135" w:rsidRPr="0066424F" w:rsidRDefault="00046135" w:rsidP="00924C89">
            <w:r w:rsidRPr="0066424F">
              <w:t>92</w:t>
            </w:r>
          </w:p>
        </w:tc>
        <w:tc>
          <w:tcPr>
            <w:tcW w:w="1392" w:type="dxa"/>
          </w:tcPr>
          <w:p w:rsidR="00046135" w:rsidRPr="0066424F" w:rsidRDefault="00046135" w:rsidP="00924C89">
            <w:r w:rsidRPr="0066424F">
              <w:t>8</w:t>
            </w:r>
          </w:p>
        </w:tc>
      </w:tr>
      <w:tr w:rsidR="00046135" w:rsidRPr="0066424F" w:rsidTr="00046135">
        <w:tc>
          <w:tcPr>
            <w:tcW w:w="2603" w:type="dxa"/>
          </w:tcPr>
          <w:p w:rsidR="00046135" w:rsidRPr="0066424F" w:rsidRDefault="00046135" w:rsidP="00924C89">
            <w:r w:rsidRPr="0066424F">
              <w:t>4.00</w:t>
            </w:r>
          </w:p>
        </w:tc>
        <w:tc>
          <w:tcPr>
            <w:tcW w:w="1399" w:type="dxa"/>
          </w:tcPr>
          <w:p w:rsidR="00046135" w:rsidRPr="0066424F" w:rsidRDefault="00046135" w:rsidP="00924C89">
            <w:r w:rsidRPr="0066424F">
              <w:t>50</w:t>
            </w:r>
          </w:p>
        </w:tc>
        <w:tc>
          <w:tcPr>
            <w:tcW w:w="1392" w:type="dxa"/>
          </w:tcPr>
          <w:p w:rsidR="00046135" w:rsidRPr="0066424F" w:rsidRDefault="00046135" w:rsidP="00924C89">
            <w:r w:rsidRPr="0066424F">
              <w:t>50</w:t>
            </w:r>
          </w:p>
        </w:tc>
      </w:tr>
      <w:tr w:rsidR="00046135" w:rsidRPr="0066424F" w:rsidTr="00046135">
        <w:tc>
          <w:tcPr>
            <w:tcW w:w="2603" w:type="dxa"/>
          </w:tcPr>
          <w:p w:rsidR="00046135" w:rsidRPr="0066424F" w:rsidRDefault="00046135" w:rsidP="00924C89">
            <w:r w:rsidRPr="0066424F">
              <w:t>5.50</w:t>
            </w:r>
          </w:p>
        </w:tc>
        <w:tc>
          <w:tcPr>
            <w:tcW w:w="1399" w:type="dxa"/>
          </w:tcPr>
          <w:p w:rsidR="00046135" w:rsidRPr="0066424F" w:rsidRDefault="00046135" w:rsidP="00924C89">
            <w:r w:rsidRPr="0066424F">
              <w:t>50</w:t>
            </w:r>
          </w:p>
        </w:tc>
        <w:tc>
          <w:tcPr>
            <w:tcW w:w="1392" w:type="dxa"/>
          </w:tcPr>
          <w:p w:rsidR="00046135" w:rsidRPr="0066424F" w:rsidRDefault="00046135" w:rsidP="00924C89">
            <w:r w:rsidRPr="0066424F">
              <w:t>50</w:t>
            </w:r>
          </w:p>
        </w:tc>
      </w:tr>
      <w:tr w:rsidR="00046135" w:rsidRPr="0066424F" w:rsidTr="00046135">
        <w:tc>
          <w:tcPr>
            <w:tcW w:w="2603" w:type="dxa"/>
          </w:tcPr>
          <w:p w:rsidR="00046135" w:rsidRPr="0066424F" w:rsidRDefault="00046135" w:rsidP="00924C89">
            <w:r w:rsidRPr="0066424F">
              <w:t>5.60</w:t>
            </w:r>
          </w:p>
        </w:tc>
        <w:tc>
          <w:tcPr>
            <w:tcW w:w="1399" w:type="dxa"/>
          </w:tcPr>
          <w:p w:rsidR="00046135" w:rsidRPr="0066424F" w:rsidRDefault="00046135" w:rsidP="00924C89">
            <w:r w:rsidRPr="0066424F">
              <w:t>5</w:t>
            </w:r>
          </w:p>
        </w:tc>
        <w:tc>
          <w:tcPr>
            <w:tcW w:w="1392" w:type="dxa"/>
          </w:tcPr>
          <w:p w:rsidR="00046135" w:rsidRPr="0066424F" w:rsidRDefault="00046135" w:rsidP="00924C89">
            <w:r w:rsidRPr="0066424F">
              <w:t>95</w:t>
            </w:r>
          </w:p>
        </w:tc>
      </w:tr>
      <w:tr w:rsidR="00046135" w:rsidRPr="0066424F" w:rsidTr="00046135">
        <w:tc>
          <w:tcPr>
            <w:tcW w:w="2603" w:type="dxa"/>
          </w:tcPr>
          <w:p w:rsidR="00046135" w:rsidRPr="0066424F" w:rsidRDefault="00046135" w:rsidP="00924C89">
            <w:r w:rsidRPr="0066424F">
              <w:t>8.00</w:t>
            </w:r>
          </w:p>
        </w:tc>
        <w:tc>
          <w:tcPr>
            <w:tcW w:w="1399" w:type="dxa"/>
          </w:tcPr>
          <w:p w:rsidR="00046135" w:rsidRPr="0066424F" w:rsidRDefault="00046135" w:rsidP="00924C89">
            <w:r w:rsidRPr="0066424F">
              <w:t>5</w:t>
            </w:r>
          </w:p>
        </w:tc>
        <w:tc>
          <w:tcPr>
            <w:tcW w:w="1392" w:type="dxa"/>
          </w:tcPr>
          <w:p w:rsidR="00046135" w:rsidRPr="0066424F" w:rsidRDefault="00046135" w:rsidP="00924C89">
            <w:r w:rsidRPr="0066424F">
              <w:t>95</w:t>
            </w:r>
          </w:p>
        </w:tc>
      </w:tr>
      <w:tr w:rsidR="00046135" w:rsidRPr="0066424F" w:rsidTr="00046135">
        <w:tc>
          <w:tcPr>
            <w:tcW w:w="2603" w:type="dxa"/>
          </w:tcPr>
          <w:p w:rsidR="00046135" w:rsidRPr="0066424F" w:rsidRDefault="00046135" w:rsidP="00924C89">
            <w:r w:rsidRPr="0066424F">
              <w:t>8.21</w:t>
            </w:r>
          </w:p>
        </w:tc>
        <w:tc>
          <w:tcPr>
            <w:tcW w:w="1399" w:type="dxa"/>
          </w:tcPr>
          <w:p w:rsidR="00046135" w:rsidRPr="0066424F" w:rsidRDefault="00046135" w:rsidP="00924C89">
            <w:r w:rsidRPr="0066424F">
              <w:t>92</w:t>
            </w:r>
          </w:p>
        </w:tc>
        <w:tc>
          <w:tcPr>
            <w:tcW w:w="1392" w:type="dxa"/>
          </w:tcPr>
          <w:p w:rsidR="00046135" w:rsidRPr="0066424F" w:rsidRDefault="00046135" w:rsidP="00924C89">
            <w:r w:rsidRPr="0066424F">
              <w:t>8</w:t>
            </w:r>
          </w:p>
        </w:tc>
      </w:tr>
      <w:tr w:rsidR="00046135" w:rsidRPr="0066424F" w:rsidTr="00046135">
        <w:tc>
          <w:tcPr>
            <w:tcW w:w="2603" w:type="dxa"/>
          </w:tcPr>
          <w:p w:rsidR="00046135" w:rsidRPr="0066424F" w:rsidRDefault="00046135" w:rsidP="00924C89">
            <w:r w:rsidRPr="0066424F">
              <w:t>11.00</w:t>
            </w:r>
          </w:p>
        </w:tc>
        <w:tc>
          <w:tcPr>
            <w:tcW w:w="1399" w:type="dxa"/>
          </w:tcPr>
          <w:p w:rsidR="00046135" w:rsidRPr="0066424F" w:rsidRDefault="00046135" w:rsidP="00924C89">
            <w:r w:rsidRPr="0066424F">
              <w:t>92</w:t>
            </w:r>
          </w:p>
        </w:tc>
        <w:tc>
          <w:tcPr>
            <w:tcW w:w="1392" w:type="dxa"/>
          </w:tcPr>
          <w:p w:rsidR="00046135" w:rsidRPr="0066424F" w:rsidRDefault="00046135" w:rsidP="00924C89">
            <w:pPr>
              <w:keepNext/>
            </w:pPr>
            <w:r w:rsidRPr="0066424F">
              <w:t>8</w:t>
            </w:r>
          </w:p>
        </w:tc>
      </w:tr>
    </w:tbl>
    <w:p w:rsidR="00FC16EA" w:rsidRDefault="00046135" w:rsidP="00FC16EA">
      <w:pPr>
        <w:pStyle w:val="Caption"/>
      </w:pPr>
      <w:bookmarkStart w:id="1" w:name="_Ref519248370"/>
      <w:r>
        <w:t>Table S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 w:rsidR="00FC16EA">
        <w:rPr>
          <w:noProof/>
        </w:rPr>
        <w:t>1</w:t>
      </w:r>
      <w:r>
        <w:rPr>
          <w:noProof/>
        </w:rPr>
        <w:fldChar w:fldCharType="end"/>
      </w:r>
      <w:bookmarkEnd w:id="1"/>
      <w:r>
        <w:t>. Gradient elution timetable.</w:t>
      </w:r>
    </w:p>
    <w:p w:rsidR="00FC16EA" w:rsidRPr="00FC16EA" w:rsidRDefault="00FC16EA" w:rsidP="00FC16EA">
      <w:r>
        <w:t>The MS</w:t>
      </w:r>
      <w:r>
        <w:tab/>
        <w:t xml:space="preserve"> operated in positive ion mode and MTX/7-OH-MTX were detected using the following SRM transitions: </w:t>
      </w:r>
      <w:r w:rsidRPr="00604110">
        <w:t>455.1 &gt; 308.1 for MTX, 471.1 &gt; 324.1 for 7-OH-MTX, and 458.1 &gt; 311.1 for MTX-d</w:t>
      </w:r>
      <w:r w:rsidRPr="00604110">
        <w:rPr>
          <w:vertAlign w:val="subscript"/>
        </w:rPr>
        <w:t>3</w:t>
      </w:r>
      <w:r>
        <w:t xml:space="preserve"> as described previously </w:t>
      </w:r>
      <w:r>
        <w:fldChar w:fldCharType="begin"/>
      </w:r>
      <w:r>
        <w:instrText xml:space="preserve"> ADDIN EN.CITE &lt;EndNote&gt;&lt;Cite&gt;&lt;Author&gt;Bluett&lt;/Author&gt;&lt;Year&gt;2015&lt;/Year&gt;&lt;RecNum&gt;24&lt;/RecNum&gt;&lt;DisplayText&gt;(1)&lt;/DisplayText&gt;&lt;record&gt;&lt;rec-number&gt;24&lt;/rec-number&gt;&lt;foreign-keys&gt;&lt;key app="EN" db-id="9vzvdadtpsdf06epwrwvdxwk29wex2v55w2v"&gt;24&lt;/key&gt;&lt;/foreign-keys&gt;&lt;ref-type name="Journal Article"&gt;17&lt;/ref-type&gt;&lt;contributors&gt;&lt;authors&gt;&lt;author&gt;Bluett, J.&lt;/author&gt;&lt;author&gt;Riba-Garcia, I.&lt;/author&gt;&lt;author&gt;Hollywood, K.&lt;/author&gt;&lt;author&gt;Verstappen, S. M. M.&lt;/author&gt;&lt;author&gt;Barton, A.&lt;/author&gt;&lt;author&gt;Unwin, R. D.&lt;/author&gt;&lt;/authors&gt;&lt;/contributors&gt;&lt;titles&gt;&lt;title&gt;A HPLC-SRM-MS based method for the detection and quantification of methotrexate in urine at doses used in clinical practice for patients with rheumatological disease: a potential measure of adherence&lt;/title&gt;&lt;secondary-title&gt;Analyst&lt;/secondary-title&gt;&lt;/titles&gt;&lt;periodical&gt;&lt;full-title&gt;Analyst&lt;/full-title&gt;&lt;/periodical&gt;&lt;pages&gt;1981-1987&lt;/pages&gt;&lt;volume&gt;140&lt;/volume&gt;&lt;number&gt;6&lt;/number&gt;&lt;dates&gt;&lt;year&gt;2015&lt;/year&gt;&lt;/dates&gt;&lt;publisher&gt;The Royal Society of Chemistry&lt;/publisher&gt;&lt;isbn&gt;0003-2654&lt;/isbn&gt;&lt;work-type&gt;10.1039/C4AN02321H&lt;/work-type&gt;&lt;urls&gt;&lt;related-urls&gt;&lt;url&gt;http://dx.doi.org/10.1039/C4AN02321H&lt;/url&gt;&lt;/related-urls&gt;&lt;/urls&gt;&lt;electronic-resource-num&gt;10.1039/c4an02321h&lt;/electronic-resource-num&gt;&lt;/record&gt;&lt;/Cite&gt;&lt;/EndNote&gt;</w:instrText>
      </w:r>
      <w:r>
        <w:fldChar w:fldCharType="separate"/>
      </w:r>
      <w:r>
        <w:rPr>
          <w:noProof/>
        </w:rPr>
        <w:t>(1)</w:t>
      </w:r>
      <w:r>
        <w:fldChar w:fldCharType="end"/>
      </w:r>
      <w:r>
        <w:t>.</w:t>
      </w:r>
    </w:p>
    <w:p w:rsidR="00533068" w:rsidRPr="00870854" w:rsidRDefault="00533068" w:rsidP="00533068">
      <w:pPr>
        <w:rPr>
          <w:b/>
        </w:rPr>
      </w:pPr>
      <w:r>
        <w:rPr>
          <w:b/>
        </w:rPr>
        <w:t xml:space="preserve">S2 </w:t>
      </w:r>
      <w:r w:rsidRPr="00870854">
        <w:rPr>
          <w:b/>
        </w:rPr>
        <w:t>MTX Assay Optimisation and Re-evaluation of Adherence Measurement</w:t>
      </w:r>
    </w:p>
    <w:p w:rsidR="00533068" w:rsidRDefault="00533068" w:rsidP="00533068">
      <w:pPr>
        <w:jc w:val="both"/>
      </w:pPr>
      <w:r>
        <w:t>The HPLC-SRM-MS assay was optimised by discarding 7-OH-MTX measurement and increasing the MTX transition dwell time. The subsequent LLOQ of the optimised assay was 0.1 nM with precision (</w:t>
      </w:r>
      <w:proofErr w:type="gramStart"/>
      <w:r>
        <w:t>CV%</w:t>
      </w:r>
      <w:proofErr w:type="gramEnd"/>
      <w:r>
        <w:t xml:space="preserve">) </w:t>
      </w:r>
      <w:r>
        <w:rPr>
          <w:rFonts w:cstheme="minorHAnsi"/>
        </w:rPr>
        <w:t>≤</w:t>
      </w:r>
      <w:r>
        <w:t xml:space="preserve">3.5%, accuracy was within ±20% and </w:t>
      </w:r>
      <w:proofErr w:type="spellStart"/>
      <w:r>
        <w:t>signal:noise</w:t>
      </w:r>
      <w:proofErr w:type="spellEnd"/>
      <w:r>
        <w:t xml:space="preserve"> ratio &gt; 10 in serum and plasma. </w:t>
      </w:r>
    </w:p>
    <w:p w:rsidR="00533068" w:rsidRPr="00533068" w:rsidRDefault="00533068" w:rsidP="00533068">
      <w:pPr>
        <w:jc w:val="both"/>
        <w:rPr>
          <w:b/>
        </w:rPr>
      </w:pPr>
      <w:r w:rsidRPr="00533068">
        <w:rPr>
          <w:b/>
        </w:rPr>
        <w:t>S3 Recruitment flow chart for the MEMO study from RAMS</w:t>
      </w:r>
    </w:p>
    <w:p w:rsidR="00533068" w:rsidRDefault="00533068" w:rsidP="00533068">
      <w:pPr>
        <w:jc w:val="both"/>
      </w:pPr>
      <w:r>
        <w:rPr>
          <w:noProof/>
          <w:lang w:eastAsia="en-GB"/>
        </w:rPr>
        <w:lastRenderedPageBreak/>
        <w:drawing>
          <wp:inline distT="0" distB="0" distL="0" distR="0" wp14:anchorId="534AF070" wp14:editId="7CF6E9E7">
            <wp:extent cx="5355293" cy="7208436"/>
            <wp:effectExtent l="19050" t="0" r="0" b="0"/>
            <wp:docPr id="891" name="Picture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99" cy="7202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068" w:rsidRPr="00533068" w:rsidRDefault="00533068" w:rsidP="00533068"/>
    <w:p w:rsidR="00533068" w:rsidRDefault="00533068">
      <w:r w:rsidRPr="00533068">
        <w:rPr>
          <w:b/>
        </w:rPr>
        <w:lastRenderedPageBreak/>
        <w:t>S4. Compartment models used to fit the plasma data for MTX and 7-OH-MTX.</w:t>
      </w:r>
      <w:r w:rsidRPr="0066424F">
        <w:t xml:space="preserve"> </w:t>
      </w:r>
      <w:r w:rsidRPr="0066424F">
        <w:rPr>
          <w:noProof/>
          <w:lang w:eastAsia="en-GB"/>
        </w:rPr>
        <w:drawing>
          <wp:inline distT="0" distB="0" distL="0" distR="0" wp14:anchorId="1A46D713" wp14:editId="2AB5A8E1">
            <wp:extent cx="5401310" cy="2847340"/>
            <wp:effectExtent l="19050" t="0" r="8890" b="0"/>
            <wp:docPr id="909" name="Picture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068" w:rsidRDefault="00533068" w:rsidP="00533068">
      <w:proofErr w:type="spellStart"/>
      <w:r w:rsidRPr="0066424F">
        <w:t>K</w:t>
      </w:r>
      <w:r w:rsidRPr="0066424F">
        <w:rPr>
          <w:vertAlign w:val="subscript"/>
        </w:rPr>
        <w:t>a</w:t>
      </w:r>
      <w:proofErr w:type="spellEnd"/>
      <w:r w:rsidRPr="0066424F">
        <w:t xml:space="preserve"> = absorption rate constant, CL = apparent MTX clearance, </w:t>
      </w:r>
      <w:proofErr w:type="spellStart"/>
      <w:r w:rsidRPr="0066424F">
        <w:t>CL</w:t>
      </w:r>
      <w:r w:rsidRPr="0066424F">
        <w:rPr>
          <w:vertAlign w:val="subscript"/>
        </w:rPr>
        <w:t>m</w:t>
      </w:r>
      <w:proofErr w:type="spellEnd"/>
      <w:r w:rsidRPr="0066424F">
        <w:t xml:space="preserve"> = apparent 7-OH-MTX clearance, V = volume of distribution, </w:t>
      </w:r>
      <w:proofErr w:type="spellStart"/>
      <w:r w:rsidRPr="0066424F">
        <w:t>f</w:t>
      </w:r>
      <w:r w:rsidRPr="0066424F">
        <w:rPr>
          <w:vertAlign w:val="subscript"/>
        </w:rPr>
        <w:t>m</w:t>
      </w:r>
      <w:proofErr w:type="spellEnd"/>
      <w:r w:rsidRPr="0066424F">
        <w:t xml:space="preserve"> = apparent fraction of MTX converted to 7-OH-MTX and Q = </w:t>
      </w:r>
      <w:proofErr w:type="spellStart"/>
      <w:r w:rsidRPr="0066424F">
        <w:t>intercompartmental</w:t>
      </w:r>
      <w:proofErr w:type="spellEnd"/>
      <w:r w:rsidRPr="0066424F">
        <w:t xml:space="preserve"> clearance.</w:t>
      </w:r>
      <w:r>
        <w:t xml:space="preserve"> </w:t>
      </w:r>
      <w:r w:rsidRPr="0066424F">
        <w:t xml:space="preserve">Compartment V4 was not structurally identifiable therefore apparent formation and clearance of 7-OH-MTX </w:t>
      </w:r>
      <w:r>
        <w:t>were</w:t>
      </w:r>
      <w:r w:rsidRPr="0066424F">
        <w:t xml:space="preserve"> estimated (</w:t>
      </w:r>
      <w:proofErr w:type="spellStart"/>
      <w:r w:rsidRPr="0066424F">
        <w:t>f</w:t>
      </w:r>
      <w:r w:rsidRPr="0066424F">
        <w:rPr>
          <w:vertAlign w:val="subscript"/>
        </w:rPr>
        <w:t>m</w:t>
      </w:r>
      <w:proofErr w:type="spellEnd"/>
      <w:r w:rsidRPr="0066424F">
        <w:t xml:space="preserve">/V4 and </w:t>
      </w:r>
      <w:proofErr w:type="spellStart"/>
      <w:r w:rsidRPr="0066424F">
        <w:t>CL</w:t>
      </w:r>
      <w:r w:rsidRPr="0066424F">
        <w:rPr>
          <w:vertAlign w:val="subscript"/>
        </w:rPr>
        <w:t>m</w:t>
      </w:r>
      <w:proofErr w:type="spellEnd"/>
      <w:r w:rsidRPr="0066424F">
        <w:t>/V4 respectively).</w:t>
      </w:r>
    </w:p>
    <w:p w:rsidR="00533068" w:rsidRDefault="00533068">
      <w:r w:rsidRPr="00533068">
        <w:rPr>
          <w:b/>
        </w:rPr>
        <w:t xml:space="preserve">S5. </w:t>
      </w:r>
      <w:proofErr w:type="gramStart"/>
      <w:r w:rsidRPr="00533068">
        <w:rPr>
          <w:b/>
        </w:rPr>
        <w:t>Population  mean</w:t>
      </w:r>
      <w:proofErr w:type="gramEnd"/>
      <w:r w:rsidRPr="00533068">
        <w:rPr>
          <w:b/>
        </w:rPr>
        <w:t xml:space="preserve"> results from the pharmacokinetic modelling and the amount of variability within the model that is explained by each parameter.</w:t>
      </w:r>
      <w:r w:rsidRPr="00533068">
        <w:t xml:space="preserve"> </w:t>
      </w:r>
    </w:p>
    <w:tbl>
      <w:tblPr>
        <w:tblW w:w="6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0"/>
        <w:gridCol w:w="2380"/>
        <w:gridCol w:w="2240"/>
        <w:gridCol w:w="1280"/>
      </w:tblGrid>
      <w:tr w:rsidR="00533068" w:rsidRPr="0066424F" w:rsidTr="00924C89">
        <w:trPr>
          <w:trHeight w:val="300"/>
        </w:trPr>
        <w:tc>
          <w:tcPr>
            <w:tcW w:w="300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b/>
                <w:lang w:eastAsia="en-GB"/>
              </w:rPr>
            </w:pPr>
            <w:r w:rsidRPr="0066424F">
              <w:rPr>
                <w:rFonts w:eastAsia="Times New Roman" w:cs="Arial"/>
                <w:b/>
                <w:color w:val="000000"/>
                <w:kern w:val="24"/>
                <w:lang w:eastAsia="en-GB"/>
              </w:rPr>
              <w:t>Parameter</w:t>
            </w:r>
          </w:p>
        </w:tc>
        <w:tc>
          <w:tcPr>
            <w:tcW w:w="224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b/>
                <w:lang w:eastAsia="en-GB"/>
              </w:rPr>
            </w:pPr>
            <w:r w:rsidRPr="0066424F">
              <w:rPr>
                <w:rFonts w:eastAsia="Times New Roman" w:cs="Arial"/>
                <w:b/>
                <w:color w:val="000000"/>
                <w:kern w:val="24"/>
                <w:lang w:eastAsia="en-GB"/>
              </w:rPr>
              <w:t>Estimate</w:t>
            </w:r>
          </w:p>
        </w:tc>
        <w:tc>
          <w:tcPr>
            <w:tcW w:w="128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lang w:eastAsia="en-GB"/>
              </w:rPr>
              <w:t>Relative</w:t>
            </w:r>
            <w:r w:rsidRPr="0066424F">
              <w:rPr>
                <w:rFonts w:eastAsia="Times New Roman" w:cs="Arial"/>
                <w:b/>
                <w:color w:val="000000"/>
                <w:kern w:val="24"/>
                <w:lang w:eastAsia="en-GB"/>
              </w:rPr>
              <w:t xml:space="preserve"> Standard Error (%)</w:t>
            </w:r>
          </w:p>
        </w:tc>
      </w:tr>
      <w:tr w:rsidR="00533068" w:rsidRPr="0066424F" w:rsidTr="00924C89">
        <w:trPr>
          <w:trHeight w:val="300"/>
        </w:trPr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i/>
                <w:u w:val="single"/>
                <w:lang w:eastAsia="en-GB"/>
              </w:rPr>
            </w:pPr>
            <w:r w:rsidRPr="0066424F">
              <w:rPr>
                <w:rFonts w:eastAsia="Times New Roman" w:cs="Arial"/>
                <w:i/>
                <w:color w:val="000000"/>
                <w:kern w:val="24"/>
                <w:u w:val="single"/>
                <w:lang w:eastAsia="en-GB"/>
              </w:rPr>
              <w:t>Population mean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533068" w:rsidRPr="0066424F" w:rsidTr="00924C8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CL/F (l/h)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bCs/>
                <w:color w:val="000000"/>
                <w:kern w:val="24"/>
                <w:lang w:eastAsia="en-GB"/>
              </w:rPr>
              <w:t>6.75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7.0</w:t>
            </w:r>
          </w:p>
        </w:tc>
      </w:tr>
      <w:tr w:rsidR="00533068" w:rsidRPr="0066424F" w:rsidTr="00924C8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V</w:t>
            </w:r>
            <w:r w:rsidRPr="0066424F">
              <w:rPr>
                <w:rFonts w:eastAsia="Times New Roman" w:cs="Arial"/>
                <w:color w:val="000000"/>
                <w:kern w:val="24"/>
                <w:position w:val="-7"/>
                <w:vertAlign w:val="subscript"/>
                <w:lang w:eastAsia="en-GB"/>
              </w:rPr>
              <w:t>2</w:t>
            </w: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/F(l)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bCs/>
                <w:color w:val="000000"/>
                <w:kern w:val="24"/>
                <w:lang w:eastAsia="en-GB"/>
              </w:rPr>
              <w:t>30.3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9.9</w:t>
            </w:r>
          </w:p>
        </w:tc>
      </w:tr>
      <w:tr w:rsidR="00533068" w:rsidRPr="0066424F" w:rsidTr="00924C8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Q/F (l/h)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0.449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20.2</w:t>
            </w:r>
          </w:p>
        </w:tc>
      </w:tr>
      <w:tr w:rsidR="00533068" w:rsidRPr="0066424F" w:rsidTr="00924C8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V</w:t>
            </w:r>
            <w:r w:rsidRPr="0066424F">
              <w:rPr>
                <w:rFonts w:eastAsia="Times New Roman" w:cs="Arial"/>
                <w:color w:val="000000"/>
                <w:kern w:val="24"/>
                <w:position w:val="-7"/>
                <w:vertAlign w:val="subscript"/>
                <w:lang w:eastAsia="en-GB"/>
              </w:rPr>
              <w:t>3</w:t>
            </w: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/F(l)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bCs/>
                <w:color w:val="000000"/>
                <w:kern w:val="24"/>
                <w:lang w:eastAsia="en-GB"/>
              </w:rPr>
              <w:t>65.8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46.0</w:t>
            </w:r>
          </w:p>
        </w:tc>
      </w:tr>
      <w:tr w:rsidR="00533068" w:rsidRPr="0066424F" w:rsidTr="00924C8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k</w:t>
            </w:r>
            <w:r w:rsidRPr="0066424F">
              <w:rPr>
                <w:rFonts w:eastAsia="Times New Roman" w:cs="Arial"/>
                <w:color w:val="000000"/>
                <w:kern w:val="24"/>
                <w:position w:val="-7"/>
                <w:vertAlign w:val="subscript"/>
                <w:lang w:eastAsia="en-GB"/>
              </w:rPr>
              <w:t>a</w:t>
            </w: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(h</w:t>
            </w:r>
            <w:r w:rsidRPr="0066424F">
              <w:rPr>
                <w:rFonts w:eastAsia="Times New Roman" w:cs="Arial"/>
                <w:color w:val="000000"/>
                <w:kern w:val="24"/>
                <w:position w:val="8"/>
                <w:vertAlign w:val="superscript"/>
                <w:lang w:eastAsia="en-GB"/>
              </w:rPr>
              <w:t>-1</w:t>
            </w: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1.19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24.1</w:t>
            </w:r>
          </w:p>
        </w:tc>
      </w:tr>
      <w:tr w:rsidR="00533068" w:rsidRPr="0066424F" w:rsidTr="00924C8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f</w:t>
            </w:r>
            <w:r w:rsidRPr="0066424F">
              <w:rPr>
                <w:rFonts w:eastAsia="Times New Roman" w:cs="Arial"/>
                <w:color w:val="000000"/>
                <w:kern w:val="24"/>
                <w:position w:val="-7"/>
                <w:vertAlign w:val="subscript"/>
                <w:lang w:eastAsia="en-GB"/>
              </w:rPr>
              <w:t>m</w:t>
            </w: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/V</w:t>
            </w:r>
            <w:r w:rsidRPr="0066424F">
              <w:rPr>
                <w:rFonts w:eastAsia="Times New Roman" w:cs="Arial"/>
                <w:color w:val="000000"/>
                <w:kern w:val="24"/>
                <w:position w:val="-7"/>
                <w:vertAlign w:val="subscript"/>
                <w:lang w:eastAsia="en-GB"/>
              </w:rPr>
              <w:t>4</w:t>
            </w: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(l</w:t>
            </w:r>
            <w:r w:rsidRPr="0066424F">
              <w:rPr>
                <w:rFonts w:eastAsia="Times New Roman" w:cs="Arial"/>
                <w:color w:val="000000"/>
                <w:kern w:val="24"/>
                <w:position w:val="8"/>
                <w:vertAlign w:val="superscript"/>
                <w:lang w:eastAsia="en-GB"/>
              </w:rPr>
              <w:t>-1</w:t>
            </w: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0.00439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15.4</w:t>
            </w:r>
          </w:p>
        </w:tc>
      </w:tr>
      <w:tr w:rsidR="00533068" w:rsidRPr="0066424F" w:rsidTr="00924C8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CL</w:t>
            </w:r>
            <w:r w:rsidRPr="0066424F">
              <w:rPr>
                <w:rFonts w:eastAsia="Times New Roman" w:cs="Arial"/>
                <w:color w:val="000000"/>
                <w:kern w:val="24"/>
                <w:position w:val="-7"/>
                <w:vertAlign w:val="subscript"/>
                <w:lang w:eastAsia="en-GB"/>
              </w:rPr>
              <w:t>m</w:t>
            </w: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/V</w:t>
            </w:r>
            <w:r w:rsidRPr="0066424F">
              <w:rPr>
                <w:rFonts w:eastAsia="Times New Roman" w:cs="Arial"/>
                <w:color w:val="000000"/>
                <w:kern w:val="24"/>
                <w:position w:val="-7"/>
                <w:vertAlign w:val="subscript"/>
                <w:lang w:eastAsia="en-GB"/>
              </w:rPr>
              <w:t>4</w:t>
            </w: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(h</w:t>
            </w:r>
            <w:r w:rsidRPr="0066424F">
              <w:rPr>
                <w:rFonts w:eastAsia="Times New Roman" w:cs="Arial"/>
                <w:color w:val="000000"/>
                <w:kern w:val="24"/>
                <w:position w:val="8"/>
                <w:vertAlign w:val="superscript"/>
                <w:lang w:eastAsia="en-GB"/>
              </w:rPr>
              <w:t>-1</w:t>
            </w: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0.0563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8.2</w:t>
            </w:r>
          </w:p>
        </w:tc>
      </w:tr>
      <w:tr w:rsidR="00533068" w:rsidRPr="0066424F" w:rsidTr="00924C89">
        <w:trPr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i/>
                <w:u w:val="single"/>
                <w:lang w:eastAsia="en-GB"/>
              </w:rPr>
            </w:pPr>
            <w:r w:rsidRPr="0066424F">
              <w:rPr>
                <w:rFonts w:eastAsia="Times New Roman" w:cs="Arial"/>
                <w:i/>
                <w:color w:val="000000"/>
                <w:kern w:val="24"/>
                <w:u w:val="single"/>
                <w:lang w:eastAsia="en-GB"/>
              </w:rPr>
              <w:t>Variability (</w:t>
            </w:r>
            <w:proofErr w:type="gramStart"/>
            <w:r w:rsidRPr="0066424F">
              <w:rPr>
                <w:rFonts w:eastAsia="Times New Roman" w:cs="Arial"/>
                <w:i/>
                <w:color w:val="000000"/>
                <w:kern w:val="24"/>
                <w:u w:val="single"/>
                <w:lang w:eastAsia="en-GB"/>
              </w:rPr>
              <w:t>CV%</w:t>
            </w:r>
            <w:proofErr w:type="gramEnd"/>
            <w:r w:rsidRPr="0066424F">
              <w:rPr>
                <w:rFonts w:eastAsia="Times New Roman" w:cs="Arial"/>
                <w:i/>
                <w:color w:val="000000"/>
                <w:kern w:val="24"/>
                <w:u w:val="single"/>
                <w:lang w:eastAsia="en-GB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533068" w:rsidRPr="0066424F" w:rsidTr="00924C8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CL/F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20.2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49.0</w:t>
            </w:r>
          </w:p>
        </w:tc>
      </w:tr>
      <w:tr w:rsidR="00533068" w:rsidRPr="0066424F" w:rsidTr="00924C8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V</w:t>
            </w:r>
            <w:r w:rsidRPr="0066424F">
              <w:rPr>
                <w:rFonts w:eastAsia="Times New Roman" w:cs="Arial"/>
                <w:color w:val="000000"/>
                <w:kern w:val="24"/>
                <w:position w:val="-7"/>
                <w:vertAlign w:val="subscript"/>
                <w:lang w:eastAsia="en-GB"/>
              </w:rPr>
              <w:t>2</w:t>
            </w: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/F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24.2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63.2</w:t>
            </w:r>
          </w:p>
        </w:tc>
      </w:tr>
      <w:tr w:rsidR="00533068" w:rsidRPr="0066424F" w:rsidTr="00924C8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Q/F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36.3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79.0</w:t>
            </w:r>
          </w:p>
        </w:tc>
      </w:tr>
      <w:tr w:rsidR="00533068" w:rsidRPr="0066424F" w:rsidTr="00924C8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V</w:t>
            </w:r>
            <w:r w:rsidRPr="0066424F">
              <w:rPr>
                <w:rFonts w:eastAsia="Times New Roman" w:cs="Arial"/>
                <w:color w:val="000000"/>
                <w:kern w:val="24"/>
                <w:position w:val="-7"/>
                <w:vertAlign w:val="subscript"/>
                <w:lang w:eastAsia="en-GB"/>
              </w:rPr>
              <w:t>3</w:t>
            </w: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/F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45.7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116.0</w:t>
            </w:r>
          </w:p>
        </w:tc>
      </w:tr>
      <w:tr w:rsidR="00533068" w:rsidRPr="0066424F" w:rsidTr="00924C8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k</w:t>
            </w:r>
            <w:r w:rsidRPr="0066424F">
              <w:rPr>
                <w:rFonts w:eastAsia="Times New Roman" w:cs="Arial"/>
                <w:color w:val="000000"/>
                <w:kern w:val="24"/>
                <w:position w:val="-7"/>
                <w:vertAlign w:val="subscript"/>
                <w:lang w:eastAsia="en-GB"/>
              </w:rPr>
              <w:t>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42.3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107.0</w:t>
            </w:r>
          </w:p>
        </w:tc>
      </w:tr>
      <w:tr w:rsidR="00533068" w:rsidRPr="0066424F" w:rsidTr="00924C89">
        <w:trPr>
          <w:trHeight w:val="300"/>
        </w:trPr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f</w:t>
            </w:r>
            <w:r w:rsidRPr="0066424F">
              <w:rPr>
                <w:rFonts w:eastAsia="Times New Roman" w:cs="Arial"/>
                <w:color w:val="000000"/>
                <w:kern w:val="24"/>
                <w:position w:val="-7"/>
                <w:vertAlign w:val="subscript"/>
                <w:lang w:eastAsia="en-GB"/>
              </w:rPr>
              <w:t>m</w:t>
            </w: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/V</w:t>
            </w:r>
            <w:r w:rsidRPr="0066424F">
              <w:rPr>
                <w:rFonts w:eastAsia="Times New Roman" w:cs="Arial"/>
                <w:color w:val="000000"/>
                <w:kern w:val="24"/>
                <w:position w:val="-7"/>
                <w:vertAlign w:val="subscript"/>
                <w:lang w:eastAsia="en-GB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57.8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41.6</w:t>
            </w:r>
          </w:p>
        </w:tc>
      </w:tr>
      <w:tr w:rsidR="00533068" w:rsidRPr="0066424F" w:rsidTr="00924C8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CL</w:t>
            </w:r>
            <w:r w:rsidRPr="0066424F">
              <w:rPr>
                <w:rFonts w:eastAsia="Times New Roman" w:cs="Arial"/>
                <w:color w:val="000000"/>
                <w:kern w:val="24"/>
                <w:position w:val="-7"/>
                <w:vertAlign w:val="subscript"/>
                <w:lang w:eastAsia="en-GB"/>
              </w:rPr>
              <w:t>m</w:t>
            </w: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/V</w:t>
            </w:r>
            <w:r w:rsidRPr="0066424F">
              <w:rPr>
                <w:rFonts w:eastAsia="Times New Roman" w:cs="Arial"/>
                <w:color w:val="000000"/>
                <w:kern w:val="24"/>
                <w:position w:val="-7"/>
                <w:vertAlign w:val="subscript"/>
                <w:lang w:eastAsia="en-GB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22.4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068" w:rsidRPr="0066424F" w:rsidRDefault="00533068" w:rsidP="00924C89">
            <w:pPr>
              <w:keepNext/>
              <w:spacing w:after="0" w:line="240" w:lineRule="auto"/>
              <w:textAlignment w:val="center"/>
              <w:rPr>
                <w:rFonts w:eastAsia="Times New Roman" w:cs="Arial"/>
                <w:lang w:eastAsia="en-GB"/>
              </w:rPr>
            </w:pPr>
            <w:r w:rsidRPr="0066424F">
              <w:rPr>
                <w:rFonts w:eastAsia="Times New Roman" w:cs="Arial"/>
                <w:color w:val="000000"/>
                <w:kern w:val="24"/>
                <w:lang w:eastAsia="en-GB"/>
              </w:rPr>
              <w:t>60.0</w:t>
            </w:r>
          </w:p>
        </w:tc>
      </w:tr>
    </w:tbl>
    <w:p w:rsidR="00533068" w:rsidRDefault="00533068"/>
    <w:p w:rsidR="00533068" w:rsidRDefault="00533068">
      <w:r w:rsidRPr="00533068">
        <w:lastRenderedPageBreak/>
        <w:t xml:space="preserve">CL = clearance. F = bioavailability. Q = </w:t>
      </w:r>
      <w:proofErr w:type="spellStart"/>
      <w:r w:rsidRPr="00533068">
        <w:t>intercompartmental</w:t>
      </w:r>
      <w:proofErr w:type="spellEnd"/>
      <w:r w:rsidRPr="00533068">
        <w:t xml:space="preserve"> clearance. V = apparent volume of distribution. </w:t>
      </w:r>
      <w:proofErr w:type="spellStart"/>
      <w:r w:rsidRPr="00533068">
        <w:t>Ka</w:t>
      </w:r>
      <w:proofErr w:type="spellEnd"/>
      <w:r w:rsidRPr="00533068">
        <w:t xml:space="preserve"> = absorption rate coefficient, </w:t>
      </w:r>
      <w:proofErr w:type="spellStart"/>
      <w:r w:rsidRPr="00533068">
        <w:t>fm</w:t>
      </w:r>
      <w:proofErr w:type="spellEnd"/>
      <w:r w:rsidRPr="00533068">
        <w:t xml:space="preserve"> = apparent fraction of MTX converted to 7-OH-MTX, </w:t>
      </w:r>
      <w:proofErr w:type="spellStart"/>
      <w:r w:rsidRPr="00533068">
        <w:t>CLm</w:t>
      </w:r>
      <w:proofErr w:type="spellEnd"/>
      <w:r w:rsidRPr="00533068">
        <w:t xml:space="preserve"> = apparent clearance of 7-OH-MTX.</w:t>
      </w:r>
    </w:p>
    <w:p w:rsidR="00F12D4F" w:rsidRPr="00F12D4F" w:rsidRDefault="00F12D4F" w:rsidP="00F12D4F">
      <w:pPr>
        <w:rPr>
          <w:rFonts w:ascii="Calibri" w:eastAsia="Calibri" w:hAnsi="Calibri" w:cs="Times New Roman"/>
          <w:b/>
        </w:rPr>
      </w:pPr>
      <w:r w:rsidRPr="00F12D4F">
        <w:rPr>
          <w:b/>
        </w:rPr>
        <w:t xml:space="preserve">Supplementary </w:t>
      </w:r>
      <w:r>
        <w:rPr>
          <w:b/>
        </w:rPr>
        <w:t>S</w:t>
      </w:r>
      <w:r w:rsidR="002B66EF">
        <w:rPr>
          <w:b/>
        </w:rPr>
        <w:t>6</w:t>
      </w:r>
      <w:r w:rsidRPr="00F12D4F">
        <w:rPr>
          <w:b/>
        </w:rPr>
        <w:t xml:space="preserve">. </w:t>
      </w:r>
      <w:r w:rsidRPr="00F12D4F">
        <w:rPr>
          <w:rFonts w:ascii="Calibri" w:eastAsia="Calibri" w:hAnsi="Calibri" w:cs="Times New Roman"/>
          <w:b/>
        </w:rPr>
        <w:t>Simulated data of 1,000 hypothetical individuals showing the proportion of subjects with predicted concentrations of MTX above the LLOQ following ingestion of 5mg (a), 7.5mg (b), 10mg (c)</w:t>
      </w:r>
      <w:r>
        <w:rPr>
          <w:rFonts w:ascii="Calibri" w:eastAsia="Calibri" w:hAnsi="Calibri" w:cs="Times New Roman"/>
          <w:b/>
        </w:rPr>
        <w:t>,</w:t>
      </w:r>
      <w:r w:rsidRPr="00F12D4F">
        <w:rPr>
          <w:rFonts w:ascii="Calibri" w:eastAsia="Calibri" w:hAnsi="Calibri" w:cs="Times New Roman"/>
          <w:b/>
        </w:rPr>
        <w:t xml:space="preserve"> 12.5mg (d), 15mg (e), 17.5mg (f) and 20mg (g) MTX orally given LLOQ values as shown in the inserted box.</w:t>
      </w:r>
    </w:p>
    <w:p w:rsidR="00F12D4F" w:rsidRDefault="00F12D4F" w:rsidP="00F12D4F">
      <w:r>
        <w:rPr>
          <w:noProof/>
          <w:lang w:eastAsia="en-GB"/>
        </w:rPr>
        <w:drawing>
          <wp:inline distT="0" distB="0" distL="0" distR="0" wp14:anchorId="0515D02F" wp14:editId="30E05A64">
            <wp:extent cx="5899930" cy="360000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93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S</w:t>
      </w:r>
      <w:r w:rsidR="002B66EF">
        <w:t>6</w:t>
      </w:r>
      <w:r>
        <w:t>a)</w:t>
      </w:r>
    </w:p>
    <w:p w:rsidR="00F12D4F" w:rsidRDefault="00F12D4F" w:rsidP="00F12D4F">
      <w:r>
        <w:rPr>
          <w:noProof/>
          <w:lang w:eastAsia="en-GB"/>
        </w:rPr>
        <w:lastRenderedPageBreak/>
        <w:drawing>
          <wp:inline distT="0" distB="0" distL="0" distR="0" wp14:anchorId="29F87476" wp14:editId="3B98AD4E">
            <wp:extent cx="5899313" cy="360000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313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S</w:t>
      </w:r>
      <w:r w:rsidR="002B66EF">
        <w:t>6</w:t>
      </w:r>
      <w:r>
        <w:t>b</w:t>
      </w:r>
      <w:proofErr w:type="gramStart"/>
      <w:r>
        <w:t>)</w:t>
      </w:r>
      <w:proofErr w:type="gramEnd"/>
      <w:r>
        <w:rPr>
          <w:noProof/>
          <w:lang w:eastAsia="en-GB"/>
        </w:rPr>
        <w:drawing>
          <wp:inline distT="0" distB="0" distL="0" distR="0" wp14:anchorId="6B3D6C64" wp14:editId="2E74171D">
            <wp:extent cx="5899314" cy="36000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314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S</w:t>
      </w:r>
      <w:r w:rsidR="002B66EF">
        <w:t>6</w:t>
      </w:r>
      <w:r>
        <w:t>c)</w:t>
      </w:r>
      <w:r>
        <w:rPr>
          <w:noProof/>
          <w:lang w:eastAsia="en-GB"/>
        </w:rPr>
        <w:lastRenderedPageBreak/>
        <w:drawing>
          <wp:inline distT="0" distB="0" distL="0" distR="0" wp14:anchorId="36A784D5" wp14:editId="539FBC4A">
            <wp:extent cx="5899314" cy="360000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314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S</w:t>
      </w:r>
      <w:r w:rsidR="002B66EF">
        <w:t>6</w:t>
      </w:r>
      <w:r>
        <w:t>d)</w:t>
      </w:r>
      <w:r>
        <w:rPr>
          <w:noProof/>
          <w:lang w:eastAsia="en-GB"/>
        </w:rPr>
        <w:drawing>
          <wp:inline distT="0" distB="0" distL="0" distR="0" wp14:anchorId="320745B7" wp14:editId="5C0A475C">
            <wp:extent cx="5905197" cy="360000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197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S</w:t>
      </w:r>
      <w:r w:rsidR="002B66EF">
        <w:t>6</w:t>
      </w:r>
      <w:r>
        <w:t>e)</w:t>
      </w:r>
      <w:r>
        <w:rPr>
          <w:noProof/>
          <w:lang w:eastAsia="en-GB"/>
        </w:rPr>
        <w:lastRenderedPageBreak/>
        <w:drawing>
          <wp:inline distT="0" distB="0" distL="0" distR="0" wp14:anchorId="11607203" wp14:editId="3C028B8C">
            <wp:extent cx="5899314" cy="3600000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314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S</w:t>
      </w:r>
      <w:r w:rsidR="002B66EF">
        <w:t>6</w:t>
      </w:r>
      <w:r>
        <w:t>f)</w:t>
      </w:r>
      <w:r>
        <w:rPr>
          <w:noProof/>
          <w:lang w:eastAsia="en-GB"/>
        </w:rPr>
        <w:drawing>
          <wp:inline distT="0" distB="0" distL="0" distR="0" wp14:anchorId="48B04503" wp14:editId="2D54650C">
            <wp:extent cx="5899314" cy="3600000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314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S</w:t>
      </w:r>
      <w:r w:rsidR="002B66EF">
        <w:t>6</w:t>
      </w:r>
      <w:r>
        <w:t>g)</w:t>
      </w:r>
    </w:p>
    <w:p w:rsidR="00F12D4F" w:rsidRDefault="00F12D4F" w:rsidP="00F12D4F"/>
    <w:p w:rsidR="00F12D4F" w:rsidRDefault="00F12D4F">
      <w:pPr>
        <w:rPr>
          <w:b/>
        </w:rPr>
      </w:pPr>
    </w:p>
    <w:p w:rsidR="00FC16EA" w:rsidRDefault="00FC16EA">
      <w:pPr>
        <w:rPr>
          <w:b/>
        </w:rPr>
      </w:pPr>
      <w:r>
        <w:rPr>
          <w:b/>
        </w:rPr>
        <w:t>Supplementary References</w:t>
      </w:r>
    </w:p>
    <w:p w:rsidR="00FC16EA" w:rsidRPr="00FC16EA" w:rsidRDefault="00FC16EA" w:rsidP="00FC16EA">
      <w:pPr>
        <w:pStyle w:val="EndNoteBibliography"/>
        <w:ind w:left="720" w:hanging="720"/>
      </w:pPr>
      <w:r>
        <w:rPr>
          <w:b/>
        </w:rPr>
        <w:lastRenderedPageBreak/>
        <w:fldChar w:fldCharType="begin"/>
      </w:r>
      <w:r>
        <w:rPr>
          <w:b/>
        </w:rPr>
        <w:instrText xml:space="preserve"> ADDIN EN.REFLIST </w:instrText>
      </w:r>
      <w:r>
        <w:rPr>
          <w:b/>
        </w:rPr>
        <w:fldChar w:fldCharType="separate"/>
      </w:r>
      <w:r w:rsidRPr="00FC16EA">
        <w:t>1.</w:t>
      </w:r>
      <w:r w:rsidRPr="00FC16EA">
        <w:tab/>
        <w:t>Bluett J, Riba-Garcia I, Hollywood K, Verstappen SMM, Barton A, Unwin RD</w:t>
      </w:r>
      <w:r w:rsidRPr="00FC16EA">
        <w:rPr>
          <w:b/>
        </w:rPr>
        <w:t xml:space="preserve">. </w:t>
      </w:r>
      <w:r w:rsidRPr="00FC16EA">
        <w:t>A HPLC-SRM-MS based method for the detection and quantification of methotrexate in urine at doses used in clinical practice for patients with rheumatological disease: a potential measure of adherence. Analyst. 2015;140(6):1981-7.</w:t>
      </w:r>
    </w:p>
    <w:p w:rsidR="00D37EDE" w:rsidRPr="00D37EDE" w:rsidRDefault="00FC16EA">
      <w:pPr>
        <w:rPr>
          <w:b/>
        </w:rPr>
      </w:pPr>
      <w:r>
        <w:rPr>
          <w:b/>
        </w:rPr>
        <w:fldChar w:fldCharType="end"/>
      </w:r>
    </w:p>
    <w:sectPr w:rsidR="00D37EDE" w:rsidRPr="00D37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Internal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46135"/>
    <w:rsid w:val="00046135"/>
    <w:rsid w:val="002B66EF"/>
    <w:rsid w:val="00533068"/>
    <w:rsid w:val="0069693D"/>
    <w:rsid w:val="008138C1"/>
    <w:rsid w:val="00C50216"/>
    <w:rsid w:val="00D37EDE"/>
    <w:rsid w:val="00F12D4F"/>
    <w:rsid w:val="00F27935"/>
    <w:rsid w:val="00F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04E85-507C-4877-85DE-E9AEA24A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6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13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135"/>
    <w:rPr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qFormat/>
    <w:rsid w:val="00046135"/>
    <w:pPr>
      <w:spacing w:after="300" w:line="240" w:lineRule="auto"/>
      <w:jc w:val="both"/>
    </w:pPr>
    <w:rPr>
      <w:rFonts w:eastAsia="Calibri" w:cs="Arial"/>
      <w:b/>
      <w:bCs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046135"/>
    <w:rPr>
      <w:rFonts w:eastAsia="Calibri" w:cs="Arial"/>
      <w:b/>
      <w:bCs/>
      <w:sz w:val="18"/>
      <w:szCs w:val="18"/>
    </w:rPr>
  </w:style>
  <w:style w:type="table" w:customStyle="1" w:styleId="TableGrid5">
    <w:name w:val="Table Grid5"/>
    <w:basedOn w:val="TableNormal"/>
    <w:next w:val="TableGrid"/>
    <w:uiPriority w:val="59"/>
    <w:rsid w:val="00046135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4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35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FC16E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C16E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C16E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C16EA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Bluett</dc:creator>
  <cp:keywords/>
  <dc:description/>
  <cp:lastModifiedBy>James Bluett</cp:lastModifiedBy>
  <cp:revision>3</cp:revision>
  <cp:lastPrinted>2019-01-18T14:15:00Z</cp:lastPrinted>
  <dcterms:created xsi:type="dcterms:W3CDTF">2019-05-02T13:55:00Z</dcterms:created>
  <dcterms:modified xsi:type="dcterms:W3CDTF">2019-05-02T13:56:00Z</dcterms:modified>
</cp:coreProperties>
</file>