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F3" w:rsidRDefault="00DF3DAB" w:rsidP="00724C13">
      <w:pPr>
        <w:spacing w:after="0" w:line="240" w:lineRule="auto"/>
        <w:jc w:val="both"/>
        <w:rPr>
          <w:b/>
        </w:rPr>
      </w:pPr>
      <w:r>
        <w:rPr>
          <w:b/>
        </w:rPr>
        <w:t>O</w:t>
      </w:r>
      <w:r w:rsidRPr="00DF3DAB">
        <w:rPr>
          <w:b/>
        </w:rPr>
        <w:t xml:space="preserve">nline </w:t>
      </w:r>
      <w:r w:rsidR="00C82A18">
        <w:rPr>
          <w:b/>
        </w:rPr>
        <w:t>S</w:t>
      </w:r>
      <w:r w:rsidRPr="00DF3DAB">
        <w:rPr>
          <w:b/>
        </w:rPr>
        <w:t>upplementary Table</w:t>
      </w:r>
      <w:r>
        <w:rPr>
          <w:b/>
        </w:rPr>
        <w:t xml:space="preserve"> 1</w:t>
      </w:r>
      <w:r w:rsidR="00724C13" w:rsidRPr="00F64232">
        <w:rPr>
          <w:b/>
        </w:rPr>
        <w:t xml:space="preserve">: </w:t>
      </w:r>
      <w:r w:rsidR="00F44BF3" w:rsidRPr="00F44BF3">
        <w:rPr>
          <w:b/>
        </w:rPr>
        <w:t xml:space="preserve">Number of patients exposed to different bDMARDs, including </w:t>
      </w:r>
      <w:r w:rsidR="00F44BF3">
        <w:rPr>
          <w:b/>
        </w:rPr>
        <w:t>the number</w:t>
      </w:r>
      <w:r w:rsidR="00F44BF3" w:rsidRPr="00F44BF3">
        <w:rPr>
          <w:b/>
        </w:rPr>
        <w:t xml:space="preserve"> bDMARD classes</w:t>
      </w:r>
      <w:r w:rsidR="00F44BF3">
        <w:rPr>
          <w:b/>
        </w:rPr>
        <w:t xml:space="preserve"> patients are exposed to</w:t>
      </w:r>
      <w:r w:rsidR="00F44BF3" w:rsidRPr="00F44BF3">
        <w:rPr>
          <w:b/>
        </w:rPr>
        <w:t>.</w:t>
      </w:r>
    </w:p>
    <w:p w:rsidR="00F44BF3" w:rsidRDefault="00F44BF3" w:rsidP="00724C13">
      <w:pPr>
        <w:spacing w:after="0" w:line="240" w:lineRule="auto"/>
        <w:jc w:val="both"/>
        <w:rPr>
          <w:b/>
        </w:rPr>
      </w:pPr>
    </w:p>
    <w:tbl>
      <w:tblPr>
        <w:tblStyle w:val="TableGrid"/>
        <w:tblW w:w="8221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134"/>
        <w:gridCol w:w="1134"/>
        <w:gridCol w:w="1134"/>
      </w:tblGrid>
      <w:tr w:rsidR="00F44BF3" w:rsidTr="00A1747A">
        <w:tc>
          <w:tcPr>
            <w:tcW w:w="1417" w:type="dxa"/>
            <w:vMerge w:val="restart"/>
            <w:vAlign w:val="center"/>
          </w:tcPr>
          <w:p w:rsidR="00F44BF3" w:rsidRDefault="00F44BF3" w:rsidP="00A1747A">
            <w:pPr>
              <w:jc w:val="right"/>
              <w:rPr>
                <w:b/>
              </w:rPr>
            </w:pPr>
            <w:r>
              <w:rPr>
                <w:b/>
              </w:rPr>
              <w:t>Number of bDMARDs</w:t>
            </w:r>
            <w:r w:rsidRPr="00BC324F">
              <w:rPr>
                <w:b/>
                <w:vertAlign w:val="superscript"/>
              </w:rPr>
              <w:t>#</w:t>
            </w:r>
          </w:p>
        </w:tc>
        <w:tc>
          <w:tcPr>
            <w:tcW w:w="5670" w:type="dxa"/>
            <w:gridSpan w:val="5"/>
            <w:vAlign w:val="center"/>
          </w:tcPr>
          <w:p w:rsidR="00F44BF3" w:rsidRPr="0003457B" w:rsidRDefault="00F44BF3" w:rsidP="00A1747A">
            <w:pPr>
              <w:jc w:val="center"/>
              <w:rPr>
                <w:b/>
              </w:rPr>
            </w:pPr>
            <w:r w:rsidRPr="0003457B">
              <w:rPr>
                <w:b/>
              </w:rPr>
              <w:t>Number of bDMARD classes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F44BF3" w:rsidTr="00A1747A">
        <w:tc>
          <w:tcPr>
            <w:tcW w:w="1417" w:type="dxa"/>
            <w:vMerge/>
            <w:vAlign w:val="center"/>
          </w:tcPr>
          <w:p w:rsidR="00F44BF3" w:rsidRDefault="00F44BF3" w:rsidP="00A1747A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44BF3" w:rsidRPr="0003457B" w:rsidRDefault="00F44BF3" w:rsidP="00A1747A">
            <w:pPr>
              <w:jc w:val="center"/>
              <w:rPr>
                <w:b/>
              </w:rPr>
            </w:pPr>
            <w:r w:rsidRPr="0003457B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3" w:rsidRPr="0003457B" w:rsidRDefault="00F44BF3" w:rsidP="00A1747A">
            <w:pPr>
              <w:jc w:val="center"/>
              <w:rPr>
                <w:b/>
              </w:rPr>
            </w:pPr>
            <w:r w:rsidRPr="0003457B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3" w:rsidRPr="0003457B" w:rsidRDefault="00F44BF3" w:rsidP="00A1747A">
            <w:pPr>
              <w:jc w:val="center"/>
              <w:rPr>
                <w:b/>
              </w:rPr>
            </w:pPr>
            <w:r w:rsidRPr="0003457B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3" w:rsidRPr="0003457B" w:rsidRDefault="00F44BF3" w:rsidP="00A1747A">
            <w:pPr>
              <w:jc w:val="center"/>
              <w:rPr>
                <w:b/>
              </w:rPr>
            </w:pPr>
            <w:r w:rsidRPr="0003457B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3" w:rsidRPr="0003457B" w:rsidRDefault="00F44BF3" w:rsidP="00A1747A">
            <w:pPr>
              <w:jc w:val="center"/>
              <w:rPr>
                <w:b/>
              </w:rPr>
            </w:pPr>
            <w:r w:rsidRPr="0003457B">
              <w:rPr>
                <w:b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</w:p>
        </w:tc>
      </w:tr>
      <w:tr w:rsidR="00F44BF3" w:rsidTr="00A1747A">
        <w:tc>
          <w:tcPr>
            <w:tcW w:w="1417" w:type="dxa"/>
            <w:vAlign w:val="center"/>
          </w:tcPr>
          <w:p w:rsidR="00F44BF3" w:rsidRPr="00EF7CE9" w:rsidRDefault="00F44BF3" w:rsidP="00A1747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7005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7005</w:t>
            </w:r>
          </w:p>
        </w:tc>
      </w:tr>
      <w:tr w:rsidR="00F44BF3" w:rsidTr="00A1747A">
        <w:tc>
          <w:tcPr>
            <w:tcW w:w="1417" w:type="dxa"/>
            <w:vAlign w:val="center"/>
          </w:tcPr>
          <w:p w:rsidR="00F44BF3" w:rsidRPr="00EF7CE9" w:rsidRDefault="00F44BF3" w:rsidP="00A1747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2164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1536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3700</w:t>
            </w:r>
          </w:p>
        </w:tc>
      </w:tr>
      <w:tr w:rsidR="00F44BF3" w:rsidTr="00A1747A">
        <w:tc>
          <w:tcPr>
            <w:tcW w:w="1417" w:type="dxa"/>
            <w:vAlign w:val="center"/>
          </w:tcPr>
          <w:p w:rsidR="00F44BF3" w:rsidRPr="00EF7CE9" w:rsidRDefault="00F44BF3" w:rsidP="00A1747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359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1139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247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1745</w:t>
            </w:r>
          </w:p>
        </w:tc>
      </w:tr>
      <w:tr w:rsidR="00F44BF3" w:rsidTr="00A1747A">
        <w:tc>
          <w:tcPr>
            <w:tcW w:w="1417" w:type="dxa"/>
            <w:vAlign w:val="center"/>
          </w:tcPr>
          <w:p w:rsidR="00F44BF3" w:rsidRPr="00EF7CE9" w:rsidRDefault="00F44BF3" w:rsidP="00A1747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311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291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37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44BF3" w:rsidRDefault="00F44BF3" w:rsidP="00A1747A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694</w:t>
            </w:r>
          </w:p>
        </w:tc>
      </w:tr>
      <w:tr w:rsidR="00F44BF3" w:rsidTr="00A1747A">
        <w:tc>
          <w:tcPr>
            <w:tcW w:w="1417" w:type="dxa"/>
            <w:vAlign w:val="center"/>
          </w:tcPr>
          <w:p w:rsidR="00F44BF3" w:rsidRPr="00EF7CE9" w:rsidRDefault="00F44BF3" w:rsidP="00A1747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112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231</w:t>
            </w:r>
          </w:p>
        </w:tc>
      </w:tr>
      <w:tr w:rsidR="00F44BF3" w:rsidTr="00A1747A">
        <w:tc>
          <w:tcPr>
            <w:tcW w:w="1417" w:type="dxa"/>
            <w:vAlign w:val="center"/>
          </w:tcPr>
          <w:p w:rsidR="00F44BF3" w:rsidRPr="00EF7CE9" w:rsidRDefault="00F44BF3" w:rsidP="00A1747A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85</w:t>
            </w:r>
          </w:p>
        </w:tc>
      </w:tr>
      <w:tr w:rsidR="00F44BF3" w:rsidTr="00A1747A">
        <w:tc>
          <w:tcPr>
            <w:tcW w:w="1417" w:type="dxa"/>
            <w:vAlign w:val="center"/>
          </w:tcPr>
          <w:p w:rsidR="00F44BF3" w:rsidRPr="00EF7CE9" w:rsidRDefault="00F44BF3" w:rsidP="00A1747A">
            <w:pPr>
              <w:jc w:val="right"/>
              <w:rPr>
                <w:b/>
              </w:rPr>
            </w:pPr>
            <w:r>
              <w:rPr>
                <w:b/>
              </w:rPr>
              <w:t>7+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F44BF3" w:rsidRDefault="00F44BF3" w:rsidP="00A1747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42</w:t>
            </w:r>
          </w:p>
        </w:tc>
      </w:tr>
      <w:tr w:rsidR="00F44BF3" w:rsidTr="00A1747A">
        <w:tc>
          <w:tcPr>
            <w:tcW w:w="1417" w:type="dxa"/>
            <w:vAlign w:val="center"/>
          </w:tcPr>
          <w:p w:rsidR="00F44BF3" w:rsidRDefault="00F44BF3" w:rsidP="00A1747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9585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3050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695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170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 w:rsidRPr="00EF7CE9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44BF3" w:rsidRPr="00EF7CE9" w:rsidRDefault="00F44BF3" w:rsidP="00A1747A">
            <w:pPr>
              <w:jc w:val="center"/>
              <w:rPr>
                <w:b/>
              </w:rPr>
            </w:pPr>
            <w:r>
              <w:rPr>
                <w:b/>
              </w:rPr>
              <w:t>13502</w:t>
            </w:r>
          </w:p>
        </w:tc>
      </w:tr>
      <w:tr w:rsidR="00BA3453" w:rsidTr="00EE4AC9">
        <w:tc>
          <w:tcPr>
            <w:tcW w:w="8221" w:type="dxa"/>
            <w:gridSpan w:val="7"/>
            <w:vAlign w:val="center"/>
          </w:tcPr>
          <w:p w:rsidR="00BA3453" w:rsidRDefault="00BA3453" w:rsidP="00A1747A">
            <w:pPr>
              <w:jc w:val="center"/>
              <w:rPr>
                <w:b/>
              </w:rPr>
            </w:pPr>
          </w:p>
        </w:tc>
      </w:tr>
      <w:tr w:rsidR="00BA3453" w:rsidTr="00BA3453">
        <w:tc>
          <w:tcPr>
            <w:tcW w:w="2551" w:type="dxa"/>
            <w:gridSpan w:val="2"/>
            <w:vAlign w:val="center"/>
          </w:tcPr>
          <w:p w:rsidR="00BA3453" w:rsidRPr="00EF7CE9" w:rsidRDefault="00BA3453" w:rsidP="00BA3453">
            <w:pPr>
              <w:jc w:val="right"/>
              <w:rPr>
                <w:b/>
              </w:rPr>
            </w:pPr>
            <w:r>
              <w:rPr>
                <w:b/>
              </w:rPr>
              <w:t>Summary of Exposure:</w:t>
            </w:r>
          </w:p>
        </w:tc>
        <w:tc>
          <w:tcPr>
            <w:tcW w:w="5670" w:type="dxa"/>
            <w:gridSpan w:val="5"/>
            <w:vAlign w:val="center"/>
          </w:tcPr>
          <w:p w:rsidR="00BA3453" w:rsidRDefault="00BA3453" w:rsidP="00BA3453">
            <w:pPr>
              <w:rPr>
                <w:b/>
              </w:rPr>
            </w:pPr>
            <w:r>
              <w:rPr>
                <w:b/>
              </w:rPr>
              <w:t>N (%)</w:t>
            </w:r>
          </w:p>
        </w:tc>
      </w:tr>
      <w:tr w:rsidR="00BA3453" w:rsidTr="00BA3453">
        <w:tc>
          <w:tcPr>
            <w:tcW w:w="2551" w:type="dxa"/>
            <w:gridSpan w:val="2"/>
            <w:vAlign w:val="center"/>
          </w:tcPr>
          <w:p w:rsidR="00BA3453" w:rsidRPr="00D02FD2" w:rsidRDefault="00BA3453" w:rsidP="00BA3453">
            <w:pPr>
              <w:jc w:val="right"/>
            </w:pPr>
            <w:r w:rsidRPr="00D02FD2">
              <w:t>≥3 bDMARDs</w:t>
            </w:r>
          </w:p>
        </w:tc>
        <w:tc>
          <w:tcPr>
            <w:tcW w:w="5670" w:type="dxa"/>
            <w:gridSpan w:val="5"/>
            <w:vAlign w:val="center"/>
          </w:tcPr>
          <w:p w:rsidR="00BA3453" w:rsidRDefault="00BA3453" w:rsidP="00BA3453">
            <w:pPr>
              <w:rPr>
                <w:b/>
              </w:rPr>
            </w:pPr>
            <w:r w:rsidRPr="00D02FD2">
              <w:t>28</w:t>
            </w:r>
            <w:r>
              <w:t>87 (21%)</w:t>
            </w:r>
          </w:p>
        </w:tc>
      </w:tr>
      <w:tr w:rsidR="00BA3453" w:rsidTr="00BA3453">
        <w:tc>
          <w:tcPr>
            <w:tcW w:w="2551" w:type="dxa"/>
            <w:gridSpan w:val="2"/>
            <w:vAlign w:val="center"/>
          </w:tcPr>
          <w:p w:rsidR="00BA3453" w:rsidRPr="00D02FD2" w:rsidRDefault="00BA3453" w:rsidP="00BA3453">
            <w:pPr>
              <w:jc w:val="right"/>
            </w:pPr>
            <w:r w:rsidRPr="00D02FD2">
              <w:t>≥</w:t>
            </w:r>
            <w:r>
              <w:t>4 bDMARDs</w:t>
            </w:r>
          </w:p>
        </w:tc>
        <w:tc>
          <w:tcPr>
            <w:tcW w:w="5670" w:type="dxa"/>
            <w:gridSpan w:val="5"/>
            <w:vAlign w:val="center"/>
          </w:tcPr>
          <w:p w:rsidR="00BA3453" w:rsidRDefault="00BA3453" w:rsidP="00BA3453">
            <w:pPr>
              <w:rPr>
                <w:b/>
              </w:rPr>
            </w:pPr>
            <w:r>
              <w:t>1142 (8.5%)</w:t>
            </w:r>
          </w:p>
        </w:tc>
      </w:tr>
      <w:tr w:rsidR="00BA3453" w:rsidTr="00BA3453">
        <w:tc>
          <w:tcPr>
            <w:tcW w:w="2551" w:type="dxa"/>
            <w:gridSpan w:val="2"/>
            <w:vAlign w:val="center"/>
          </w:tcPr>
          <w:p w:rsidR="00BA3453" w:rsidRPr="00D02FD2" w:rsidRDefault="00BA3453" w:rsidP="00BA3453">
            <w:pPr>
              <w:jc w:val="right"/>
            </w:pPr>
            <w:r w:rsidRPr="00D02FD2">
              <w:t>≥</w:t>
            </w:r>
            <w:r>
              <w:t>5 bDMARDs</w:t>
            </w:r>
          </w:p>
        </w:tc>
        <w:tc>
          <w:tcPr>
            <w:tcW w:w="5670" w:type="dxa"/>
            <w:gridSpan w:val="5"/>
            <w:vAlign w:val="center"/>
          </w:tcPr>
          <w:p w:rsidR="00BA3453" w:rsidRDefault="00BA3453" w:rsidP="00BA3453">
            <w:pPr>
              <w:rPr>
                <w:b/>
              </w:rPr>
            </w:pPr>
            <w:r>
              <w:t>448 (3.3%)</w:t>
            </w:r>
          </w:p>
        </w:tc>
      </w:tr>
      <w:tr w:rsidR="00BA3453" w:rsidTr="00BA3453">
        <w:tc>
          <w:tcPr>
            <w:tcW w:w="2551" w:type="dxa"/>
            <w:gridSpan w:val="2"/>
            <w:vAlign w:val="center"/>
          </w:tcPr>
          <w:p w:rsidR="00BA3453" w:rsidRPr="00D02FD2" w:rsidRDefault="00BA3453" w:rsidP="00BA3453">
            <w:pPr>
              <w:jc w:val="right"/>
            </w:pPr>
            <w:r w:rsidRPr="00D02FD2">
              <w:t>≥</w:t>
            </w:r>
            <w:r>
              <w:t>2 classes of bDMARD</w:t>
            </w:r>
          </w:p>
        </w:tc>
        <w:tc>
          <w:tcPr>
            <w:tcW w:w="5670" w:type="dxa"/>
            <w:gridSpan w:val="5"/>
            <w:vAlign w:val="center"/>
          </w:tcPr>
          <w:p w:rsidR="00BA3453" w:rsidRDefault="00BA3453" w:rsidP="00BA3453">
            <w:pPr>
              <w:rPr>
                <w:b/>
              </w:rPr>
            </w:pPr>
            <w:r>
              <w:t>3917 (29%)</w:t>
            </w:r>
          </w:p>
        </w:tc>
      </w:tr>
      <w:tr w:rsidR="00BA3453" w:rsidTr="00BA3453">
        <w:tc>
          <w:tcPr>
            <w:tcW w:w="2551" w:type="dxa"/>
            <w:gridSpan w:val="2"/>
            <w:vAlign w:val="center"/>
          </w:tcPr>
          <w:p w:rsidR="00BA3453" w:rsidRPr="00D02FD2" w:rsidRDefault="00BA3453" w:rsidP="00BA3453">
            <w:pPr>
              <w:jc w:val="right"/>
            </w:pPr>
            <w:r w:rsidRPr="00D02FD2">
              <w:t>≥3</w:t>
            </w:r>
            <w:r>
              <w:t xml:space="preserve"> classes of bDMARD*</w:t>
            </w:r>
          </w:p>
        </w:tc>
        <w:tc>
          <w:tcPr>
            <w:tcW w:w="5670" w:type="dxa"/>
            <w:gridSpan w:val="5"/>
            <w:vAlign w:val="center"/>
          </w:tcPr>
          <w:p w:rsidR="00BA3453" w:rsidRDefault="00BA3453" w:rsidP="00BA3453">
            <w:pPr>
              <w:rPr>
                <w:b/>
              </w:rPr>
            </w:pPr>
            <w:r>
              <w:t>867 (6.4%)</w:t>
            </w:r>
          </w:p>
        </w:tc>
      </w:tr>
      <w:tr w:rsidR="00BA3453" w:rsidTr="00BA3453">
        <w:tc>
          <w:tcPr>
            <w:tcW w:w="2551" w:type="dxa"/>
            <w:gridSpan w:val="2"/>
            <w:vAlign w:val="center"/>
          </w:tcPr>
          <w:p w:rsidR="00BA3453" w:rsidRPr="00D02FD2" w:rsidRDefault="00BA3453" w:rsidP="00BA3453">
            <w:pPr>
              <w:jc w:val="right"/>
            </w:pPr>
            <w:r w:rsidRPr="00D02FD2">
              <w:t>≥</w:t>
            </w:r>
            <w:r>
              <w:t>4 classes of bDMARD</w:t>
            </w:r>
          </w:p>
        </w:tc>
        <w:tc>
          <w:tcPr>
            <w:tcW w:w="5670" w:type="dxa"/>
            <w:gridSpan w:val="5"/>
            <w:vAlign w:val="center"/>
          </w:tcPr>
          <w:p w:rsidR="00BA3453" w:rsidRDefault="00BA3453" w:rsidP="00BA3453">
            <w:pPr>
              <w:rPr>
                <w:b/>
              </w:rPr>
            </w:pPr>
            <w:r>
              <w:t>172 (1.3%)</w:t>
            </w:r>
          </w:p>
        </w:tc>
      </w:tr>
    </w:tbl>
    <w:p w:rsidR="00F44BF3" w:rsidRPr="0003457B" w:rsidRDefault="00F44BF3" w:rsidP="00F44BF3">
      <w:pPr>
        <w:spacing w:after="0" w:line="240" w:lineRule="auto"/>
        <w:jc w:val="both"/>
        <w:rPr>
          <w:i/>
        </w:rPr>
      </w:pPr>
      <w:r w:rsidRPr="00F44BF3">
        <w:rPr>
          <w:i/>
          <w:vertAlign w:val="superscript"/>
        </w:rPr>
        <w:t>#</w:t>
      </w:r>
      <w:r>
        <w:rPr>
          <w:i/>
        </w:rPr>
        <w:t xml:space="preserve">Number of bDMARDs was assessed </w:t>
      </w:r>
      <w:r w:rsidRPr="00BC324F">
        <w:rPr>
          <w:i/>
        </w:rPr>
        <w:t>irrespective of bDMARD class or whether the bDMARD had been received previously</w:t>
      </w:r>
      <w:r>
        <w:rPr>
          <w:i/>
        </w:rPr>
        <w:t>. P</w:t>
      </w:r>
      <w:r w:rsidRPr="0003457B">
        <w:rPr>
          <w:i/>
        </w:rPr>
        <w:t>atients with exposure to more than seven bDMARDs have been grouped together to avoid making them identifiable.</w:t>
      </w:r>
      <w:r w:rsidR="00D02FD2">
        <w:rPr>
          <w:i/>
        </w:rPr>
        <w:t xml:space="preserve"> *Definition used in final analysis. </w:t>
      </w:r>
      <w:r w:rsidR="00514F0D">
        <w:rPr>
          <w:i/>
        </w:rPr>
        <w:t>Biologic Disease M</w:t>
      </w:r>
      <w:r w:rsidR="00514F0D" w:rsidRPr="00514F0D">
        <w:rPr>
          <w:i/>
        </w:rPr>
        <w:t xml:space="preserve">odifying </w:t>
      </w:r>
      <w:r w:rsidR="00514F0D">
        <w:rPr>
          <w:i/>
        </w:rPr>
        <w:t>A</w:t>
      </w:r>
      <w:r w:rsidR="00514F0D" w:rsidRPr="00514F0D">
        <w:rPr>
          <w:i/>
        </w:rPr>
        <w:t>nti-</w:t>
      </w:r>
      <w:r w:rsidR="00514F0D">
        <w:rPr>
          <w:i/>
        </w:rPr>
        <w:t>R</w:t>
      </w:r>
      <w:r w:rsidR="00514F0D" w:rsidRPr="00514F0D">
        <w:rPr>
          <w:i/>
        </w:rPr>
        <w:t xml:space="preserve">heumatic </w:t>
      </w:r>
      <w:r w:rsidR="00514F0D">
        <w:rPr>
          <w:i/>
        </w:rPr>
        <w:t>D</w:t>
      </w:r>
      <w:r w:rsidR="00514F0D" w:rsidRPr="00514F0D">
        <w:rPr>
          <w:i/>
        </w:rPr>
        <w:t>rugs (bDMARD)</w:t>
      </w:r>
      <w:r w:rsidR="00514F0D">
        <w:rPr>
          <w:i/>
        </w:rPr>
        <w:t>.</w:t>
      </w:r>
    </w:p>
    <w:p w:rsidR="00F44BF3" w:rsidRDefault="00F44BF3">
      <w:pPr>
        <w:rPr>
          <w:b/>
        </w:rPr>
      </w:pPr>
      <w:r>
        <w:rPr>
          <w:b/>
        </w:rPr>
        <w:br w:type="page"/>
      </w:r>
    </w:p>
    <w:p w:rsidR="00724C13" w:rsidRPr="00F64232" w:rsidRDefault="00F44BF3" w:rsidP="00724C1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O</w:t>
      </w:r>
      <w:r w:rsidR="000311FD">
        <w:rPr>
          <w:b/>
        </w:rPr>
        <w:t>nline S</w:t>
      </w:r>
      <w:r w:rsidRPr="00DF3DAB">
        <w:rPr>
          <w:b/>
        </w:rPr>
        <w:t>upplementary Table</w:t>
      </w:r>
      <w:r>
        <w:rPr>
          <w:b/>
        </w:rPr>
        <w:t xml:space="preserve"> 2</w:t>
      </w:r>
      <w:r w:rsidRPr="00F64232">
        <w:rPr>
          <w:b/>
        </w:rPr>
        <w:t xml:space="preserve">: </w:t>
      </w:r>
      <w:r w:rsidR="00724C13" w:rsidRPr="00F64232">
        <w:rPr>
          <w:b/>
        </w:rPr>
        <w:t>Univariable and multivariable analysis of the 1848 patients in the 2011-14 cohort, of which 89 (4.8%) were bDMARD refractory (imputed data, 49 datasets) – hazard ratios for acquiring bDMARD refractory disease.</w:t>
      </w:r>
    </w:p>
    <w:p w:rsidR="00724C13" w:rsidRDefault="00724C13" w:rsidP="00724C13">
      <w:pPr>
        <w:spacing w:after="0" w:line="240" w:lineRule="auto"/>
        <w:jc w:val="both"/>
      </w:pPr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3402"/>
        <w:gridCol w:w="2041"/>
        <w:gridCol w:w="2268"/>
        <w:gridCol w:w="2154"/>
      </w:tblGrid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Univariable Hazard Ratio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Multivariable Hazard Ratio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13" w:rsidRDefault="00724C13" w:rsidP="0014647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Multivariable Hazard Ratio (including IMD)</w:t>
            </w:r>
            <w:r>
              <w:rPr>
                <w:b/>
                <w:sz w:val="20"/>
                <w:szCs w:val="20"/>
                <w:vertAlign w:val="superscript"/>
              </w:rPr>
              <w:t>##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Females </w:t>
            </w:r>
            <w:r>
              <w:rPr>
                <w:sz w:val="20"/>
                <w:szCs w:val="20"/>
              </w:rPr>
              <w:t>(vs males)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(0.6, 1.6); p=1.0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(0.6, 1.6); p=0.9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(0.6, 1.6); p=0.8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Age, years </w:t>
            </w:r>
            <w:r>
              <w:rPr>
                <w:sz w:val="20"/>
                <w:szCs w:val="20"/>
              </w:rPr>
              <w:t>(&gt;50 vs ≤50)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(0.4, 1.0); p=0.07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(0.4, 1.1); p=0.1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(0.4, 1.1); p=0.1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Disease Duration, years </w:t>
            </w:r>
            <w:r>
              <w:rPr>
                <w:sz w:val="20"/>
                <w:szCs w:val="20"/>
              </w:rPr>
              <w:t>(&gt;10 vs ≤10)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(0.2, 0.6); p=0.001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(0.2, 0.6); p=0.001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 (0.2, 0.6); p=0.001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RF Positive </w:t>
            </w:r>
            <w:r>
              <w:rPr>
                <w:sz w:val="20"/>
                <w:szCs w:val="20"/>
              </w:rPr>
              <w:t>(vs negative)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(0.6, 1.5); p=0.9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(0.6, 1.6); p=1.0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(0.6, 1.6); p=0.9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Erosions on X-ray </w:t>
            </w:r>
            <w:r>
              <w:rPr>
                <w:sz w:val="20"/>
                <w:szCs w:val="20"/>
              </w:rPr>
              <w:t>(vs negative)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(0.7, 1.7); p=0.7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(0.9, 2.4); p=0.1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(0.9, 2.5); p=0.09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Methotrexate at registration </w:t>
            </w:r>
            <w:r>
              <w:rPr>
                <w:sz w:val="20"/>
                <w:szCs w:val="20"/>
              </w:rPr>
              <w:t>(vs none)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(0.6, 1.5); p=0.8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(0.6, 1.4); p=0.6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(0.6, 1.4); p=0.7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 steroids at registration </w:t>
            </w:r>
            <w:r>
              <w:rPr>
                <w:sz w:val="20"/>
                <w:szCs w:val="20"/>
              </w:rPr>
              <w:t>(vs none)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(0.8, 2.0); p=0.3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(0.8, 2.1); p=0.3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(0.8, 2.1); p=0.3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Tender Joint Count </w:t>
            </w:r>
            <w:r>
              <w:rPr>
                <w:sz w:val="20"/>
                <w:szCs w:val="20"/>
              </w:rPr>
              <w:t>(per joint)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(0.9, 1.1); p=0.7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(0.9, 1.1); p=0.9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Swollen Joint Count </w:t>
            </w:r>
            <w:r>
              <w:rPr>
                <w:sz w:val="20"/>
                <w:szCs w:val="20"/>
              </w:rPr>
              <w:t>(per joint)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1.1); p=0.4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1.1); p=0.4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Patient Global Assessment </w:t>
            </w:r>
            <w:r>
              <w:rPr>
                <w:sz w:val="20"/>
                <w:szCs w:val="20"/>
              </w:rPr>
              <w:t>(cms)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(1.0, 1.2); p=0.1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(0.9, 1.2); p=0.5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(0.9, 1.2); p=0.6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ESR </w:t>
            </w:r>
            <w:r>
              <w:rPr>
                <w:sz w:val="20"/>
                <w:szCs w:val="20"/>
              </w:rPr>
              <w:t>(mm/hr)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p=0.5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DAS28 </w:t>
            </w:r>
            <w:r>
              <w:rPr>
                <w:sz w:val="20"/>
                <w:szCs w:val="20"/>
              </w:rPr>
              <w:t>(whole unit)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(0.9, 1.3); p=0.4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(0.6, 2.2); p=0.8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(0.5, 2.1); p=0.8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HAQ </w:t>
            </w:r>
            <w:r>
              <w:rPr>
                <w:sz w:val="20"/>
                <w:szCs w:val="20"/>
              </w:rPr>
              <w:t>(whole unit)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(1.0, 1.9); p=0.05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(1.0, 2.0); p=0.065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(1.0, 2.1); p=0.04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Comorbidities</w:t>
            </w:r>
            <w:r>
              <w:rPr>
                <w:b/>
                <w:sz w:val="20"/>
                <w:szCs w:val="20"/>
                <w:vertAlign w:val="superscript"/>
              </w:rPr>
              <w:t>#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(vs none)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comorbidity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(0.8, 2.0); p=0.3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(0.7, 1.9); p=0.5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(0.7, 1.9); p=0.6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comorbidities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(0.6, 2.1); p=0.7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(0.5, 2.0); p=1.0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(0.5, 1.9); p=1.0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 comorbidities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(0.3, 2.3); p=0.7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(0.3, 2.0); p=0.6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 (0.2, 2.1); p=0.5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Smoke Status</w:t>
            </w:r>
            <w:r>
              <w:rPr>
                <w:sz w:val="20"/>
                <w:szCs w:val="20"/>
              </w:rPr>
              <w:t xml:space="preserve"> (vs never smoked)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Smoker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(0.8, 2.3); p=0.3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(0.7, 2.1); p=0.5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(0.7, 2.3); p=0.4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Ex-Smoker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(0.7, 1.7); p=0.8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(0.6, 1.7); p=0.9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(0.6, 1.8); p=0.8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Obese (body mass index ≥ 30)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 (1.1, 2.6); p=0.03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 (1.0, 2.5); p=0.07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 (1.0, 2.6); p=0.06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SF-36: Physical Component Score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SF-36: Mental Component Score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(1.0, 1.0); p=0.7</w:t>
            </w: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IMD (Excluding Northern Ireland)</w:t>
            </w:r>
          </w:p>
          <w:p w:rsidR="00724C13" w:rsidRDefault="00724C13" w:rsidP="0014647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other patients as referent)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24C13" w:rsidTr="0014647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Lowest Quintile [more deprived]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(0.7, 1.8); p=0.8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13" w:rsidRDefault="00724C13" w:rsidP="0014647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 (0.6, 1.6); p=0.8</w:t>
            </w:r>
          </w:p>
        </w:tc>
      </w:tr>
    </w:tbl>
    <w:p w:rsidR="00724C13" w:rsidRDefault="00724C13" w:rsidP="00724C13">
      <w:pPr>
        <w:pStyle w:val="NoSpacing"/>
        <w:jc w:val="both"/>
        <w:rPr>
          <w:rFonts w:ascii="Calibri" w:hAnsi="Calibri"/>
          <w:i/>
        </w:rPr>
      </w:pPr>
      <w:r>
        <w:rPr>
          <w:rFonts w:ascii="Calibri" w:hAnsi="Calibri"/>
          <w:i/>
          <w:sz w:val="20"/>
          <w:szCs w:val="20"/>
        </w:rPr>
        <w:t xml:space="preserve">Results are presented as hazard ratios (HR) with 95% confidence intervals (CI). </w:t>
      </w:r>
      <w:r>
        <w:rPr>
          <w:rFonts w:ascii="Calibri" w:hAnsi="Calibri"/>
          <w:i/>
          <w:sz w:val="20"/>
          <w:szCs w:val="20"/>
          <w:vertAlign w:val="superscript"/>
        </w:rPr>
        <w:t>#</w:t>
      </w:r>
      <w:r>
        <w:rPr>
          <w:rFonts w:ascii="Calibri" w:hAnsi="Calibri"/>
          <w:i/>
          <w:sz w:val="20"/>
          <w:szCs w:val="20"/>
        </w:rPr>
        <w:t xml:space="preserve">Total comorbidities = hypertension, ischemic heart disease, stroke, lung disease, renal disease, diabetes, depression, liver disease. </w:t>
      </w:r>
      <w:r>
        <w:rPr>
          <w:rFonts w:ascii="Calibri" w:hAnsi="Calibri"/>
          <w:i/>
          <w:sz w:val="20"/>
          <w:szCs w:val="20"/>
          <w:vertAlign w:val="superscript"/>
        </w:rPr>
        <w:t>##</w:t>
      </w:r>
      <w:r>
        <w:rPr>
          <w:rFonts w:ascii="Calibri" w:hAnsi="Calibri"/>
          <w:i/>
          <w:sz w:val="20"/>
          <w:szCs w:val="20"/>
        </w:rPr>
        <w:t xml:space="preserve">Patients with IMD data, excluding Northern Ireland (N=1801). </w:t>
      </w:r>
      <w:r w:rsidR="00514F0D" w:rsidRPr="00514F0D">
        <w:rPr>
          <w:rFonts w:ascii="Calibri" w:hAnsi="Calibri"/>
          <w:i/>
          <w:sz w:val="20"/>
          <w:szCs w:val="20"/>
        </w:rPr>
        <w:t xml:space="preserve">Biologic </w:t>
      </w:r>
      <w:r w:rsidR="00514F0D">
        <w:rPr>
          <w:rFonts w:ascii="Calibri" w:hAnsi="Calibri"/>
          <w:i/>
          <w:sz w:val="20"/>
          <w:szCs w:val="20"/>
        </w:rPr>
        <w:t>d</w:t>
      </w:r>
      <w:r w:rsidR="00514F0D" w:rsidRPr="00514F0D">
        <w:rPr>
          <w:rFonts w:ascii="Calibri" w:hAnsi="Calibri"/>
          <w:i/>
          <w:sz w:val="20"/>
          <w:szCs w:val="20"/>
        </w:rPr>
        <w:t xml:space="preserve">isease </w:t>
      </w:r>
      <w:r w:rsidR="00514F0D">
        <w:rPr>
          <w:rFonts w:ascii="Calibri" w:hAnsi="Calibri"/>
          <w:i/>
          <w:sz w:val="20"/>
          <w:szCs w:val="20"/>
        </w:rPr>
        <w:t>m</w:t>
      </w:r>
      <w:r w:rsidR="00514F0D" w:rsidRPr="00514F0D">
        <w:rPr>
          <w:rFonts w:ascii="Calibri" w:hAnsi="Calibri"/>
          <w:i/>
          <w:sz w:val="20"/>
          <w:szCs w:val="20"/>
        </w:rPr>
        <w:t xml:space="preserve">odifying </w:t>
      </w:r>
      <w:r w:rsidR="00514F0D">
        <w:rPr>
          <w:rFonts w:ascii="Calibri" w:hAnsi="Calibri"/>
          <w:i/>
          <w:sz w:val="20"/>
          <w:szCs w:val="20"/>
        </w:rPr>
        <w:t>a</w:t>
      </w:r>
      <w:r w:rsidR="00514F0D" w:rsidRPr="00514F0D">
        <w:rPr>
          <w:rFonts w:ascii="Calibri" w:hAnsi="Calibri"/>
          <w:i/>
          <w:sz w:val="20"/>
          <w:szCs w:val="20"/>
        </w:rPr>
        <w:t>nti-</w:t>
      </w:r>
      <w:r w:rsidR="00514F0D">
        <w:rPr>
          <w:rFonts w:ascii="Calibri" w:hAnsi="Calibri"/>
          <w:i/>
          <w:sz w:val="20"/>
          <w:szCs w:val="20"/>
        </w:rPr>
        <w:t>r</w:t>
      </w:r>
      <w:r w:rsidR="00514F0D" w:rsidRPr="00514F0D">
        <w:rPr>
          <w:rFonts w:ascii="Calibri" w:hAnsi="Calibri"/>
          <w:i/>
          <w:sz w:val="20"/>
          <w:szCs w:val="20"/>
        </w:rPr>
        <w:t xml:space="preserve">heumatic </w:t>
      </w:r>
      <w:r w:rsidR="00514F0D">
        <w:rPr>
          <w:rFonts w:ascii="Calibri" w:hAnsi="Calibri"/>
          <w:i/>
          <w:sz w:val="20"/>
          <w:szCs w:val="20"/>
        </w:rPr>
        <w:t xml:space="preserve">drugs (bDMARD), </w:t>
      </w:r>
      <w:bookmarkStart w:id="0" w:name="_GoBack"/>
      <w:bookmarkEnd w:id="0"/>
      <w:r>
        <w:rPr>
          <w:rFonts w:ascii="Calibri" w:hAnsi="Calibri"/>
          <w:i/>
          <w:sz w:val="20"/>
          <w:szCs w:val="20"/>
        </w:rPr>
        <w:t>Tumour necrosis factor-alpha inhibitor (TNFi), rheumatoid factor (RF), erythrocyte sedimentation rate (ESR), 28-joint disease activity score (DAS28)</w:t>
      </w:r>
      <w:r>
        <w:rPr>
          <w:i/>
          <w:sz w:val="20"/>
          <w:szCs w:val="20"/>
        </w:rPr>
        <w:t xml:space="preserve"> [higher score indicates worse health]</w:t>
      </w:r>
      <w:r>
        <w:rPr>
          <w:rFonts w:ascii="Calibri" w:hAnsi="Calibri"/>
          <w:i/>
          <w:sz w:val="20"/>
          <w:szCs w:val="20"/>
        </w:rPr>
        <w:t>, health assessment questionnaire (HAQ)</w:t>
      </w:r>
      <w:r>
        <w:rPr>
          <w:i/>
          <w:sz w:val="20"/>
          <w:szCs w:val="20"/>
        </w:rPr>
        <w:t xml:space="preserve"> [higher score indicates worse health]</w:t>
      </w:r>
      <w:r>
        <w:rPr>
          <w:rFonts w:ascii="Calibri" w:hAnsi="Calibri"/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36-item short form survey for quality of life (SF-36) [higher score indicates improved health], index of multiple deprivation (IMD)</w:t>
      </w:r>
      <w:r>
        <w:rPr>
          <w:rFonts w:ascii="Calibri" w:hAnsi="Calibri"/>
          <w:i/>
          <w:sz w:val="20"/>
          <w:szCs w:val="20"/>
        </w:rPr>
        <w:t xml:space="preserve">. </w:t>
      </w:r>
    </w:p>
    <w:p w:rsidR="00F4767C" w:rsidRDefault="00514F0D"/>
    <w:sectPr w:rsidR="00F4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D2A"/>
    <w:multiLevelType w:val="hybridMultilevel"/>
    <w:tmpl w:val="88D2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3"/>
    <w:rsid w:val="000311FD"/>
    <w:rsid w:val="000614B1"/>
    <w:rsid w:val="001126C3"/>
    <w:rsid w:val="001730C5"/>
    <w:rsid w:val="00514F0D"/>
    <w:rsid w:val="005F3013"/>
    <w:rsid w:val="00724C13"/>
    <w:rsid w:val="00757FBB"/>
    <w:rsid w:val="00AB1383"/>
    <w:rsid w:val="00BA3453"/>
    <w:rsid w:val="00BC6D9E"/>
    <w:rsid w:val="00C82A18"/>
    <w:rsid w:val="00CB5252"/>
    <w:rsid w:val="00D02FD2"/>
    <w:rsid w:val="00DF3DAB"/>
    <w:rsid w:val="00F4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C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3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C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3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Kearsley-Fleet</dc:creator>
  <cp:lastModifiedBy>Lianne Kearsley-Fleet</cp:lastModifiedBy>
  <cp:revision>9</cp:revision>
  <dcterms:created xsi:type="dcterms:W3CDTF">2018-06-08T08:23:00Z</dcterms:created>
  <dcterms:modified xsi:type="dcterms:W3CDTF">2018-06-18T09:12:00Z</dcterms:modified>
</cp:coreProperties>
</file>