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D" w:rsidRPr="00DC5492" w:rsidRDefault="00A06653">
      <w:pPr>
        <w:rPr>
          <w:b/>
          <w:sz w:val="32"/>
          <w:lang w:val="en-US"/>
        </w:rPr>
      </w:pPr>
      <w:r w:rsidRPr="00DC5492">
        <w:rPr>
          <w:b/>
          <w:sz w:val="32"/>
          <w:lang w:val="en-US"/>
        </w:rPr>
        <w:t>Appendix</w:t>
      </w:r>
    </w:p>
    <w:p w:rsidR="00A06653" w:rsidRPr="00A06653" w:rsidRDefault="00A06653">
      <w:pPr>
        <w:rPr>
          <w:b/>
          <w:sz w:val="24"/>
          <w:lang w:val="en-US"/>
        </w:rPr>
      </w:pPr>
      <w:r w:rsidRPr="00A06653">
        <w:rPr>
          <w:b/>
          <w:sz w:val="24"/>
          <w:lang w:val="en-US"/>
        </w:rPr>
        <w:t>Indications for the use of rituximab</w:t>
      </w:r>
    </w:p>
    <w:p w:rsidR="00A06653" w:rsidRDefault="00A06653" w:rsidP="00A06653">
      <w:pPr>
        <w:jc w:val="both"/>
        <w:rPr>
          <w:lang w:val="en-US"/>
        </w:rPr>
      </w:pPr>
      <w:r w:rsidRPr="00A06653">
        <w:rPr>
          <w:i/>
          <w:lang w:val="en-US"/>
        </w:rPr>
        <w:t>Minor relapse</w:t>
      </w:r>
      <w:r>
        <w:rPr>
          <w:lang w:val="en-US"/>
        </w:rPr>
        <w:t xml:space="preserve">: </w:t>
      </w:r>
      <w:r w:rsidRPr="00A06653">
        <w:rPr>
          <w:lang w:val="en-US"/>
        </w:rPr>
        <w:t>minor</w:t>
      </w:r>
      <w:r>
        <w:rPr>
          <w:lang w:val="en-US"/>
        </w:rPr>
        <w:t xml:space="preserve"> </w:t>
      </w:r>
      <w:r w:rsidRPr="00A06653">
        <w:rPr>
          <w:lang w:val="en-US"/>
        </w:rPr>
        <w:t xml:space="preserve">relapses were </w:t>
      </w:r>
      <w:r>
        <w:rPr>
          <w:lang w:val="en-US"/>
        </w:rPr>
        <w:t xml:space="preserve">defined as </w:t>
      </w:r>
      <w:r w:rsidRPr="00A06653">
        <w:rPr>
          <w:lang w:val="en-US"/>
        </w:rPr>
        <w:t xml:space="preserve">those episodes of disease activity </w:t>
      </w:r>
      <w:r>
        <w:rPr>
          <w:lang w:val="en-US"/>
        </w:rPr>
        <w:t xml:space="preserve">requiring </w:t>
      </w:r>
      <w:r w:rsidRPr="00A06653">
        <w:rPr>
          <w:lang w:val="en-US"/>
        </w:rPr>
        <w:t>an increase in therapy</w:t>
      </w:r>
      <w:r>
        <w:rPr>
          <w:lang w:val="en-US"/>
        </w:rPr>
        <w:t xml:space="preserve"> with new onset of a Birmingham Vasculitis Activity Score (BVAS) item.</w:t>
      </w:r>
    </w:p>
    <w:p w:rsidR="00A06653" w:rsidRDefault="00A06653" w:rsidP="00A06653">
      <w:pPr>
        <w:jc w:val="both"/>
        <w:rPr>
          <w:lang w:val="en-US"/>
        </w:rPr>
      </w:pPr>
      <w:r w:rsidRPr="00A06653">
        <w:rPr>
          <w:i/>
          <w:lang w:val="en-US"/>
        </w:rPr>
        <w:t>Major relapse</w:t>
      </w:r>
      <w:r>
        <w:rPr>
          <w:lang w:val="en-US"/>
        </w:rPr>
        <w:t xml:space="preserve">: </w:t>
      </w:r>
      <w:r w:rsidRPr="00A06653">
        <w:rPr>
          <w:lang w:val="en-US"/>
        </w:rPr>
        <w:t>Major relapses were</w:t>
      </w:r>
      <w:r>
        <w:rPr>
          <w:lang w:val="en-US"/>
        </w:rPr>
        <w:t xml:space="preserve"> </w:t>
      </w:r>
      <w:r w:rsidRPr="00A06653">
        <w:rPr>
          <w:lang w:val="en-US"/>
        </w:rPr>
        <w:t>those with life- or organ-threatening manifestations</w:t>
      </w:r>
      <w:r>
        <w:rPr>
          <w:lang w:val="en-US"/>
        </w:rPr>
        <w:t xml:space="preserve"> as assessed by BVAS.</w:t>
      </w:r>
    </w:p>
    <w:p w:rsidR="00A06653" w:rsidRDefault="00A06653" w:rsidP="00A06653">
      <w:pPr>
        <w:jc w:val="both"/>
        <w:rPr>
          <w:lang w:val="en-US"/>
        </w:rPr>
      </w:pPr>
      <w:r w:rsidRPr="00A06653">
        <w:rPr>
          <w:i/>
          <w:lang w:val="en-US"/>
        </w:rPr>
        <w:t>Maintenance</w:t>
      </w:r>
      <w:r>
        <w:rPr>
          <w:lang w:val="en-US"/>
        </w:rPr>
        <w:t>: Rituximab was used to maintain a remission state.</w:t>
      </w:r>
    </w:p>
    <w:p w:rsidR="00A06653" w:rsidRDefault="00A06653" w:rsidP="00A06653">
      <w:pPr>
        <w:jc w:val="both"/>
        <w:rPr>
          <w:lang w:val="en-US"/>
        </w:rPr>
      </w:pPr>
      <w:r w:rsidRPr="00A06653">
        <w:rPr>
          <w:i/>
          <w:lang w:val="en-US"/>
        </w:rPr>
        <w:t>Refractory</w:t>
      </w:r>
      <w:r>
        <w:rPr>
          <w:i/>
          <w:lang w:val="en-US"/>
        </w:rPr>
        <w:t xml:space="preserve"> disease</w:t>
      </w:r>
      <w:r>
        <w:rPr>
          <w:lang w:val="en-US"/>
        </w:rPr>
        <w:t xml:space="preserve">: </w:t>
      </w:r>
      <w:r w:rsidRPr="00A06653">
        <w:rPr>
          <w:lang w:val="en-US"/>
        </w:rPr>
        <w:t>Refractory disease</w:t>
      </w:r>
      <w:r>
        <w:rPr>
          <w:lang w:val="en-US"/>
        </w:rPr>
        <w:t xml:space="preserve"> </w:t>
      </w:r>
      <w:r w:rsidRPr="00A06653">
        <w:rPr>
          <w:lang w:val="en-US"/>
        </w:rPr>
        <w:t xml:space="preserve">was defined as </w:t>
      </w:r>
      <w:r>
        <w:rPr>
          <w:lang w:val="en-US"/>
        </w:rPr>
        <w:t>persistent disease activity</w:t>
      </w:r>
      <w:r w:rsidRPr="00A06653">
        <w:rPr>
          <w:lang w:val="en-US"/>
        </w:rPr>
        <w:t xml:space="preserve"> despite a full course of</w:t>
      </w:r>
      <w:r>
        <w:rPr>
          <w:lang w:val="en-US"/>
        </w:rPr>
        <w:t xml:space="preserve"> </w:t>
      </w:r>
      <w:r w:rsidRPr="00A06653">
        <w:rPr>
          <w:lang w:val="en-US"/>
        </w:rPr>
        <w:t xml:space="preserve">first-line immunosuppressive and </w:t>
      </w:r>
      <w:r>
        <w:rPr>
          <w:lang w:val="en-US"/>
        </w:rPr>
        <w:t>steroid</w:t>
      </w:r>
      <w:r w:rsidRPr="00A06653">
        <w:rPr>
          <w:lang w:val="en-US"/>
        </w:rPr>
        <w:t xml:space="preserve"> treatment.</w:t>
      </w:r>
    </w:p>
    <w:p w:rsidR="00A06653" w:rsidRDefault="00A06653" w:rsidP="00A06653">
      <w:pPr>
        <w:jc w:val="both"/>
        <w:rPr>
          <w:lang w:val="en-US"/>
        </w:rPr>
      </w:pPr>
      <w:r w:rsidRPr="00A06653">
        <w:rPr>
          <w:i/>
          <w:lang w:val="en-US"/>
        </w:rPr>
        <w:t>Steroid sparing</w:t>
      </w:r>
      <w:r>
        <w:rPr>
          <w:lang w:val="en-US"/>
        </w:rPr>
        <w:t>: In patients on a persistent decent dose of steroids, rituximab was initiated to reduce the average daily steroid dose.</w:t>
      </w:r>
    </w:p>
    <w:p w:rsidR="00A06653" w:rsidRDefault="00A06653" w:rsidP="00A06653">
      <w:pPr>
        <w:jc w:val="both"/>
        <w:rPr>
          <w:lang w:val="en-US"/>
        </w:rPr>
      </w:pPr>
      <w:r w:rsidRPr="00A06653">
        <w:rPr>
          <w:i/>
          <w:lang w:val="en-US"/>
        </w:rPr>
        <w:t>1</w:t>
      </w:r>
      <w:r w:rsidRPr="00A06653">
        <w:rPr>
          <w:i/>
          <w:vertAlign w:val="superscript"/>
          <w:lang w:val="en-US"/>
        </w:rPr>
        <w:t>st</w:t>
      </w:r>
      <w:r w:rsidRPr="00A06653">
        <w:rPr>
          <w:i/>
          <w:lang w:val="en-US"/>
        </w:rPr>
        <w:t xml:space="preserve"> line therapy</w:t>
      </w:r>
      <w:r w:rsidRPr="00A06653">
        <w:rPr>
          <w:lang w:val="en-US"/>
        </w:rPr>
        <w:t xml:space="preserve">: Rituximab was used alongside steroids for the induction of remission in </w:t>
      </w:r>
      <w:r>
        <w:rPr>
          <w:lang w:val="en-US"/>
        </w:rPr>
        <w:t>i</w:t>
      </w:r>
      <w:r w:rsidRPr="00A06653">
        <w:rPr>
          <w:lang w:val="en-US"/>
        </w:rPr>
        <w:t>mmunosuppression-naïve patients</w:t>
      </w:r>
      <w:r>
        <w:rPr>
          <w:lang w:val="en-US"/>
        </w:rPr>
        <w:t>.</w:t>
      </w:r>
    </w:p>
    <w:p w:rsidR="00DC5492" w:rsidRDefault="00DC5492" w:rsidP="00DC5492">
      <w:pPr>
        <w:jc w:val="both"/>
        <w:rPr>
          <w:b/>
          <w:sz w:val="24"/>
          <w:lang w:val="en-US"/>
        </w:rPr>
      </w:pPr>
    </w:p>
    <w:p w:rsidR="00A06653" w:rsidRDefault="00DC5492" w:rsidP="00DC5492">
      <w:pPr>
        <w:jc w:val="both"/>
        <w:rPr>
          <w:b/>
          <w:sz w:val="24"/>
          <w:lang w:val="en-US"/>
        </w:rPr>
      </w:pPr>
      <w:r w:rsidRPr="00DC5492">
        <w:rPr>
          <w:b/>
          <w:sz w:val="24"/>
          <w:lang w:val="en-US"/>
        </w:rPr>
        <w:t>Common Terminology Criteria for Adverse Events v4.0 (CTCAE)</w:t>
      </w:r>
    </w:p>
    <w:p w:rsidR="00DC5492" w:rsidRDefault="00DC5492" w:rsidP="00DC5492">
      <w:pPr>
        <w:jc w:val="both"/>
        <w:rPr>
          <w:lang w:val="en-US"/>
        </w:rPr>
      </w:pPr>
      <w:r w:rsidRPr="00DC5492">
        <w:rPr>
          <w:lang w:val="en-US"/>
        </w:rPr>
        <w:t>CTCAE</w:t>
      </w:r>
      <w:r>
        <w:rPr>
          <w:lang w:val="en-US"/>
        </w:rPr>
        <w:t xml:space="preserve"> represents a descriptive terminology which can be used to systematically report adverse events (AE). For a clinical purpose and for the conduction of trials (observational or prospective), a</w:t>
      </w:r>
      <w:r w:rsidRPr="00DC5492">
        <w:rPr>
          <w:lang w:val="en-US"/>
        </w:rPr>
        <w:t xml:space="preserve"> </w:t>
      </w:r>
      <w:r>
        <w:rPr>
          <w:lang w:val="en-US"/>
        </w:rPr>
        <w:t xml:space="preserve">given </w:t>
      </w:r>
      <w:r w:rsidRPr="00DC5492">
        <w:rPr>
          <w:lang w:val="en-US"/>
        </w:rPr>
        <w:t>grading (severity) scale is provided for each AE term</w:t>
      </w:r>
      <w:r>
        <w:rPr>
          <w:lang w:val="en-US"/>
        </w:rPr>
        <w:t>, which can help to differentiate the impact of diverse treatment strategies on the occurrence of mild to severe/life-threatening complications</w:t>
      </w:r>
      <w:r w:rsidRPr="00DC5492">
        <w:rPr>
          <w:lang w:val="en-US"/>
        </w:rPr>
        <w:t>.</w:t>
      </w:r>
      <w:r>
        <w:rPr>
          <w:lang w:val="en-US"/>
        </w:rPr>
        <w:t xml:space="preserve"> In general, the grading (severity) scale is outlined below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&lt;EndNote&gt;&lt;Cite&gt;&lt;Author&gt;Institute&lt;/Author&gt;&lt;Year&gt;2009&lt;/Year&gt;&lt;RecNum&gt;924&lt;/RecNum&gt;&lt;DisplayText&gt;[1]&lt;/DisplayText&gt;&lt;record&gt;&lt;rec-number&gt;924&lt;/rec-number&gt;&lt;foreign-keys&gt;&lt;key app="EN" db-id="2svs5e0eetdw5uerxp852rf8xtww55rs0ast"&gt;924&lt;/key&gt;&lt;/foreign-keys&gt;&lt;ref-type name="Journal Article"&gt;17&lt;/ref-type&gt;&lt;contributors&gt;&lt;authors&gt;&lt;author&gt;National Cancer Institute&lt;/author&gt;&lt;/authors&gt;&lt;/contributors&gt;&lt;titles&gt;&lt;title&gt;Common Terminology Criteria for Adverse Events (CTCAE) Version 4.0&lt;/title&gt;&lt;/titles&gt;&lt;edition&gt;May 28, 2009&lt;/edition&gt;&lt;dates&gt;&lt;year&gt;2009&lt;/year&gt;&lt;/dates&gt;&lt;urls&gt;&lt;related-urls&gt;&lt;url&gt;https://ctep.cancer.gov/protocolDevelopment/electronic_applications/ctc.htm#ctc_40&lt;/url&gt;&lt;/related-urls&gt;&lt;/urls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</w:t>
      </w:r>
      <w:hyperlink w:anchor="_ENREF_1" w:tooltip="Institute, 2009 #924" w:history="1">
        <w:r>
          <w:rPr>
            <w:noProof/>
            <w:lang w:val="en-US"/>
          </w:rPr>
          <w:t>1</w:t>
        </w:r>
      </w:hyperlink>
      <w:r>
        <w:rPr>
          <w:noProof/>
          <w:lang w:val="en-US"/>
        </w:rPr>
        <w:t>]</w:t>
      </w:r>
      <w:r>
        <w:rPr>
          <w:lang w:val="en-US"/>
        </w:rPr>
        <w:fldChar w:fldCharType="end"/>
      </w:r>
      <w:r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C5492" w:rsidTr="00DC5492">
        <w:tc>
          <w:tcPr>
            <w:tcW w:w="2689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Grade 1</w:t>
            </w:r>
          </w:p>
        </w:tc>
        <w:tc>
          <w:tcPr>
            <w:tcW w:w="6373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Mild; </w:t>
            </w:r>
            <w:r w:rsidRPr="00DC5492">
              <w:rPr>
                <w:lang w:val="en-US"/>
              </w:rPr>
              <w:t>asymptomatic or mild symptoms; clinical or diagnostic</w:t>
            </w:r>
            <w:r>
              <w:rPr>
                <w:lang w:val="en-US"/>
              </w:rPr>
              <w:t xml:space="preserve"> </w:t>
            </w:r>
            <w:r w:rsidRPr="00DC5492">
              <w:rPr>
                <w:lang w:val="en-US"/>
              </w:rPr>
              <w:t>observations only; intervention not indicated.</w:t>
            </w:r>
          </w:p>
        </w:tc>
      </w:tr>
      <w:tr w:rsidR="00DC5492" w:rsidTr="00DC5492">
        <w:tc>
          <w:tcPr>
            <w:tcW w:w="2689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Grade 2</w:t>
            </w:r>
          </w:p>
        </w:tc>
        <w:tc>
          <w:tcPr>
            <w:tcW w:w="6373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Moderate; </w:t>
            </w:r>
            <w:r w:rsidRPr="00DC5492">
              <w:rPr>
                <w:lang w:val="en-US"/>
              </w:rPr>
              <w:t>minimal, local or noninvasive intervention indicated; limiting</w:t>
            </w:r>
            <w:r>
              <w:rPr>
                <w:lang w:val="en-US"/>
              </w:rPr>
              <w:t xml:space="preserve"> </w:t>
            </w:r>
            <w:r w:rsidRPr="00DC5492">
              <w:rPr>
                <w:lang w:val="en-US"/>
              </w:rPr>
              <w:t>age-appropriate</w:t>
            </w:r>
            <w:r>
              <w:rPr>
                <w:lang w:val="en-US"/>
              </w:rPr>
              <w:t xml:space="preserve"> </w:t>
            </w:r>
            <w:r w:rsidRPr="00DC5492">
              <w:rPr>
                <w:lang w:val="en-US"/>
              </w:rPr>
              <w:t>instrumental A</w:t>
            </w:r>
            <w:r>
              <w:rPr>
                <w:lang w:val="en-US"/>
              </w:rPr>
              <w:t xml:space="preserve">ctivities of </w:t>
            </w:r>
            <w:r w:rsidRPr="00DC5492">
              <w:rPr>
                <w:lang w:val="en-US"/>
              </w:rPr>
              <w:t>D</w:t>
            </w:r>
            <w:r>
              <w:rPr>
                <w:lang w:val="en-US"/>
              </w:rPr>
              <w:t xml:space="preserve">aily </w:t>
            </w:r>
            <w:r w:rsidRPr="00DC5492">
              <w:rPr>
                <w:lang w:val="en-US"/>
              </w:rPr>
              <w:t>L</w:t>
            </w:r>
            <w:r>
              <w:rPr>
                <w:lang w:val="en-US"/>
              </w:rPr>
              <w:t>iving</w:t>
            </w:r>
            <w:r w:rsidRPr="00DC5492">
              <w:rPr>
                <w:lang w:val="en-US"/>
              </w:rPr>
              <w:t>.</w:t>
            </w:r>
          </w:p>
        </w:tc>
      </w:tr>
      <w:tr w:rsidR="00DC5492" w:rsidTr="00DC5492">
        <w:tc>
          <w:tcPr>
            <w:tcW w:w="2689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Grade 3</w:t>
            </w:r>
          </w:p>
        </w:tc>
        <w:tc>
          <w:tcPr>
            <w:tcW w:w="6373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Severe </w:t>
            </w:r>
            <w:r w:rsidRPr="00DC5492">
              <w:rPr>
                <w:lang w:val="en-US"/>
              </w:rPr>
              <w:t>or medically significant but not immediately life-threatening; hospitalization or prolongation of</w:t>
            </w:r>
            <w:r>
              <w:rPr>
                <w:lang w:val="en-US"/>
              </w:rPr>
              <w:t xml:space="preserve"> </w:t>
            </w:r>
            <w:r w:rsidRPr="00DC5492">
              <w:rPr>
                <w:lang w:val="en-US"/>
              </w:rPr>
              <w:t>hospitalization indicated; disabling; limiting self care A</w:t>
            </w:r>
            <w:r>
              <w:rPr>
                <w:lang w:val="en-US"/>
              </w:rPr>
              <w:t xml:space="preserve">ctivities of </w:t>
            </w:r>
            <w:r w:rsidRPr="00DC5492">
              <w:rPr>
                <w:lang w:val="en-US"/>
              </w:rPr>
              <w:t>D</w:t>
            </w:r>
            <w:r>
              <w:rPr>
                <w:lang w:val="en-US"/>
              </w:rPr>
              <w:t xml:space="preserve">aily </w:t>
            </w:r>
            <w:r w:rsidRPr="00DC5492">
              <w:rPr>
                <w:lang w:val="en-US"/>
              </w:rPr>
              <w:t>L</w:t>
            </w:r>
            <w:r>
              <w:rPr>
                <w:lang w:val="en-US"/>
              </w:rPr>
              <w:t>iving</w:t>
            </w:r>
            <w:r w:rsidRPr="00DC5492">
              <w:rPr>
                <w:lang w:val="en-US"/>
              </w:rPr>
              <w:t>.</w:t>
            </w:r>
          </w:p>
        </w:tc>
      </w:tr>
      <w:tr w:rsidR="00DC5492" w:rsidTr="00DC5492">
        <w:tc>
          <w:tcPr>
            <w:tcW w:w="2689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Grade 4</w:t>
            </w:r>
          </w:p>
        </w:tc>
        <w:tc>
          <w:tcPr>
            <w:tcW w:w="6373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Life-threatening </w:t>
            </w:r>
            <w:r w:rsidRPr="00DC5492">
              <w:rPr>
                <w:lang w:val="en-US"/>
              </w:rPr>
              <w:t>consequences;</w:t>
            </w:r>
            <w:r>
              <w:rPr>
                <w:lang w:val="en-US"/>
              </w:rPr>
              <w:t xml:space="preserve"> </w:t>
            </w:r>
            <w:r w:rsidRPr="00DC5492">
              <w:rPr>
                <w:lang w:val="en-US"/>
              </w:rPr>
              <w:t>urgent intervention indicated.</w:t>
            </w:r>
          </w:p>
        </w:tc>
      </w:tr>
      <w:tr w:rsidR="00DC5492" w:rsidTr="00DC5492">
        <w:tc>
          <w:tcPr>
            <w:tcW w:w="2689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Grade 5</w:t>
            </w:r>
          </w:p>
        </w:tc>
        <w:tc>
          <w:tcPr>
            <w:tcW w:w="6373" w:type="dxa"/>
          </w:tcPr>
          <w:p w:rsidR="00DC5492" w:rsidRDefault="00DC5492" w:rsidP="00DC5492">
            <w:pPr>
              <w:jc w:val="both"/>
              <w:rPr>
                <w:lang w:val="en-US"/>
              </w:rPr>
            </w:pPr>
            <w:r w:rsidRPr="00DC5492">
              <w:rPr>
                <w:lang w:val="en-US"/>
              </w:rPr>
              <w:t>Death related to AE.</w:t>
            </w:r>
          </w:p>
        </w:tc>
      </w:tr>
    </w:tbl>
    <w:p w:rsidR="00DC5492" w:rsidRDefault="00DC5492" w:rsidP="00DC5492">
      <w:pPr>
        <w:jc w:val="both"/>
        <w:rPr>
          <w:lang w:val="en-US"/>
        </w:rPr>
      </w:pPr>
      <w:r w:rsidRPr="00DC5492">
        <w:rPr>
          <w:lang w:val="en-US"/>
        </w:rPr>
        <w:t xml:space="preserve">   </w:t>
      </w:r>
    </w:p>
    <w:p w:rsidR="00DC5492" w:rsidRDefault="00874D3E" w:rsidP="00DC5492">
      <w:pPr>
        <w:jc w:val="both"/>
        <w:rPr>
          <w:lang w:val="en-US"/>
        </w:rPr>
      </w:pPr>
      <w:r>
        <w:rPr>
          <w:lang w:val="en-US"/>
        </w:rPr>
        <w:t xml:space="preserve">As an example for infectious complications, the grading (severity) scale for urinary tract infections including the particular definition is given below. </w:t>
      </w:r>
      <w:r w:rsidRPr="00874D3E">
        <w:rPr>
          <w:u w:val="single"/>
          <w:lang w:val="en-US"/>
        </w:rPr>
        <w:t>Definition</w:t>
      </w:r>
      <w:r w:rsidRPr="00874D3E">
        <w:rPr>
          <w:lang w:val="en-US"/>
        </w:rPr>
        <w:t>: A disorder characterized by an infectious process involving the urinary tract, most commonly the bladder and the urethra</w:t>
      </w:r>
      <w:r>
        <w:rPr>
          <w:lang w:val="en-US"/>
        </w:rPr>
        <w:t xml:space="preserve"> </w:t>
      </w:r>
      <w:r w:rsidRPr="00874D3E">
        <w:rPr>
          <w:lang w:val="en-US"/>
        </w:rPr>
        <w:t>[1].</w:t>
      </w:r>
      <w:r w:rsidR="001C3044">
        <w:rPr>
          <w:lang w:val="en-US"/>
        </w:rPr>
        <w:t xml:space="preserve"> Abbreviations used: AE (adverse event), IV (intravenous), UTI (urinary tract infection).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268"/>
        <w:gridCol w:w="2621"/>
        <w:gridCol w:w="1774"/>
        <w:gridCol w:w="1270"/>
      </w:tblGrid>
      <w:tr w:rsidR="001C3044" w:rsidTr="001C3044">
        <w:tc>
          <w:tcPr>
            <w:tcW w:w="562" w:type="dxa"/>
          </w:tcPr>
          <w:p w:rsidR="001C3044" w:rsidRDefault="001C3044" w:rsidP="001C30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567" w:type="dxa"/>
          </w:tcPr>
          <w:p w:rsidR="001C3044" w:rsidRDefault="001C3044" w:rsidP="001C3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1C3044" w:rsidRDefault="001C3044" w:rsidP="001C3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21" w:type="dxa"/>
          </w:tcPr>
          <w:p w:rsidR="001C3044" w:rsidRDefault="001C3044" w:rsidP="001C3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4" w:type="dxa"/>
          </w:tcPr>
          <w:p w:rsidR="001C3044" w:rsidRDefault="001C3044" w:rsidP="001C3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0" w:type="dxa"/>
          </w:tcPr>
          <w:p w:rsidR="001C3044" w:rsidRDefault="001C3044" w:rsidP="001C3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C3044" w:rsidTr="001C3044">
        <w:tc>
          <w:tcPr>
            <w:tcW w:w="562" w:type="dxa"/>
          </w:tcPr>
          <w:p w:rsidR="001C3044" w:rsidRDefault="001C3044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UTI</w:t>
            </w:r>
          </w:p>
        </w:tc>
        <w:tc>
          <w:tcPr>
            <w:tcW w:w="567" w:type="dxa"/>
          </w:tcPr>
          <w:p w:rsidR="001C3044" w:rsidRDefault="001C3044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1C3044" w:rsidRDefault="001C3044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Localized; local intervention indicated (e.g., topical antibiotic, antifungal, or antiviral)</w:t>
            </w:r>
          </w:p>
        </w:tc>
        <w:tc>
          <w:tcPr>
            <w:tcW w:w="2621" w:type="dxa"/>
          </w:tcPr>
          <w:p w:rsidR="001C3044" w:rsidRDefault="001C3044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IV antibiotic, antifungal, or antiviral intervention indicated; radiologic or operative intervention indicated</w:t>
            </w:r>
          </w:p>
        </w:tc>
        <w:tc>
          <w:tcPr>
            <w:tcW w:w="1774" w:type="dxa"/>
          </w:tcPr>
          <w:p w:rsidR="001C3044" w:rsidRDefault="001C3044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Life-threatening consequences; urgent intervention indicated</w:t>
            </w:r>
          </w:p>
        </w:tc>
        <w:tc>
          <w:tcPr>
            <w:tcW w:w="1270" w:type="dxa"/>
          </w:tcPr>
          <w:p w:rsidR="001C3044" w:rsidRDefault="001C3044" w:rsidP="00DC54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Death</w:t>
            </w:r>
          </w:p>
        </w:tc>
      </w:tr>
    </w:tbl>
    <w:p w:rsidR="00874D3E" w:rsidRDefault="00874D3E" w:rsidP="00DC5492">
      <w:pPr>
        <w:jc w:val="both"/>
        <w:rPr>
          <w:lang w:val="en-US"/>
        </w:rPr>
      </w:pPr>
    </w:p>
    <w:p w:rsidR="00DC5492" w:rsidRDefault="00DC5492" w:rsidP="00DC5492">
      <w:pPr>
        <w:jc w:val="both"/>
        <w:rPr>
          <w:lang w:val="en-US"/>
        </w:rPr>
      </w:pPr>
    </w:p>
    <w:p w:rsidR="00DC5492" w:rsidRDefault="00DC5492" w:rsidP="00DC5492">
      <w:pPr>
        <w:jc w:val="both"/>
        <w:rPr>
          <w:lang w:val="en-US"/>
        </w:rPr>
      </w:pPr>
    </w:p>
    <w:p w:rsidR="00DC5492" w:rsidRDefault="00DC5492" w:rsidP="00DC5492">
      <w:pPr>
        <w:jc w:val="both"/>
        <w:rPr>
          <w:lang w:val="en-US"/>
        </w:rPr>
      </w:pPr>
      <w:r>
        <w:rPr>
          <w:lang w:val="en-US"/>
        </w:rPr>
        <w:t>References</w:t>
      </w:r>
    </w:p>
    <w:p w:rsidR="00DC5492" w:rsidRPr="00DC5492" w:rsidRDefault="00DC5492" w:rsidP="00DC5492">
      <w:pPr>
        <w:spacing w:line="240" w:lineRule="auto"/>
        <w:jc w:val="both"/>
        <w:rPr>
          <w:rFonts w:ascii="Calibri" w:hAnsi="Calibri"/>
          <w:noProof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1" w:name="_ENREF_1"/>
      <w:r w:rsidRPr="00DC5492">
        <w:rPr>
          <w:rFonts w:ascii="Calibri" w:hAnsi="Calibri"/>
          <w:noProof/>
          <w:lang w:val="en-US"/>
        </w:rPr>
        <w:t>1.</w:t>
      </w:r>
      <w:r w:rsidRPr="00DC5492">
        <w:rPr>
          <w:rFonts w:ascii="Calibri" w:hAnsi="Calibri"/>
          <w:noProof/>
          <w:lang w:val="en-US"/>
        </w:rPr>
        <w:tab/>
        <w:t>Institute NC. Common Terminology Criteria for Adverse Events (CTCAE) Version 4.0. 2009.</w:t>
      </w:r>
      <w:bookmarkEnd w:id="1"/>
    </w:p>
    <w:p w:rsidR="00DC5492" w:rsidRDefault="00DC5492" w:rsidP="00DC5492">
      <w:pPr>
        <w:spacing w:line="240" w:lineRule="auto"/>
        <w:jc w:val="both"/>
        <w:rPr>
          <w:noProof/>
          <w:lang w:val="en-US"/>
        </w:rPr>
      </w:pPr>
    </w:p>
    <w:p w:rsidR="00DC5492" w:rsidRPr="00DC5492" w:rsidRDefault="00DC5492" w:rsidP="00DC5492">
      <w:pPr>
        <w:jc w:val="both"/>
        <w:rPr>
          <w:lang w:val="en-US"/>
        </w:rPr>
      </w:pPr>
      <w:r>
        <w:rPr>
          <w:lang w:val="en-US"/>
        </w:rPr>
        <w:fldChar w:fldCharType="end"/>
      </w:r>
    </w:p>
    <w:sectPr w:rsidR="00DC5492" w:rsidRPr="00DC5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Rheum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svs5e0eetdw5uerxp852rf8xtww55rs0ast&quot;&gt;My EndNote Library&lt;record-ids&gt;&lt;item&gt;924&lt;/item&gt;&lt;/record-ids&gt;&lt;/item&gt;&lt;/Libraries&gt;"/>
  </w:docVars>
  <w:rsids>
    <w:rsidRoot w:val="00A06653"/>
    <w:rsid w:val="001C3044"/>
    <w:rsid w:val="004011C7"/>
    <w:rsid w:val="007A78A8"/>
    <w:rsid w:val="00874D3E"/>
    <w:rsid w:val="00A06653"/>
    <w:rsid w:val="00DC5492"/>
    <w:rsid w:val="00F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9932"/>
  <w15:chartTrackingRefBased/>
  <w15:docId w15:val="{3BA914C1-758C-45CB-8045-48C0F23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549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5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C1F54B8C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Kronbichler</dc:creator>
  <cp:keywords/>
  <dc:description/>
  <cp:lastModifiedBy>Nephro Untersuchung 3, Dr. Gasser R. /SA </cp:lastModifiedBy>
  <cp:revision>3</cp:revision>
  <dcterms:created xsi:type="dcterms:W3CDTF">2018-01-29T19:49:00Z</dcterms:created>
  <dcterms:modified xsi:type="dcterms:W3CDTF">2018-01-30T11:02:00Z</dcterms:modified>
</cp:coreProperties>
</file>