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70E7" w:rsidRPr="00717575" w:rsidRDefault="003470E7">
      <w:pPr>
        <w:rPr>
          <w:rFonts w:ascii="Arial" w:hAnsi="Arial" w:cs="Arial"/>
          <w:b/>
          <w:lang w:val="en-US"/>
        </w:rPr>
      </w:pPr>
      <w:r w:rsidRPr="00717575">
        <w:rPr>
          <w:rFonts w:ascii="Arial" w:hAnsi="Arial" w:cs="Arial"/>
          <w:b/>
          <w:lang w:val="en-US"/>
        </w:rPr>
        <w:t>SUPPLEMENTARY METHODS</w:t>
      </w:r>
    </w:p>
    <w:p w:rsidR="003470E7" w:rsidRPr="00717575" w:rsidRDefault="003470E7">
      <w:pPr>
        <w:rPr>
          <w:rFonts w:ascii="Arial" w:hAnsi="Arial" w:cs="Arial"/>
          <w:b/>
          <w:lang w:val="en-US"/>
        </w:rPr>
      </w:pPr>
      <w:r w:rsidRPr="00717575">
        <w:rPr>
          <w:rFonts w:ascii="Arial" w:hAnsi="Arial" w:cs="Arial"/>
          <w:b/>
          <w:lang w:val="en-US"/>
        </w:rPr>
        <w:t>Mice</w:t>
      </w:r>
    </w:p>
    <w:p w:rsidR="003470E7" w:rsidRPr="00F110C9" w:rsidRDefault="003470E7" w:rsidP="005F7F06">
      <w:pPr>
        <w:spacing w:after="0" w:line="480" w:lineRule="auto"/>
        <w:contextualSpacing/>
        <w:jc w:val="both"/>
        <w:rPr>
          <w:rFonts w:ascii="Arial" w:hAnsi="Arial" w:cs="Arial"/>
          <w:bCs/>
          <w:color w:val="000000" w:themeColor="text1"/>
          <w:lang w:val="en-US"/>
        </w:rPr>
      </w:pPr>
      <w:r w:rsidRPr="00717575">
        <w:rPr>
          <w:rFonts w:ascii="Arial" w:hAnsi="Arial" w:cs="Arial"/>
          <w:bCs/>
          <w:color w:val="000000" w:themeColor="text1"/>
          <w:lang w:val="en-US"/>
        </w:rPr>
        <w:t xml:space="preserve">The animal facility of </w:t>
      </w:r>
      <w:r w:rsidRPr="00717575">
        <w:rPr>
          <w:rFonts w:ascii="Arial" w:hAnsi="Arial" w:cs="Arial"/>
          <w:bCs/>
          <w:lang w:val="en-US"/>
        </w:rPr>
        <w:t xml:space="preserve">Biomedical Sciences </w:t>
      </w:r>
      <w:r w:rsidRPr="00F110C9">
        <w:rPr>
          <w:rFonts w:ascii="Arial" w:hAnsi="Arial" w:cs="Arial"/>
          <w:bCs/>
          <w:lang w:val="en-US"/>
        </w:rPr>
        <w:t xml:space="preserve">Research Center (BSRC) “Alexander Fleming” </w:t>
      </w:r>
      <w:r w:rsidRPr="00F110C9">
        <w:rPr>
          <w:rFonts w:ascii="Arial" w:hAnsi="Arial" w:cs="Arial"/>
          <w:bCs/>
          <w:color w:val="000000" w:themeColor="text1"/>
          <w:lang w:val="en-US"/>
        </w:rPr>
        <w:t xml:space="preserve">was under a 12:12-h light/dark cycle at a constant temperature of 22 ± 2 °C and relative humidity of ~60%. For anti-TNF treatment, Tg197 mice were treated twice weekly </w:t>
      </w:r>
      <w:bookmarkStart w:id="0" w:name="_Hlk495571542"/>
      <w:r w:rsidRPr="00F110C9">
        <w:rPr>
          <w:rFonts w:ascii="Arial" w:hAnsi="Arial" w:cs="Arial"/>
          <w:bCs/>
          <w:color w:val="000000" w:themeColor="text1"/>
          <w:lang w:val="en-US"/>
        </w:rPr>
        <w:t xml:space="preserve">from 4 to 11 weeks of age </w:t>
      </w:r>
      <w:bookmarkEnd w:id="0"/>
      <w:r w:rsidRPr="00F110C9">
        <w:rPr>
          <w:rFonts w:ascii="Arial" w:hAnsi="Arial" w:cs="Arial"/>
          <w:bCs/>
          <w:color w:val="000000" w:themeColor="text1"/>
          <w:lang w:val="en-US"/>
        </w:rPr>
        <w:t xml:space="preserve">with 10mg/kg Remicade (Infliximab, Janssen Biotech). All mice were handled according to the guidance of the Institutional Animal Care and Use Committee of BSRC “Alexander Fleming”. All mice were observed for morbidity and euthanized when needed according to animal welfare guidelines.  Experimental termination time points were set to a maximum of 12 weeks of age, except for the case of the survival curve experiment, where the mice were not sacrificed until their mortality reached 50%. </w:t>
      </w:r>
    </w:p>
    <w:p w:rsidR="003470E7" w:rsidRPr="00F110C9" w:rsidRDefault="003470E7" w:rsidP="005F7F06">
      <w:pPr>
        <w:spacing w:after="0" w:line="480" w:lineRule="auto"/>
        <w:contextualSpacing/>
        <w:jc w:val="both"/>
        <w:rPr>
          <w:rFonts w:ascii="Arial" w:hAnsi="Arial" w:cs="Arial"/>
          <w:b/>
          <w:bCs/>
          <w:color w:val="000000" w:themeColor="text1"/>
          <w:lang w:val="en-US"/>
        </w:rPr>
      </w:pPr>
      <w:r w:rsidRPr="00F110C9">
        <w:rPr>
          <w:rFonts w:ascii="Arial" w:hAnsi="Arial" w:cs="Arial"/>
          <w:b/>
          <w:bCs/>
          <w:color w:val="000000" w:themeColor="text1"/>
          <w:lang w:val="en-US"/>
        </w:rPr>
        <w:t>Antibodies</w:t>
      </w:r>
    </w:p>
    <w:p w:rsidR="003470E7" w:rsidRPr="00F110C9" w:rsidRDefault="003470E7" w:rsidP="001A6A05">
      <w:pPr>
        <w:autoSpaceDE w:val="0"/>
        <w:autoSpaceDN w:val="0"/>
        <w:adjustRightInd w:val="0"/>
        <w:spacing w:afterLines="80" w:after="192" w:line="480" w:lineRule="auto"/>
        <w:contextualSpacing/>
        <w:jc w:val="both"/>
        <w:rPr>
          <w:rFonts w:ascii="Arial" w:hAnsi="Arial" w:cs="Arial"/>
          <w:color w:val="000000" w:themeColor="text1"/>
          <w:lang w:val="en-US"/>
        </w:rPr>
      </w:pPr>
      <w:r w:rsidRPr="00F110C9">
        <w:rPr>
          <w:rFonts w:ascii="Arial" w:hAnsi="Arial" w:cs="Arial"/>
          <w:color w:val="0D0D0D" w:themeColor="text1" w:themeTint="F2"/>
          <w:lang w:val="en-US"/>
        </w:rPr>
        <w:t>Antibodies used for immunohistochemistry included: Gr-1, F4/80 (MCA2387GA; MCA497, AbD Serotec), B220 (553084, BD Pharmigen), CD3 (ab1669, Abcam)</w:t>
      </w:r>
      <w:r w:rsidRPr="00F110C9">
        <w:rPr>
          <w:rFonts w:ascii="Arial" w:hAnsi="Arial" w:cs="Arial"/>
          <w:color w:val="000000" w:themeColor="text1"/>
          <w:lang w:val="en-US"/>
        </w:rPr>
        <w:t>. Antibodies used for FACS or immunofluorescence included: CD45 (103128), CD31 (102420), CD90.2 (105316), CD105 (120414), Podoplanin (127411), CD106/VCAM-1 (105717) and PDGFRa/CD140a (135905) from Biolegend, CD29 47-0291-80, eBioscience) and CD54/ICAM1 (553253, BD Pharmigen). For intracellular stainings, the antibody used was Vimentin (ab92547, Abcam).</w:t>
      </w:r>
    </w:p>
    <w:p w:rsidR="003470E7" w:rsidRPr="00F110C9" w:rsidRDefault="003470E7" w:rsidP="001A6A05">
      <w:pPr>
        <w:autoSpaceDE w:val="0"/>
        <w:autoSpaceDN w:val="0"/>
        <w:adjustRightInd w:val="0"/>
        <w:spacing w:afterLines="80" w:after="192" w:line="480" w:lineRule="auto"/>
        <w:contextualSpacing/>
        <w:jc w:val="both"/>
        <w:rPr>
          <w:rFonts w:ascii="Arial" w:hAnsi="Arial" w:cs="Arial"/>
          <w:b/>
          <w:bCs/>
          <w:lang w:val="en-US"/>
        </w:rPr>
      </w:pPr>
      <w:r w:rsidRPr="00F110C9">
        <w:rPr>
          <w:rFonts w:ascii="Arial" w:hAnsi="Arial" w:cs="Arial"/>
          <w:b/>
          <w:bCs/>
          <w:lang w:val="en-US"/>
        </w:rPr>
        <w:t>Histological analysis, Immunohistochemistry and immunofluorescence</w:t>
      </w:r>
    </w:p>
    <w:p w:rsidR="003470E7" w:rsidRPr="00F110C9" w:rsidRDefault="003470E7" w:rsidP="001A6A05">
      <w:pPr>
        <w:autoSpaceDE w:val="0"/>
        <w:autoSpaceDN w:val="0"/>
        <w:adjustRightInd w:val="0"/>
        <w:spacing w:afterLines="80" w:after="192" w:line="480" w:lineRule="auto"/>
        <w:contextualSpacing/>
        <w:jc w:val="both"/>
        <w:rPr>
          <w:rFonts w:ascii="Arial" w:hAnsi="Arial" w:cs="Arial"/>
          <w:color w:val="000000" w:themeColor="text1"/>
          <w:lang w:val="en-US"/>
        </w:rPr>
      </w:pPr>
      <w:r w:rsidRPr="00F110C9">
        <w:rPr>
          <w:rFonts w:ascii="Arial" w:hAnsi="Arial" w:cs="Arial"/>
          <w:color w:val="0D0D0D" w:themeColor="text1" w:themeTint="F2"/>
          <w:lang w:val="en-US"/>
        </w:rPr>
        <w:t xml:space="preserve">Paraffin-embedded transverse heart, aortic and lung sections were stained with Hematoxylin/Eosin (H&amp;E) staining, Masson’s Trichrome staining and with specific antibodies </w:t>
      </w:r>
      <w:r w:rsidRPr="00F110C9">
        <w:rPr>
          <w:rFonts w:ascii="Arial" w:hAnsi="Arial" w:cs="Arial"/>
          <w:color w:val="000000" w:themeColor="text1"/>
          <w:lang w:val="en-US"/>
        </w:rPr>
        <w:t>in combination with the Vectastain Elite ABC HRP and the Vectastain DAB kits (Vector Laboratories) and images were acquired with Leica DM2500 microscope equipped with Leica SFL4000 camera (Leica Microsystems). Heart transverse OCT cryosections were imaged using a TCS SP8X White Light Laser confocal system (Leica).</w:t>
      </w:r>
    </w:p>
    <w:p w:rsidR="003470E7" w:rsidRPr="00F110C9" w:rsidRDefault="003470E7" w:rsidP="001A6A05">
      <w:pPr>
        <w:autoSpaceDE w:val="0"/>
        <w:autoSpaceDN w:val="0"/>
        <w:adjustRightInd w:val="0"/>
        <w:spacing w:afterLines="80" w:after="192" w:line="480" w:lineRule="auto"/>
        <w:contextualSpacing/>
        <w:jc w:val="both"/>
        <w:rPr>
          <w:rFonts w:ascii="Arial" w:hAnsi="Arial" w:cs="Arial"/>
          <w:b/>
          <w:color w:val="000000" w:themeColor="text1"/>
          <w:lang w:val="en-US"/>
        </w:rPr>
      </w:pPr>
      <w:r w:rsidRPr="00F110C9">
        <w:rPr>
          <w:rFonts w:ascii="Arial" w:hAnsi="Arial" w:cs="Arial"/>
          <w:b/>
          <w:color w:val="000000" w:themeColor="text1"/>
          <w:lang w:val="en-US"/>
        </w:rPr>
        <w:lastRenderedPageBreak/>
        <w:t>Quantification of valvular thickness</w:t>
      </w:r>
    </w:p>
    <w:p w:rsidR="003470E7" w:rsidRPr="00F110C9" w:rsidRDefault="003470E7" w:rsidP="001A6A05">
      <w:pPr>
        <w:autoSpaceDE w:val="0"/>
        <w:autoSpaceDN w:val="0"/>
        <w:adjustRightInd w:val="0"/>
        <w:spacing w:afterLines="80" w:after="192" w:line="480" w:lineRule="auto"/>
        <w:contextualSpacing/>
        <w:jc w:val="both"/>
        <w:rPr>
          <w:rFonts w:ascii="Arial" w:hAnsi="Arial" w:cs="Arial"/>
          <w:lang w:val="en-US"/>
        </w:rPr>
      </w:pPr>
      <w:r w:rsidRPr="00F110C9">
        <w:rPr>
          <w:rFonts w:ascii="Arial" w:hAnsi="Arial" w:cs="Arial"/>
          <w:color w:val="000000" w:themeColor="text1"/>
          <w:lang w:val="en-US"/>
        </w:rPr>
        <w:t xml:space="preserve">To quantify adult valve thickness, the widest portion of the valve leaflets was measured in </w:t>
      </w:r>
      <w:r w:rsidRPr="00F110C9">
        <w:rPr>
          <w:rFonts w:ascii="Arial" w:hAnsi="Arial" w:cs="Arial"/>
          <w:lang w:val="en-US"/>
        </w:rPr>
        <w:t xml:space="preserve">H&amp;E- stained transverse heart sections using the ImageJ software (NIH). Four independent measurements were taken per leaflet </w:t>
      </w:r>
      <w:r w:rsidRPr="00F110C9">
        <w:rPr>
          <w:rFonts w:ascii="Arial" w:hAnsi="Arial" w:cs="Arial"/>
          <w:bCs/>
          <w:color w:val="000000" w:themeColor="text1"/>
          <w:lang w:val="en-US"/>
        </w:rPr>
        <w:t>in a blinded to the genotype fashion</w:t>
      </w:r>
      <w:r w:rsidRPr="00F110C9">
        <w:rPr>
          <w:rFonts w:ascii="Arial" w:hAnsi="Arial" w:cs="Arial"/>
          <w:lang w:val="en-US"/>
        </w:rPr>
        <w:t xml:space="preserve"> from 3 consecutive sections. The values were averaged and a minimum of three</w:t>
      </w:r>
      <w:r w:rsidRPr="00F110C9">
        <w:rPr>
          <w:rFonts w:ascii="Arial" w:hAnsi="Arial" w:cs="Arial"/>
          <w:lang w:val="en-US"/>
        </w:rPr>
        <w:softHyphen/>
      </w:r>
      <w:r w:rsidRPr="00F110C9">
        <w:rPr>
          <w:rFonts w:ascii="Arial" w:hAnsi="Arial" w:cs="Arial"/>
          <w:lang w:val="en-US"/>
        </w:rPr>
        <w:softHyphen/>
        <w:t xml:space="preserve"> animals were used per genotype for statistical analysis. </w:t>
      </w:r>
    </w:p>
    <w:p w:rsidR="003470E7" w:rsidRPr="00F110C9" w:rsidRDefault="003470E7" w:rsidP="001A6A05">
      <w:pPr>
        <w:autoSpaceDE w:val="0"/>
        <w:autoSpaceDN w:val="0"/>
        <w:adjustRightInd w:val="0"/>
        <w:spacing w:afterLines="80" w:after="192" w:line="480" w:lineRule="auto"/>
        <w:contextualSpacing/>
        <w:jc w:val="both"/>
        <w:rPr>
          <w:rFonts w:ascii="Arial" w:hAnsi="Arial" w:cs="Arial"/>
          <w:b/>
          <w:lang w:val="en-US"/>
        </w:rPr>
      </w:pPr>
      <w:r w:rsidRPr="00F110C9">
        <w:rPr>
          <w:rFonts w:ascii="Arial" w:hAnsi="Arial" w:cs="Arial"/>
          <w:b/>
          <w:lang w:val="en-US"/>
        </w:rPr>
        <w:t>Echocardiography and Electrocardiography</w:t>
      </w:r>
    </w:p>
    <w:p w:rsidR="003470E7" w:rsidRPr="00F110C9" w:rsidRDefault="003470E7" w:rsidP="003F73E2">
      <w:pPr>
        <w:autoSpaceDE w:val="0"/>
        <w:autoSpaceDN w:val="0"/>
        <w:adjustRightInd w:val="0"/>
        <w:spacing w:after="0" w:line="480" w:lineRule="auto"/>
        <w:contextualSpacing/>
        <w:jc w:val="both"/>
        <w:rPr>
          <w:rFonts w:ascii="Arial" w:hAnsi="Arial" w:cs="Arial"/>
          <w:lang w:val="en-US"/>
        </w:rPr>
      </w:pPr>
      <w:r w:rsidRPr="00F110C9">
        <w:rPr>
          <w:rFonts w:ascii="Arial" w:hAnsi="Arial" w:cs="Arial"/>
          <w:lang w:val="en-US"/>
        </w:rPr>
        <w:t>Echocardiography assessment was performed in the Department of Pharmacology, Medical School NKUA, Greece as previously described.</w:t>
      </w:r>
      <w:r w:rsidRPr="00F110C9">
        <w:rPr>
          <w:rFonts w:ascii="Arial" w:hAnsi="Arial" w:cs="Arial"/>
          <w:noProof/>
          <w:vertAlign w:val="superscript"/>
          <w:lang w:val="en-US"/>
        </w:rPr>
        <w:t>1</w:t>
      </w:r>
      <w:r w:rsidRPr="00F110C9">
        <w:rPr>
          <w:rFonts w:ascii="Arial" w:hAnsi="Arial" w:cs="Arial"/>
          <w:lang w:val="en-US"/>
        </w:rPr>
        <w:t xml:space="preserve"> Briefly, mice were sedated with intraperitoneal injection of ketamine-midazomal cocktail and, after chest hair removal, they were placed on a heated platform to maintain the body temperature at 37</w:t>
      </w:r>
      <w:r w:rsidRPr="00F110C9">
        <w:rPr>
          <w:rFonts w:ascii="Arial" w:hAnsi="Arial" w:cs="Arial"/>
        </w:rPr>
        <w:t>ᵒ</w:t>
      </w:r>
      <w:r w:rsidRPr="00F110C9">
        <w:rPr>
          <w:rFonts w:ascii="Arial" w:hAnsi="Arial" w:cs="Arial"/>
          <w:lang w:val="en-US"/>
        </w:rPr>
        <w:t xml:space="preserve">C. Echocardiographic images in parasternal short and long axes were acquired using a Vivid 7 version Pro ultrasound system (GE Healthcare, Wauwatosa, Wisconsin), equipped with a 14.0-MHz probe (i13L). </w:t>
      </w:r>
      <w:r w:rsidRPr="00F110C9">
        <w:rPr>
          <w:rFonts w:ascii="Arial" w:hAnsi="Arial" w:cs="Arial"/>
          <w:bCs/>
          <w:color w:val="000000" w:themeColor="text1"/>
          <w:lang w:val="en-US"/>
        </w:rPr>
        <w:t>Recordings were made when heart rate was 300-450 BPM, in a blinded to the genotype fashion</w:t>
      </w:r>
      <w:r w:rsidRPr="00F110C9">
        <w:rPr>
          <w:rFonts w:ascii="Arial" w:hAnsi="Arial" w:cs="Arial"/>
          <w:bCs/>
          <w:lang w:val="en-US"/>
        </w:rPr>
        <w:t>.</w:t>
      </w:r>
      <w:r w:rsidRPr="00F110C9">
        <w:rPr>
          <w:rFonts w:ascii="Arial" w:hAnsi="Arial" w:cs="Arial"/>
          <w:bCs/>
          <w:color w:val="000000" w:themeColor="text1"/>
          <w:lang w:val="en-US"/>
        </w:rPr>
        <w:t xml:space="preserve"> </w:t>
      </w:r>
      <w:r w:rsidRPr="00F110C9">
        <w:rPr>
          <w:rFonts w:ascii="Arial" w:hAnsi="Arial" w:cs="Arial"/>
          <w:lang w:val="en-US"/>
        </w:rPr>
        <w:t xml:space="preserve">Parameters assessed include LVEDd, LVEDs, LVLd, LVPWd, IVSd, SVPW, LA and were measured using 2D images. </w:t>
      </w:r>
      <w:bookmarkStart w:id="1" w:name="_Hlk492935907"/>
      <w:r w:rsidRPr="00F110C9">
        <w:rPr>
          <w:rFonts w:ascii="Arial" w:hAnsi="Arial" w:cs="Arial"/>
          <w:lang w:val="en-US"/>
        </w:rPr>
        <w:t>The modified Simpson equation was used for the calculation of LVEDV, LVESV and EF. SVPW, determined from two-dimensional guided M-mode recordings obtained at the midventricular level</w:t>
      </w:r>
      <w:bookmarkEnd w:id="1"/>
      <w:r w:rsidRPr="00F110C9">
        <w:rPr>
          <w:rFonts w:ascii="Arial" w:hAnsi="Arial" w:cs="Arial"/>
          <w:lang w:val="en-US"/>
        </w:rPr>
        <w:t>, was used to assess the regional contractile function of the LV myocardium, while EF% was used to determine the global contractile LV function</w:t>
      </w:r>
      <w:r w:rsidRPr="00F110C9">
        <w:rPr>
          <w:rFonts w:ascii="Arial" w:hAnsi="Arial" w:cs="Arial"/>
          <w:bCs/>
          <w:color w:val="000000" w:themeColor="text1"/>
          <w:lang w:val="en-US"/>
        </w:rPr>
        <w:t xml:space="preserve">. For the analysis, all measurements (except for EF and SVPW) were normalized with the body weight of each mouse. Doppler analysis was used to determine velocities of the aortic, mitral and pulmonary valve. ECGs were performed during echocardiography. Three ECG leads (I, II, AVf) were recorded via three electrode pads attached to the 3 paws (front limbs and left hind limb) of each animal. Intervals and amplitudes were evaluated from continuous recording of at least 15 ECG signals in the beginning, the middle and the end of the </w:t>
      </w:r>
      <w:r w:rsidRPr="00F110C9">
        <w:rPr>
          <w:rFonts w:ascii="Arial" w:hAnsi="Arial" w:cs="Arial"/>
          <w:bCs/>
          <w:color w:val="000000" w:themeColor="text1"/>
          <w:lang w:val="en-US"/>
        </w:rPr>
        <w:lastRenderedPageBreak/>
        <w:t xml:space="preserve">whole procedure. Heart rate was calculated by the Vivid 7 version Pro ultrasound system </w:t>
      </w:r>
      <w:r w:rsidRPr="00F110C9">
        <w:rPr>
          <w:rFonts w:ascii="Arial" w:hAnsi="Arial" w:cs="Arial"/>
          <w:lang w:val="en-US"/>
        </w:rPr>
        <w:t>(GE Healthcare, Wauwatosa, Wisconsin).</w:t>
      </w:r>
    </w:p>
    <w:p w:rsidR="003470E7" w:rsidRPr="00F110C9" w:rsidRDefault="003470E7" w:rsidP="005F7F06">
      <w:pPr>
        <w:autoSpaceDE w:val="0"/>
        <w:autoSpaceDN w:val="0"/>
        <w:adjustRightInd w:val="0"/>
        <w:spacing w:afterLines="80" w:after="192" w:line="480" w:lineRule="auto"/>
        <w:contextualSpacing/>
        <w:jc w:val="both"/>
        <w:rPr>
          <w:rFonts w:ascii="Arial" w:hAnsi="Arial" w:cs="Arial"/>
          <w:b/>
          <w:bCs/>
          <w:lang w:val="en-US"/>
        </w:rPr>
      </w:pPr>
      <w:r w:rsidRPr="00F110C9">
        <w:rPr>
          <w:rFonts w:ascii="Arial" w:hAnsi="Arial" w:cs="Arial"/>
          <w:b/>
          <w:bCs/>
          <w:lang w:val="en-US"/>
        </w:rPr>
        <w:t>Isolation and culturing of SFs and VICs</w:t>
      </w:r>
    </w:p>
    <w:p w:rsidR="003470E7" w:rsidRPr="00F110C9" w:rsidRDefault="003470E7" w:rsidP="003F73E2">
      <w:pPr>
        <w:autoSpaceDE w:val="0"/>
        <w:autoSpaceDN w:val="0"/>
        <w:adjustRightInd w:val="0"/>
        <w:spacing w:afterLines="80" w:after="192" w:line="480" w:lineRule="auto"/>
        <w:contextualSpacing/>
        <w:jc w:val="both"/>
        <w:rPr>
          <w:rFonts w:ascii="Arial" w:hAnsi="Arial" w:cs="Arial"/>
          <w:lang w:val="en-US"/>
        </w:rPr>
      </w:pPr>
      <w:r w:rsidRPr="00F110C9">
        <w:rPr>
          <w:rFonts w:ascii="Arial" w:hAnsi="Arial" w:cs="Arial"/>
          <w:lang w:val="en-US"/>
        </w:rPr>
        <w:t>SFs were isolated as previously described</w:t>
      </w:r>
      <w:r w:rsidRPr="00F110C9">
        <w:rPr>
          <w:rFonts w:ascii="Arial" w:hAnsi="Arial" w:cs="Arial"/>
          <w:noProof/>
          <w:vertAlign w:val="superscript"/>
          <w:lang w:val="en-US"/>
        </w:rPr>
        <w:t>2</w:t>
      </w:r>
      <w:r w:rsidRPr="00F110C9">
        <w:rPr>
          <w:rFonts w:ascii="Arial" w:hAnsi="Arial" w:cs="Arial"/>
          <w:lang w:val="en-US"/>
        </w:rPr>
        <w:t xml:space="preserve"> and cultured up to the 3</w:t>
      </w:r>
      <w:r w:rsidRPr="00F110C9">
        <w:rPr>
          <w:rFonts w:ascii="Arial" w:hAnsi="Arial" w:cs="Arial"/>
          <w:vertAlign w:val="superscript"/>
          <w:lang w:val="en-US"/>
        </w:rPr>
        <w:t>rd</w:t>
      </w:r>
      <w:r w:rsidRPr="00F110C9">
        <w:rPr>
          <w:rFonts w:ascii="Arial" w:hAnsi="Arial" w:cs="Arial"/>
          <w:lang w:val="en-US"/>
        </w:rPr>
        <w:t>-4</w:t>
      </w:r>
      <w:r w:rsidRPr="00F110C9">
        <w:rPr>
          <w:rFonts w:ascii="Arial" w:hAnsi="Arial" w:cs="Arial"/>
          <w:vertAlign w:val="superscript"/>
          <w:lang w:val="en-US"/>
        </w:rPr>
        <w:t>th</w:t>
      </w:r>
      <w:r w:rsidRPr="00F110C9">
        <w:rPr>
          <w:rFonts w:ascii="Arial" w:hAnsi="Arial" w:cs="Arial"/>
          <w:lang w:val="en-US"/>
        </w:rPr>
        <w:t xml:space="preserve"> passage when they were used for sequencing. VICs were isolated from the valve leaflets of mice according to a modified protocol.</w:t>
      </w:r>
      <w:r w:rsidRPr="00F110C9">
        <w:rPr>
          <w:rFonts w:ascii="Arial" w:hAnsi="Arial" w:cs="Arial"/>
          <w:noProof/>
          <w:vertAlign w:val="superscript"/>
          <w:lang w:val="en-US"/>
        </w:rPr>
        <w:t>3</w:t>
      </w:r>
      <w:r w:rsidRPr="00F110C9">
        <w:rPr>
          <w:rFonts w:ascii="Arial" w:hAnsi="Arial" w:cs="Arial"/>
          <w:lang w:val="en-US"/>
        </w:rPr>
        <w:t xml:space="preserve"> Briefly, hearts were dissected to remove </w:t>
      </w:r>
      <w:r w:rsidRPr="00F110C9">
        <w:rPr>
          <w:rFonts w:ascii="Arial" w:hAnsi="Arial" w:cs="Arial"/>
          <w:color w:val="000000" w:themeColor="text1"/>
          <w:lang w:val="en-US"/>
        </w:rPr>
        <w:t>their myocardial area surrounding the valves and the part that contains the valve leaflets was cut into 1-2 mm pieces and digested for 10 min at 37</w:t>
      </w:r>
      <w:r w:rsidRPr="00F110C9">
        <w:rPr>
          <w:rFonts w:ascii="Arial" w:hAnsi="Arial" w:cs="Arial"/>
          <w:color w:val="000000" w:themeColor="text1"/>
          <w:vertAlign w:val="superscript"/>
          <w:lang w:val="en-US"/>
        </w:rPr>
        <w:t>o</w:t>
      </w:r>
      <w:r w:rsidRPr="00F110C9">
        <w:rPr>
          <w:rFonts w:ascii="Arial" w:hAnsi="Arial" w:cs="Arial"/>
          <w:color w:val="000000" w:themeColor="text1"/>
          <w:lang w:val="en-US"/>
        </w:rPr>
        <w:t xml:space="preserve">C in HBSS containing 500U/ml Collagenase XI (Sigma-Aldrich). The digestion process was repeated for a total of 3 times and the final collected </w:t>
      </w:r>
      <w:r w:rsidRPr="00F110C9">
        <w:rPr>
          <w:rFonts w:ascii="Arial" w:hAnsi="Arial" w:cs="Arial"/>
          <w:lang w:val="en-US"/>
        </w:rPr>
        <w:t xml:space="preserve">cells were </w:t>
      </w:r>
      <w:r w:rsidRPr="00F110C9">
        <w:rPr>
          <w:rFonts w:ascii="Arial" w:hAnsi="Arial" w:cs="Arial"/>
          <w:color w:val="000000" w:themeColor="text1"/>
          <w:lang w:val="en-US"/>
        </w:rPr>
        <w:t>plated in cell culture flasks and cultured</w:t>
      </w:r>
      <w:r w:rsidRPr="00F110C9">
        <w:rPr>
          <w:rFonts w:ascii="Arial" w:hAnsi="Arial" w:cs="Arial"/>
          <w:lang w:val="en-US"/>
        </w:rPr>
        <w:t xml:space="preserve"> up to the 3</w:t>
      </w:r>
      <w:r w:rsidRPr="00F110C9">
        <w:rPr>
          <w:rFonts w:ascii="Arial" w:hAnsi="Arial" w:cs="Arial"/>
          <w:vertAlign w:val="superscript"/>
          <w:lang w:val="en-US"/>
        </w:rPr>
        <w:t>rd</w:t>
      </w:r>
      <w:r w:rsidRPr="00F110C9">
        <w:rPr>
          <w:rFonts w:ascii="Arial" w:hAnsi="Arial" w:cs="Arial"/>
          <w:lang w:val="en-US"/>
        </w:rPr>
        <w:t>-4</w:t>
      </w:r>
      <w:r w:rsidRPr="00F110C9">
        <w:rPr>
          <w:rFonts w:ascii="Arial" w:hAnsi="Arial" w:cs="Arial"/>
          <w:vertAlign w:val="superscript"/>
          <w:lang w:val="en-US"/>
        </w:rPr>
        <w:t>th</w:t>
      </w:r>
      <w:r w:rsidRPr="00F110C9">
        <w:rPr>
          <w:rFonts w:ascii="Arial" w:hAnsi="Arial" w:cs="Arial"/>
          <w:lang w:val="en-US"/>
        </w:rPr>
        <w:t xml:space="preserve"> passage, when they were used for cellular assays and sequencing.</w:t>
      </w:r>
    </w:p>
    <w:p w:rsidR="003470E7" w:rsidRPr="00F110C9" w:rsidRDefault="003470E7" w:rsidP="001A6A05">
      <w:pPr>
        <w:autoSpaceDE w:val="0"/>
        <w:autoSpaceDN w:val="0"/>
        <w:adjustRightInd w:val="0"/>
        <w:spacing w:afterLines="80" w:after="192" w:line="480" w:lineRule="auto"/>
        <w:contextualSpacing/>
        <w:jc w:val="both"/>
        <w:rPr>
          <w:rFonts w:ascii="Arial" w:hAnsi="Arial" w:cs="Arial"/>
          <w:b/>
          <w:color w:val="000000" w:themeColor="text1"/>
          <w:lang w:val="en-US"/>
        </w:rPr>
      </w:pPr>
      <w:r w:rsidRPr="00F110C9">
        <w:rPr>
          <w:rFonts w:ascii="Arial" w:hAnsi="Arial" w:cs="Arial"/>
          <w:b/>
          <w:color w:val="000000" w:themeColor="text1"/>
          <w:lang w:val="en-US"/>
        </w:rPr>
        <w:t>FACS</w:t>
      </w:r>
    </w:p>
    <w:p w:rsidR="003470E7" w:rsidRPr="00F110C9" w:rsidRDefault="003470E7" w:rsidP="003F73E2">
      <w:pPr>
        <w:autoSpaceDE w:val="0"/>
        <w:autoSpaceDN w:val="0"/>
        <w:adjustRightInd w:val="0"/>
        <w:spacing w:afterLines="80" w:after="192" w:line="480" w:lineRule="auto"/>
        <w:contextualSpacing/>
        <w:jc w:val="both"/>
        <w:rPr>
          <w:rFonts w:ascii="Arial" w:hAnsi="Arial" w:cs="Arial"/>
          <w:color w:val="000000" w:themeColor="text1"/>
          <w:lang w:val="en-US"/>
        </w:rPr>
      </w:pPr>
      <w:r w:rsidRPr="00F110C9">
        <w:rPr>
          <w:rFonts w:ascii="Arial" w:hAnsi="Arial" w:cs="Arial"/>
          <w:color w:val="000000" w:themeColor="text1"/>
          <w:lang w:val="en-US"/>
        </w:rPr>
        <w:t xml:space="preserve">For intracellular stainings, cells were fixed and then permeabilized, using Fixation and Permeabilization Buffer Set (eBioscience). For whole tissue analysis, valve leaflets from </w:t>
      </w:r>
      <w:r w:rsidRPr="00F110C9">
        <w:rPr>
          <w:rFonts w:ascii="Arial" w:hAnsi="Arial" w:cs="Arial"/>
          <w:i/>
          <w:color w:val="000000" w:themeColor="text1"/>
          <w:lang w:val="en-US"/>
        </w:rPr>
        <w:t>ColVIcre-Rosa26</w:t>
      </w:r>
      <w:r w:rsidRPr="00F110C9">
        <w:rPr>
          <w:rFonts w:ascii="Arial" w:hAnsi="Arial" w:cs="Arial"/>
          <w:color w:val="000000" w:themeColor="text1"/>
          <w:vertAlign w:val="superscript"/>
          <w:lang w:val="en-US"/>
        </w:rPr>
        <w:t>mT/mG</w:t>
      </w:r>
      <w:r w:rsidRPr="00F110C9">
        <w:rPr>
          <w:rFonts w:ascii="Arial" w:hAnsi="Arial" w:cs="Arial"/>
          <w:color w:val="000000" w:themeColor="text1"/>
          <w:lang w:val="en-US"/>
        </w:rPr>
        <w:t xml:space="preserve"> mice were digested with Collagenase XI (as previously described). Cell pellets were resuspended in 1ml of Gey’ s solution on ice, for the removal of erythrocytes and they were subsequently resuspended in PBS supplemented with 5% FBS. FACS experiments were performed using a FACS CantoII flow cytometer (BD) and analysis was performed using the FACS Diva (BD) or FlowJo software (FlowJo, LLC).</w:t>
      </w:r>
    </w:p>
    <w:p w:rsidR="003470E7" w:rsidRPr="00F110C9" w:rsidRDefault="003470E7" w:rsidP="00D515A8">
      <w:pPr>
        <w:autoSpaceDE w:val="0"/>
        <w:autoSpaceDN w:val="0"/>
        <w:adjustRightInd w:val="0"/>
        <w:spacing w:afterLines="80" w:after="192" w:line="480" w:lineRule="auto"/>
        <w:contextualSpacing/>
        <w:jc w:val="both"/>
        <w:rPr>
          <w:rFonts w:ascii="Arial" w:hAnsi="Arial" w:cs="Arial"/>
          <w:b/>
          <w:lang w:val="en-US"/>
        </w:rPr>
      </w:pPr>
      <w:r w:rsidRPr="00F110C9">
        <w:rPr>
          <w:rFonts w:ascii="Arial" w:hAnsi="Arial" w:cs="Arial"/>
          <w:b/>
          <w:lang w:val="en-US"/>
        </w:rPr>
        <w:t>Wound-healing assay</w:t>
      </w:r>
    </w:p>
    <w:p w:rsidR="003470E7" w:rsidRPr="00F110C9" w:rsidRDefault="003470E7" w:rsidP="00D515A8">
      <w:pPr>
        <w:autoSpaceDE w:val="0"/>
        <w:autoSpaceDN w:val="0"/>
        <w:adjustRightInd w:val="0"/>
        <w:spacing w:afterLines="80" w:after="192" w:line="480" w:lineRule="auto"/>
        <w:contextualSpacing/>
        <w:jc w:val="both"/>
        <w:rPr>
          <w:rFonts w:ascii="Arial" w:hAnsi="Arial" w:cs="Arial"/>
          <w:lang w:val="en-US"/>
        </w:rPr>
      </w:pPr>
      <w:r w:rsidRPr="00F110C9">
        <w:rPr>
          <w:rFonts w:ascii="Arial" w:hAnsi="Arial" w:cs="Arial"/>
          <w:lang w:val="en-US"/>
        </w:rPr>
        <w:t>To determine the migratory capacity of the cells, we used the wound-healing assay as previously described.</w:t>
      </w:r>
      <w:r w:rsidRPr="00F110C9">
        <w:rPr>
          <w:rFonts w:ascii="Arial" w:hAnsi="Arial" w:cs="Arial"/>
          <w:noProof/>
          <w:vertAlign w:val="superscript"/>
          <w:lang w:val="en-US"/>
        </w:rPr>
        <w:t>4</w:t>
      </w:r>
      <w:r w:rsidRPr="00F110C9">
        <w:rPr>
          <w:rFonts w:ascii="Arial" w:hAnsi="Arial" w:cs="Arial"/>
          <w:lang w:val="en-US"/>
        </w:rPr>
        <w:t xml:space="preserve"> </w:t>
      </w:r>
      <w:bookmarkStart w:id="2" w:name="_Hlk486938503"/>
      <w:r w:rsidRPr="00F110C9">
        <w:rPr>
          <w:rFonts w:ascii="Arial" w:hAnsi="Arial" w:cs="Arial"/>
          <w:lang w:val="en-US"/>
        </w:rPr>
        <w:t>Briefly, cells were seeded and cultured until they reached confluency, at which point a scratch was created using a 10</w:t>
      </w:r>
      <w:r w:rsidRPr="00F110C9">
        <w:rPr>
          <w:rFonts w:ascii="Arial" w:hAnsi="Arial" w:cs="Arial"/>
        </w:rPr>
        <w:t>μ</w:t>
      </w:r>
      <w:r w:rsidRPr="00F110C9">
        <w:rPr>
          <w:rFonts w:ascii="Arial" w:hAnsi="Arial" w:cs="Arial"/>
          <w:lang w:val="en-US"/>
        </w:rPr>
        <w:t xml:space="preserve">l white pipette tip. The closure of the wound was imaged live using the Zeiss Axio Observer Z1 Microscope </w:t>
      </w:r>
      <w:r w:rsidRPr="00F110C9">
        <w:rPr>
          <w:rFonts w:ascii="Arial" w:hAnsi="Arial" w:cs="Arial"/>
          <w:color w:val="000000" w:themeColor="text1"/>
          <w:lang w:val="en-US"/>
        </w:rPr>
        <w:t xml:space="preserve">equipped with </w:t>
      </w:r>
      <w:proofErr w:type="spellStart"/>
      <w:r w:rsidRPr="00F110C9">
        <w:rPr>
          <w:rFonts w:ascii="Arial" w:hAnsi="Arial" w:cs="Arial"/>
          <w:color w:val="000000" w:themeColor="text1"/>
          <w:lang w:val="en-US"/>
        </w:rPr>
        <w:t>AxioCam</w:t>
      </w:r>
      <w:proofErr w:type="spellEnd"/>
      <w:r w:rsidRPr="00F110C9">
        <w:rPr>
          <w:rFonts w:ascii="Arial" w:hAnsi="Arial" w:cs="Arial"/>
          <w:color w:val="000000" w:themeColor="text1"/>
          <w:lang w:val="en-US"/>
        </w:rPr>
        <w:t xml:space="preserve"> </w:t>
      </w:r>
      <w:proofErr w:type="spellStart"/>
      <w:r w:rsidRPr="00F110C9">
        <w:rPr>
          <w:rFonts w:ascii="Arial" w:hAnsi="Arial" w:cs="Arial"/>
          <w:color w:val="000000" w:themeColor="text1"/>
          <w:lang w:val="en-US"/>
        </w:rPr>
        <w:t>MRm</w:t>
      </w:r>
      <w:proofErr w:type="spellEnd"/>
      <w:r w:rsidRPr="00F110C9">
        <w:rPr>
          <w:rFonts w:ascii="Arial" w:hAnsi="Arial" w:cs="Arial"/>
          <w:color w:val="000000" w:themeColor="text1"/>
          <w:lang w:val="en-US"/>
        </w:rPr>
        <w:t xml:space="preserve"> camera (Zeiss) </w:t>
      </w:r>
      <w:r w:rsidRPr="00F110C9">
        <w:rPr>
          <w:rFonts w:ascii="Arial" w:hAnsi="Arial" w:cs="Arial"/>
          <w:lang w:val="en-US"/>
        </w:rPr>
        <w:t>and the percentage of wound closure was calculated for each well at 20-24 hours using the ImageJ software (NIH).</w:t>
      </w:r>
      <w:bookmarkEnd w:id="2"/>
    </w:p>
    <w:p w:rsidR="003470E7" w:rsidRPr="00F110C9" w:rsidRDefault="003470E7" w:rsidP="00D515A8">
      <w:pPr>
        <w:spacing w:after="0" w:line="480" w:lineRule="auto"/>
        <w:jc w:val="both"/>
        <w:rPr>
          <w:rFonts w:ascii="Arial" w:eastAsia="Times New Roman" w:hAnsi="Arial" w:cs="Arial"/>
          <w:b/>
          <w:color w:val="000000"/>
          <w:lang w:val="en-US" w:eastAsia="en-GB"/>
        </w:rPr>
      </w:pPr>
      <w:r w:rsidRPr="00F110C9">
        <w:rPr>
          <w:rFonts w:ascii="Arial" w:eastAsia="Times New Roman" w:hAnsi="Arial" w:cs="Arial"/>
          <w:b/>
          <w:color w:val="000000"/>
          <w:lang w:val="en-US" w:eastAsia="en-GB"/>
        </w:rPr>
        <w:lastRenderedPageBreak/>
        <w:t>3’ RNAseq analysis and deep sequencing</w:t>
      </w:r>
    </w:p>
    <w:p w:rsidR="003470E7" w:rsidRPr="00F110C9" w:rsidRDefault="003470E7" w:rsidP="00E97A80">
      <w:pPr>
        <w:spacing w:after="0" w:line="480" w:lineRule="auto"/>
        <w:contextualSpacing/>
        <w:jc w:val="both"/>
        <w:rPr>
          <w:rFonts w:ascii="Arial" w:hAnsi="Arial" w:cs="Arial"/>
          <w:color w:val="000000" w:themeColor="text1"/>
          <w:lang w:val="en-US"/>
        </w:rPr>
      </w:pPr>
      <w:r w:rsidRPr="00F110C9">
        <w:rPr>
          <w:rFonts w:ascii="Arial" w:hAnsi="Arial" w:cs="Arial"/>
          <w:bCs/>
          <w:lang w:val="en-US"/>
        </w:rPr>
        <w:t>RNA-seq was performed in three biological replicates of cultured VICs and SFs isolated from Tg197 mice and WT littermates at their 8</w:t>
      </w:r>
      <w:r w:rsidRPr="00F110C9">
        <w:rPr>
          <w:rFonts w:ascii="Arial" w:hAnsi="Arial" w:cs="Arial"/>
          <w:bCs/>
          <w:vertAlign w:val="superscript"/>
          <w:lang w:val="en-US"/>
        </w:rPr>
        <w:t>th</w:t>
      </w:r>
      <w:r w:rsidRPr="00F110C9">
        <w:rPr>
          <w:rFonts w:ascii="Arial" w:hAnsi="Arial" w:cs="Arial"/>
          <w:bCs/>
          <w:lang w:val="en-US"/>
        </w:rPr>
        <w:t xml:space="preserve"> week of age. Further analysis is found in supplementary methods. RNA was extracted using TRIzol reagent (Invitrogen) and further purified using the RNeasy Mini Kit (Qiagen). All samples were used to a mean concentration of approximately 100-150ng/</w:t>
      </w:r>
      <w:r w:rsidRPr="00F110C9">
        <w:rPr>
          <w:rFonts w:ascii="Arial" w:hAnsi="Arial" w:cs="Arial"/>
          <w:bCs/>
        </w:rPr>
        <w:t>μ</w:t>
      </w:r>
      <w:r w:rsidRPr="00F110C9">
        <w:rPr>
          <w:rFonts w:ascii="Arial" w:hAnsi="Arial" w:cs="Arial"/>
          <w:bCs/>
          <w:lang w:val="en-US"/>
        </w:rPr>
        <w:t xml:space="preserve">l, measured by ND1000 Spectrophotometer-PEQLAB. The quality of the samples was measured in a bioanalyzer using the Agilent RNA 6000 Nano Kit reagents and protocol (Agilent Technologies) and only </w:t>
      </w:r>
      <w:r w:rsidRPr="00F110C9">
        <w:rPr>
          <w:rFonts w:ascii="Arial" w:hAnsi="Arial" w:cs="Arial"/>
          <w:lang w:val="en-US"/>
        </w:rPr>
        <w:t>RNA samples with RNA Integrity Number (RIN) &gt;7 were chosen for further analysis. For the preparation of the library for each sample, the 3’ mRNA-Seq Library Prep Kit Protocol for Ion Torrent (QuantSeq-LEXOGEN</w:t>
      </w:r>
      <w:r w:rsidRPr="00F110C9">
        <w:rPr>
          <w:rFonts w:ascii="Arial" w:hAnsi="Arial" w:cs="Arial"/>
          <w:vertAlign w:val="superscript"/>
          <w:lang w:val="en-US"/>
        </w:rPr>
        <w:t>™</w:t>
      </w:r>
      <w:r w:rsidRPr="00F110C9">
        <w:rPr>
          <w:rFonts w:ascii="Arial" w:hAnsi="Arial" w:cs="Arial"/>
          <w:lang w:val="en-US"/>
        </w:rPr>
        <w:t xml:space="preserve"> Vienna, Austria) was used. Each library’s quality and quantity, was assessed in bioanalyzer using the DNA High Sensitivity Kit reagents and protocol (Agilent Technologies). The quantified libraries </w:t>
      </w:r>
      <w:r w:rsidRPr="00F110C9">
        <w:rPr>
          <w:rFonts w:ascii="Arial" w:hAnsi="Arial" w:cs="Arial"/>
          <w:color w:val="000000" w:themeColor="text1"/>
          <w:lang w:val="en-US"/>
        </w:rPr>
        <w:t>were processed together at a final concentration of 50pM, templated and enriched on an Ion Proton Chef instrument. Templating was performed, using the Ion PI</w:t>
      </w:r>
      <w:r w:rsidRPr="00F110C9">
        <w:rPr>
          <w:rFonts w:ascii="Arial" w:hAnsi="Arial" w:cs="Arial"/>
          <w:color w:val="000000" w:themeColor="text1"/>
          <w:vertAlign w:val="superscript"/>
          <w:lang w:val="en-US"/>
        </w:rPr>
        <w:t xml:space="preserve">TM </w:t>
      </w:r>
      <w:r w:rsidRPr="00F110C9">
        <w:rPr>
          <w:rFonts w:ascii="Arial" w:hAnsi="Arial" w:cs="Arial"/>
          <w:color w:val="000000" w:themeColor="text1"/>
          <w:lang w:val="en-US"/>
        </w:rPr>
        <w:t>IC200</w:t>
      </w:r>
      <w:r w:rsidRPr="00F110C9">
        <w:rPr>
          <w:rFonts w:ascii="Arial" w:hAnsi="Arial" w:cs="Arial"/>
          <w:color w:val="000000" w:themeColor="text1"/>
          <w:vertAlign w:val="superscript"/>
          <w:lang w:val="en-US"/>
        </w:rPr>
        <w:t>TM</w:t>
      </w:r>
      <w:r w:rsidRPr="00F110C9">
        <w:rPr>
          <w:rFonts w:ascii="Arial" w:hAnsi="Arial" w:cs="Arial"/>
          <w:color w:val="000000" w:themeColor="text1"/>
          <w:lang w:val="en-US"/>
        </w:rPr>
        <w:t xml:space="preserve"> Chef Kit (ThermoFisher Scientific) and sequencing, with the Ion PI</w:t>
      </w:r>
      <w:r w:rsidRPr="00F110C9">
        <w:rPr>
          <w:rFonts w:ascii="Arial" w:hAnsi="Arial" w:cs="Arial"/>
          <w:color w:val="000000" w:themeColor="text1"/>
          <w:vertAlign w:val="superscript"/>
          <w:lang w:val="en-US"/>
        </w:rPr>
        <w:t>TM</w:t>
      </w:r>
      <w:r w:rsidRPr="00F110C9">
        <w:rPr>
          <w:rFonts w:ascii="Arial" w:hAnsi="Arial" w:cs="Arial"/>
          <w:color w:val="000000" w:themeColor="text1"/>
          <w:lang w:val="en-US"/>
        </w:rPr>
        <w:t xml:space="preserve"> Sequencing 200 V3 Kit on Ion Proton PI</w:t>
      </w:r>
      <w:r w:rsidRPr="00F110C9">
        <w:rPr>
          <w:rFonts w:ascii="Arial" w:hAnsi="Arial" w:cs="Arial"/>
          <w:color w:val="000000" w:themeColor="text1"/>
          <w:vertAlign w:val="superscript"/>
          <w:lang w:val="en-US"/>
        </w:rPr>
        <w:t>TM</w:t>
      </w:r>
      <w:r w:rsidRPr="00F110C9">
        <w:rPr>
          <w:rFonts w:ascii="Arial" w:hAnsi="Arial" w:cs="Arial"/>
          <w:color w:val="000000" w:themeColor="text1"/>
          <w:lang w:val="en-US"/>
        </w:rPr>
        <w:t xml:space="preserve"> V2 chips (ThermoFisher Scientific). 3’RNA-sequencing was performed on an Ion Proton™ System.</w:t>
      </w:r>
    </w:p>
    <w:p w:rsidR="003470E7" w:rsidRPr="00F110C9" w:rsidRDefault="003470E7" w:rsidP="00E97A80">
      <w:pPr>
        <w:spacing w:after="0" w:line="480" w:lineRule="auto"/>
        <w:jc w:val="both"/>
        <w:rPr>
          <w:rFonts w:ascii="Arial" w:hAnsi="Arial" w:cs="Arial"/>
          <w:b/>
          <w:color w:val="000000" w:themeColor="text1"/>
          <w:lang w:val="en-US"/>
        </w:rPr>
      </w:pPr>
      <w:r w:rsidRPr="00F110C9">
        <w:rPr>
          <w:rFonts w:ascii="Arial" w:hAnsi="Arial" w:cs="Arial"/>
          <w:b/>
          <w:color w:val="000000" w:themeColor="text1"/>
          <w:lang w:val="en-US"/>
        </w:rPr>
        <w:t>RNA seq analysis</w:t>
      </w:r>
    </w:p>
    <w:p w:rsidR="003470E7" w:rsidRPr="00F110C9" w:rsidRDefault="003470E7" w:rsidP="00E97A80">
      <w:pPr>
        <w:spacing w:after="0" w:line="480" w:lineRule="auto"/>
        <w:jc w:val="both"/>
        <w:rPr>
          <w:rFonts w:ascii="Arial" w:hAnsi="Arial" w:cs="Arial"/>
          <w:bCs/>
          <w:lang w:val="en-US"/>
        </w:rPr>
      </w:pPr>
      <w:r w:rsidRPr="00F110C9">
        <w:rPr>
          <w:rFonts w:ascii="Arial" w:hAnsi="Arial" w:cs="Arial"/>
          <w:bCs/>
          <w:lang w:val="en-US"/>
        </w:rPr>
        <w:t>The raw bam files were summarized to read counts table using the Bioconductor package Genomic Ranges.</w:t>
      </w:r>
      <w:r w:rsidRPr="00F110C9">
        <w:rPr>
          <w:rFonts w:ascii="Arial" w:hAnsi="Arial" w:cs="Arial"/>
          <w:bCs/>
          <w:noProof/>
          <w:vertAlign w:val="superscript"/>
          <w:lang w:val="en-US"/>
        </w:rPr>
        <w:t>5</w:t>
      </w:r>
      <w:r w:rsidRPr="00F110C9">
        <w:rPr>
          <w:rFonts w:ascii="Arial" w:hAnsi="Arial" w:cs="Arial"/>
          <w:bCs/>
          <w:lang w:val="en-US"/>
        </w:rPr>
        <w:t xml:space="preserve"> The gene counts table was normalized for inherent systematic or experimental biases using the Bioconductor package DESeq,</w:t>
      </w:r>
      <w:r w:rsidRPr="00F110C9">
        <w:rPr>
          <w:rFonts w:ascii="Arial" w:hAnsi="Arial" w:cs="Arial"/>
          <w:bCs/>
          <w:noProof/>
          <w:vertAlign w:val="superscript"/>
          <w:lang w:val="en-US"/>
        </w:rPr>
        <w:t>6</w:t>
      </w:r>
      <w:r w:rsidRPr="00F110C9">
        <w:rPr>
          <w:rFonts w:ascii="Arial" w:hAnsi="Arial" w:cs="Arial"/>
          <w:bCs/>
          <w:lang w:val="en-US"/>
        </w:rPr>
        <w:t xml:space="preserve"> after removing genes that had zero counts over all the RNA-Seq samples. The resulting gene counts table was subjected to differential expression analysis using the Bioconductor package DESeq and differentially expressed genes were extracted according to an absolute fold change cutoff value of 1 in log2 scale and pvalue cutoff of 0.05. All the above were performed through the Bioconductor package metaseqr.</w:t>
      </w:r>
      <w:r w:rsidRPr="00F110C9">
        <w:rPr>
          <w:rFonts w:ascii="Arial" w:hAnsi="Arial" w:cs="Arial"/>
          <w:bCs/>
          <w:noProof/>
          <w:vertAlign w:val="superscript"/>
          <w:lang w:val="en-US"/>
        </w:rPr>
        <w:t>7</w:t>
      </w:r>
      <w:r w:rsidRPr="00F110C9">
        <w:rPr>
          <w:rFonts w:ascii="Arial" w:hAnsi="Arial" w:cs="Arial"/>
          <w:bCs/>
          <w:lang w:val="en-US"/>
        </w:rPr>
        <w:t xml:space="preserve"> Volcano plots were generated in R</w:t>
      </w:r>
      <w:r w:rsidRPr="00F110C9">
        <w:rPr>
          <w:rFonts w:ascii="Arial" w:hAnsi="Arial" w:cs="Arial"/>
          <w:bCs/>
          <w:noProof/>
          <w:vertAlign w:val="superscript"/>
          <w:lang w:val="en-US"/>
        </w:rPr>
        <w:t>8</w:t>
      </w:r>
      <w:r w:rsidRPr="00F110C9">
        <w:rPr>
          <w:rFonts w:ascii="Arial" w:hAnsi="Arial" w:cs="Arial"/>
          <w:bCs/>
          <w:lang w:val="en-US"/>
        </w:rPr>
        <w:t xml:space="preserve"> with the use of ggplot2and an in-house developed </w:t>
      </w:r>
      <w:r w:rsidRPr="00F110C9">
        <w:rPr>
          <w:rFonts w:ascii="Arial" w:hAnsi="Arial" w:cs="Arial"/>
          <w:bCs/>
          <w:lang w:val="en-US"/>
        </w:rPr>
        <w:lastRenderedPageBreak/>
        <w:t>script. Venn diagrams were created with InteractiVenn.</w:t>
      </w:r>
      <w:r w:rsidRPr="00F110C9">
        <w:rPr>
          <w:rFonts w:ascii="Arial" w:hAnsi="Arial" w:cs="Arial"/>
          <w:bCs/>
          <w:noProof/>
          <w:vertAlign w:val="superscript"/>
          <w:lang w:val="en-US"/>
        </w:rPr>
        <w:t>9</w:t>
      </w:r>
      <w:r w:rsidRPr="00F110C9">
        <w:rPr>
          <w:rFonts w:ascii="Arial" w:hAnsi="Arial" w:cs="Arial"/>
          <w:bCs/>
          <w:lang w:val="en-US"/>
        </w:rPr>
        <w:t xml:space="preserve"> Functional enrichment analysis was performed with enrichr online tool</w:t>
      </w:r>
      <w:r w:rsidRPr="00F110C9">
        <w:rPr>
          <w:rFonts w:ascii="Arial" w:hAnsi="Arial" w:cs="Arial"/>
          <w:bCs/>
          <w:noProof/>
          <w:vertAlign w:val="superscript"/>
          <w:lang w:val="en-US"/>
        </w:rPr>
        <w:t>10</w:t>
      </w:r>
      <w:r w:rsidRPr="00F110C9">
        <w:rPr>
          <w:rFonts w:ascii="Arial" w:hAnsi="Arial" w:cs="Arial"/>
          <w:bCs/>
          <w:lang w:val="en-US"/>
        </w:rPr>
        <w:t xml:space="preserve"> extracting the enriched KEGG pathways</w:t>
      </w:r>
      <w:r w:rsidRPr="00F110C9">
        <w:rPr>
          <w:rFonts w:ascii="Arial" w:hAnsi="Arial" w:cs="Arial"/>
          <w:bCs/>
          <w:noProof/>
          <w:vertAlign w:val="superscript"/>
          <w:lang w:val="en-US"/>
        </w:rPr>
        <w:t>9</w:t>
      </w:r>
      <w:r w:rsidRPr="00F110C9">
        <w:rPr>
          <w:rFonts w:ascii="Arial" w:hAnsi="Arial" w:cs="Arial"/>
          <w:bCs/>
          <w:lang w:val="en-US"/>
        </w:rPr>
        <w:t xml:space="preserve"> with the use of a pvalue cutoff of 0.05. Alluvial diagrams were drawn with RAWGraphs (http://rawgraphs.io). Regulatory networks were inferred with the use of RNEA tool</w:t>
      </w:r>
      <w:r w:rsidRPr="00F110C9">
        <w:rPr>
          <w:rFonts w:ascii="Arial" w:hAnsi="Arial" w:cs="Arial"/>
          <w:bCs/>
          <w:noProof/>
          <w:vertAlign w:val="superscript"/>
          <w:lang w:val="en-US"/>
        </w:rPr>
        <w:t>11</w:t>
      </w:r>
      <w:r w:rsidRPr="00F110C9">
        <w:rPr>
          <w:rFonts w:ascii="Arial" w:hAnsi="Arial" w:cs="Arial"/>
          <w:bCs/>
          <w:lang w:val="en-US"/>
        </w:rPr>
        <w:t xml:space="preserve"> and they were visualized in Cytoscape</w:t>
      </w:r>
      <w:r w:rsidRPr="00F110C9">
        <w:rPr>
          <w:rFonts w:ascii="Arial" w:hAnsi="Arial" w:cs="Arial"/>
          <w:bCs/>
          <w:noProof/>
          <w:vertAlign w:val="superscript"/>
          <w:lang w:val="en-US"/>
        </w:rPr>
        <w:t>12</w:t>
      </w:r>
      <w:r w:rsidRPr="00F110C9">
        <w:rPr>
          <w:rFonts w:ascii="Arial" w:hAnsi="Arial" w:cs="Arial"/>
          <w:bCs/>
          <w:lang w:val="en-US"/>
        </w:rPr>
        <w:t>.</w:t>
      </w:r>
    </w:p>
    <w:p w:rsidR="003470E7" w:rsidRPr="00F110C9" w:rsidRDefault="003470E7" w:rsidP="003D05E1">
      <w:pPr>
        <w:autoSpaceDE w:val="0"/>
        <w:autoSpaceDN w:val="0"/>
        <w:adjustRightInd w:val="0"/>
        <w:spacing w:afterLines="80" w:after="192" w:line="480" w:lineRule="auto"/>
        <w:contextualSpacing/>
        <w:jc w:val="both"/>
        <w:rPr>
          <w:rFonts w:ascii="Arial" w:hAnsi="Arial" w:cs="Arial"/>
          <w:b/>
          <w:lang w:val="en-US"/>
        </w:rPr>
      </w:pPr>
      <w:r w:rsidRPr="00F110C9">
        <w:rPr>
          <w:rFonts w:ascii="Arial" w:hAnsi="Arial" w:cs="Arial"/>
          <w:b/>
          <w:lang w:val="en-US"/>
        </w:rPr>
        <w:t>REFERENCES</w:t>
      </w:r>
    </w:p>
    <w:p w:rsidR="003470E7" w:rsidRPr="00F110C9" w:rsidRDefault="003470E7" w:rsidP="003D05E1">
      <w:pPr>
        <w:pStyle w:val="EndNoteBibliography"/>
        <w:spacing w:after="0"/>
        <w:ind w:left="720" w:hanging="720"/>
        <w:rPr>
          <w:rFonts w:ascii="Arial" w:hAnsi="Arial" w:cs="Arial"/>
        </w:rPr>
      </w:pPr>
      <w:bookmarkStart w:id="3" w:name="_ENREF_1"/>
      <w:r w:rsidRPr="00F110C9">
        <w:rPr>
          <w:rFonts w:ascii="Arial" w:hAnsi="Arial" w:cs="Arial"/>
        </w:rPr>
        <w:t>1.</w:t>
      </w:r>
      <w:r w:rsidRPr="00F110C9">
        <w:rPr>
          <w:rFonts w:ascii="Arial" w:hAnsi="Arial" w:cs="Arial"/>
        </w:rPr>
        <w:tab/>
        <w:t>Mourouzis I, Kostakou E, Galanopoulos G</w:t>
      </w:r>
      <w:r w:rsidRPr="00F110C9">
        <w:rPr>
          <w:rFonts w:ascii="Arial" w:hAnsi="Arial" w:cs="Arial"/>
          <w:i/>
        </w:rPr>
        <w:t>, et al.</w:t>
      </w:r>
      <w:r w:rsidRPr="00F110C9">
        <w:rPr>
          <w:rFonts w:ascii="Arial" w:hAnsi="Arial" w:cs="Arial"/>
        </w:rPr>
        <w:t xml:space="preserve"> Inhibition of thyroid hormone receptor alpha1 impairs post-ischemic cardiac performance after myocardial infarction in mice. </w:t>
      </w:r>
      <w:r w:rsidRPr="00F110C9">
        <w:rPr>
          <w:rFonts w:ascii="Arial" w:hAnsi="Arial" w:cs="Arial"/>
          <w:i/>
        </w:rPr>
        <w:t>Mol Cell Biochem</w:t>
      </w:r>
      <w:r w:rsidRPr="00F110C9">
        <w:rPr>
          <w:rFonts w:ascii="Arial" w:hAnsi="Arial" w:cs="Arial"/>
        </w:rPr>
        <w:t xml:space="preserve"> 2013;379:97-105</w:t>
      </w:r>
      <w:bookmarkEnd w:id="3"/>
    </w:p>
    <w:p w:rsidR="003470E7" w:rsidRPr="00F110C9" w:rsidRDefault="003470E7" w:rsidP="003D05E1">
      <w:pPr>
        <w:pStyle w:val="EndNoteBibliography"/>
        <w:spacing w:after="0"/>
        <w:ind w:left="720" w:hanging="720"/>
        <w:rPr>
          <w:rFonts w:ascii="Arial" w:hAnsi="Arial" w:cs="Arial"/>
        </w:rPr>
      </w:pPr>
      <w:bookmarkStart w:id="4" w:name="_ENREF_2"/>
      <w:r w:rsidRPr="00F110C9">
        <w:rPr>
          <w:rFonts w:ascii="Arial" w:hAnsi="Arial" w:cs="Arial"/>
        </w:rPr>
        <w:t>2.</w:t>
      </w:r>
      <w:r w:rsidRPr="00F110C9">
        <w:rPr>
          <w:rFonts w:ascii="Arial" w:hAnsi="Arial" w:cs="Arial"/>
        </w:rPr>
        <w:tab/>
        <w:t>Armaka M, Gkretsi V, Kontoyiannis D</w:t>
      </w:r>
      <w:r w:rsidRPr="00F110C9">
        <w:rPr>
          <w:rFonts w:ascii="Arial" w:hAnsi="Arial" w:cs="Arial"/>
          <w:i/>
        </w:rPr>
        <w:t>, et al.</w:t>
      </w:r>
      <w:r w:rsidRPr="00F110C9">
        <w:rPr>
          <w:rFonts w:ascii="Arial" w:hAnsi="Arial" w:cs="Arial"/>
        </w:rPr>
        <w:t xml:space="preserve"> A standardized protocol for the isolation and culture of normal and arthritogenic murine synovial fibroblasts.  2009</w:t>
      </w:r>
      <w:bookmarkEnd w:id="4"/>
    </w:p>
    <w:p w:rsidR="003470E7" w:rsidRPr="00F110C9" w:rsidRDefault="003470E7" w:rsidP="003D05E1">
      <w:pPr>
        <w:pStyle w:val="EndNoteBibliography"/>
        <w:spacing w:after="0"/>
        <w:ind w:left="720" w:hanging="720"/>
        <w:rPr>
          <w:rFonts w:ascii="Arial" w:hAnsi="Arial" w:cs="Arial"/>
        </w:rPr>
      </w:pPr>
      <w:bookmarkStart w:id="5" w:name="_ENREF_3"/>
      <w:r w:rsidRPr="00F110C9">
        <w:rPr>
          <w:rFonts w:ascii="Arial" w:hAnsi="Arial" w:cs="Arial"/>
        </w:rPr>
        <w:t>3.</w:t>
      </w:r>
      <w:r w:rsidRPr="00F110C9">
        <w:rPr>
          <w:rFonts w:ascii="Arial" w:hAnsi="Arial" w:cs="Arial"/>
        </w:rPr>
        <w:tab/>
        <w:t>Hjortnaes J, Shapero K, Goettsch C</w:t>
      </w:r>
      <w:r w:rsidRPr="00F110C9">
        <w:rPr>
          <w:rFonts w:ascii="Arial" w:hAnsi="Arial" w:cs="Arial"/>
          <w:i/>
        </w:rPr>
        <w:t>, et al.</w:t>
      </w:r>
      <w:r w:rsidRPr="00F110C9">
        <w:rPr>
          <w:rFonts w:ascii="Arial" w:hAnsi="Arial" w:cs="Arial"/>
        </w:rPr>
        <w:t xml:space="preserve"> Valvular interstitial cells suppress calcification of valvular endothelial cells. </w:t>
      </w:r>
      <w:r w:rsidRPr="00F110C9">
        <w:rPr>
          <w:rFonts w:ascii="Arial" w:hAnsi="Arial" w:cs="Arial"/>
          <w:i/>
        </w:rPr>
        <w:t>Atherosclerosis</w:t>
      </w:r>
      <w:r w:rsidRPr="00F110C9">
        <w:rPr>
          <w:rFonts w:ascii="Arial" w:hAnsi="Arial" w:cs="Arial"/>
        </w:rPr>
        <w:t xml:space="preserve"> 2015;242:251-260</w:t>
      </w:r>
      <w:bookmarkEnd w:id="5"/>
    </w:p>
    <w:p w:rsidR="003470E7" w:rsidRPr="00F110C9" w:rsidRDefault="003470E7" w:rsidP="003D05E1">
      <w:pPr>
        <w:pStyle w:val="EndNoteBibliography"/>
        <w:spacing w:after="0"/>
        <w:ind w:left="720" w:hanging="720"/>
        <w:rPr>
          <w:rFonts w:ascii="Arial" w:hAnsi="Arial" w:cs="Arial"/>
        </w:rPr>
      </w:pPr>
      <w:bookmarkStart w:id="6" w:name="_ENREF_4"/>
      <w:r w:rsidRPr="00F110C9">
        <w:rPr>
          <w:rFonts w:ascii="Arial" w:hAnsi="Arial" w:cs="Arial"/>
        </w:rPr>
        <w:t>4.</w:t>
      </w:r>
      <w:r w:rsidRPr="00F110C9">
        <w:rPr>
          <w:rFonts w:ascii="Arial" w:hAnsi="Arial" w:cs="Arial"/>
        </w:rPr>
        <w:tab/>
        <w:t xml:space="preserve">Rodriguez LG, Wu X, Guan JL. Wound-healing assay. </w:t>
      </w:r>
      <w:r w:rsidRPr="00F110C9">
        <w:rPr>
          <w:rFonts w:ascii="Arial" w:hAnsi="Arial" w:cs="Arial"/>
          <w:i/>
        </w:rPr>
        <w:t>Methods Mol Biol</w:t>
      </w:r>
      <w:r w:rsidRPr="00F110C9">
        <w:rPr>
          <w:rFonts w:ascii="Arial" w:hAnsi="Arial" w:cs="Arial"/>
        </w:rPr>
        <w:t xml:space="preserve"> 2005;294:23-29</w:t>
      </w:r>
      <w:bookmarkEnd w:id="6"/>
    </w:p>
    <w:p w:rsidR="003470E7" w:rsidRPr="00F110C9" w:rsidRDefault="003470E7" w:rsidP="003D05E1">
      <w:pPr>
        <w:pStyle w:val="EndNoteBibliography"/>
        <w:spacing w:after="0"/>
        <w:ind w:left="720" w:hanging="720"/>
        <w:rPr>
          <w:rFonts w:ascii="Arial" w:hAnsi="Arial" w:cs="Arial"/>
        </w:rPr>
      </w:pPr>
      <w:bookmarkStart w:id="7" w:name="_ENREF_5"/>
      <w:r w:rsidRPr="00F110C9">
        <w:rPr>
          <w:rFonts w:ascii="Arial" w:hAnsi="Arial" w:cs="Arial"/>
        </w:rPr>
        <w:t>5.</w:t>
      </w:r>
      <w:r w:rsidRPr="00F110C9">
        <w:rPr>
          <w:rFonts w:ascii="Arial" w:hAnsi="Arial" w:cs="Arial"/>
        </w:rPr>
        <w:tab/>
        <w:t>Lawrence M, Huber W, Pages H</w:t>
      </w:r>
      <w:r w:rsidRPr="00F110C9">
        <w:rPr>
          <w:rFonts w:ascii="Arial" w:hAnsi="Arial" w:cs="Arial"/>
          <w:i/>
        </w:rPr>
        <w:t>, et al.</w:t>
      </w:r>
      <w:r w:rsidRPr="00F110C9">
        <w:rPr>
          <w:rFonts w:ascii="Arial" w:hAnsi="Arial" w:cs="Arial"/>
        </w:rPr>
        <w:t xml:space="preserve"> Software for computing and annotating genomic ranges. </w:t>
      </w:r>
      <w:r w:rsidRPr="00F110C9">
        <w:rPr>
          <w:rFonts w:ascii="Arial" w:hAnsi="Arial" w:cs="Arial"/>
          <w:i/>
        </w:rPr>
        <w:t>PLoS computational biology</w:t>
      </w:r>
      <w:r w:rsidRPr="00F110C9">
        <w:rPr>
          <w:rFonts w:ascii="Arial" w:hAnsi="Arial" w:cs="Arial"/>
        </w:rPr>
        <w:t xml:space="preserve"> 2013;9:e1003118</w:t>
      </w:r>
      <w:bookmarkEnd w:id="7"/>
    </w:p>
    <w:p w:rsidR="003470E7" w:rsidRPr="00F110C9" w:rsidRDefault="003470E7" w:rsidP="003D05E1">
      <w:pPr>
        <w:pStyle w:val="EndNoteBibliography"/>
        <w:spacing w:after="0"/>
        <w:ind w:left="720" w:hanging="720"/>
        <w:rPr>
          <w:rFonts w:ascii="Arial" w:hAnsi="Arial" w:cs="Arial"/>
        </w:rPr>
      </w:pPr>
      <w:bookmarkStart w:id="8" w:name="_ENREF_6"/>
      <w:r w:rsidRPr="00F110C9">
        <w:rPr>
          <w:rFonts w:ascii="Arial" w:hAnsi="Arial" w:cs="Arial"/>
        </w:rPr>
        <w:t>6.</w:t>
      </w:r>
      <w:r w:rsidRPr="00F110C9">
        <w:rPr>
          <w:rFonts w:ascii="Arial" w:hAnsi="Arial" w:cs="Arial"/>
        </w:rPr>
        <w:tab/>
        <w:t xml:space="preserve">Anders S, Huber W. Differential expression analysis for sequence count data. </w:t>
      </w:r>
      <w:r w:rsidRPr="00F110C9">
        <w:rPr>
          <w:rFonts w:ascii="Arial" w:hAnsi="Arial" w:cs="Arial"/>
          <w:i/>
        </w:rPr>
        <w:t>Genome biology</w:t>
      </w:r>
      <w:r w:rsidRPr="00F110C9">
        <w:rPr>
          <w:rFonts w:ascii="Arial" w:hAnsi="Arial" w:cs="Arial"/>
        </w:rPr>
        <w:t xml:space="preserve"> 2010;11:R106</w:t>
      </w:r>
      <w:bookmarkEnd w:id="8"/>
    </w:p>
    <w:p w:rsidR="003470E7" w:rsidRPr="00F110C9" w:rsidRDefault="003470E7" w:rsidP="003D05E1">
      <w:pPr>
        <w:pStyle w:val="EndNoteBibliography"/>
        <w:spacing w:after="0"/>
        <w:ind w:left="720" w:hanging="720"/>
        <w:rPr>
          <w:rFonts w:ascii="Arial" w:hAnsi="Arial" w:cs="Arial"/>
        </w:rPr>
      </w:pPr>
      <w:bookmarkStart w:id="9" w:name="_ENREF_7"/>
      <w:r w:rsidRPr="00F110C9">
        <w:rPr>
          <w:rFonts w:ascii="Arial" w:hAnsi="Arial" w:cs="Arial"/>
        </w:rPr>
        <w:t>7.</w:t>
      </w:r>
      <w:r w:rsidRPr="00F110C9">
        <w:rPr>
          <w:rFonts w:ascii="Arial" w:hAnsi="Arial" w:cs="Arial"/>
        </w:rPr>
        <w:tab/>
        <w:t xml:space="preserve">Moulos P, Hatzis P. Systematic integration of rna-seq statistical algorithms for accurate detection of differential gene expression patterns. </w:t>
      </w:r>
      <w:r w:rsidRPr="00F110C9">
        <w:rPr>
          <w:rFonts w:ascii="Arial" w:hAnsi="Arial" w:cs="Arial"/>
          <w:i/>
        </w:rPr>
        <w:t>Nucleic acids research</w:t>
      </w:r>
      <w:r w:rsidRPr="00F110C9">
        <w:rPr>
          <w:rFonts w:ascii="Arial" w:hAnsi="Arial" w:cs="Arial"/>
        </w:rPr>
        <w:t xml:space="preserve"> 2015;43:e25</w:t>
      </w:r>
      <w:bookmarkEnd w:id="9"/>
    </w:p>
    <w:p w:rsidR="003470E7" w:rsidRPr="00F110C9" w:rsidRDefault="003470E7" w:rsidP="003D05E1">
      <w:pPr>
        <w:pStyle w:val="EndNoteBibliography"/>
        <w:spacing w:after="0"/>
        <w:ind w:left="720" w:hanging="720"/>
        <w:rPr>
          <w:rFonts w:ascii="Arial" w:hAnsi="Arial" w:cs="Arial"/>
        </w:rPr>
      </w:pPr>
      <w:bookmarkStart w:id="10" w:name="_ENREF_8"/>
      <w:r w:rsidRPr="00F110C9">
        <w:rPr>
          <w:rFonts w:ascii="Arial" w:hAnsi="Arial" w:cs="Arial"/>
        </w:rPr>
        <w:t>8.</w:t>
      </w:r>
      <w:r w:rsidRPr="00F110C9">
        <w:rPr>
          <w:rFonts w:ascii="Arial" w:hAnsi="Arial" w:cs="Arial"/>
        </w:rPr>
        <w:tab/>
        <w:t>RCoreTeam. R: A language and environment for statistical computing. .  2014</w:t>
      </w:r>
      <w:bookmarkEnd w:id="10"/>
    </w:p>
    <w:p w:rsidR="003470E7" w:rsidRPr="00F110C9" w:rsidRDefault="003470E7" w:rsidP="003D05E1">
      <w:pPr>
        <w:pStyle w:val="EndNoteBibliography"/>
        <w:spacing w:after="0"/>
        <w:ind w:left="720" w:hanging="720"/>
        <w:rPr>
          <w:rFonts w:ascii="Arial" w:hAnsi="Arial" w:cs="Arial"/>
        </w:rPr>
      </w:pPr>
      <w:bookmarkStart w:id="11" w:name="_ENREF_9"/>
      <w:r w:rsidRPr="00F110C9">
        <w:rPr>
          <w:rFonts w:ascii="Arial" w:hAnsi="Arial" w:cs="Arial"/>
        </w:rPr>
        <w:t>9.</w:t>
      </w:r>
      <w:r w:rsidRPr="00F110C9">
        <w:rPr>
          <w:rFonts w:ascii="Arial" w:hAnsi="Arial" w:cs="Arial"/>
        </w:rPr>
        <w:tab/>
        <w:t xml:space="preserve">Kanehisa M, Goto S. Kegg: Kyoto encyclopedia of genes and genomes. </w:t>
      </w:r>
      <w:r w:rsidRPr="00F110C9">
        <w:rPr>
          <w:rFonts w:ascii="Arial" w:hAnsi="Arial" w:cs="Arial"/>
          <w:i/>
        </w:rPr>
        <w:t>Nucleic acids research</w:t>
      </w:r>
      <w:r w:rsidRPr="00F110C9">
        <w:rPr>
          <w:rFonts w:ascii="Arial" w:hAnsi="Arial" w:cs="Arial"/>
        </w:rPr>
        <w:t xml:space="preserve"> 2000;28:27-30</w:t>
      </w:r>
      <w:bookmarkEnd w:id="11"/>
    </w:p>
    <w:p w:rsidR="003470E7" w:rsidRPr="00F110C9" w:rsidRDefault="003470E7" w:rsidP="003D05E1">
      <w:pPr>
        <w:pStyle w:val="EndNoteBibliography"/>
        <w:spacing w:after="0"/>
        <w:ind w:left="720" w:hanging="720"/>
        <w:rPr>
          <w:rFonts w:ascii="Arial" w:hAnsi="Arial" w:cs="Arial"/>
        </w:rPr>
      </w:pPr>
      <w:bookmarkStart w:id="12" w:name="_ENREF_10"/>
      <w:r w:rsidRPr="00F110C9">
        <w:rPr>
          <w:rFonts w:ascii="Arial" w:hAnsi="Arial" w:cs="Arial"/>
        </w:rPr>
        <w:t>10.</w:t>
      </w:r>
      <w:r w:rsidRPr="00F110C9">
        <w:rPr>
          <w:rFonts w:ascii="Arial" w:hAnsi="Arial" w:cs="Arial"/>
        </w:rPr>
        <w:tab/>
        <w:t>Chen EY, Tan CM, Kou Y</w:t>
      </w:r>
      <w:r w:rsidRPr="00F110C9">
        <w:rPr>
          <w:rFonts w:ascii="Arial" w:hAnsi="Arial" w:cs="Arial"/>
          <w:i/>
        </w:rPr>
        <w:t>, et al.</w:t>
      </w:r>
      <w:r w:rsidRPr="00F110C9">
        <w:rPr>
          <w:rFonts w:ascii="Arial" w:hAnsi="Arial" w:cs="Arial"/>
        </w:rPr>
        <w:t xml:space="preserve"> Enrichr: Interactive and collaborative html5 gene list enrichment analysis tool. </w:t>
      </w:r>
      <w:r w:rsidRPr="00F110C9">
        <w:rPr>
          <w:rFonts w:ascii="Arial" w:hAnsi="Arial" w:cs="Arial"/>
          <w:i/>
        </w:rPr>
        <w:t>BMC bioinformatics</w:t>
      </w:r>
      <w:r w:rsidRPr="00F110C9">
        <w:rPr>
          <w:rFonts w:ascii="Arial" w:hAnsi="Arial" w:cs="Arial"/>
        </w:rPr>
        <w:t xml:space="preserve"> 2013;14:128</w:t>
      </w:r>
      <w:bookmarkEnd w:id="12"/>
    </w:p>
    <w:p w:rsidR="003470E7" w:rsidRPr="00F110C9" w:rsidRDefault="003470E7" w:rsidP="003D05E1">
      <w:pPr>
        <w:pStyle w:val="EndNoteBibliography"/>
        <w:spacing w:after="0"/>
        <w:ind w:left="720" w:hanging="720"/>
        <w:rPr>
          <w:rFonts w:ascii="Arial" w:hAnsi="Arial" w:cs="Arial"/>
        </w:rPr>
      </w:pPr>
      <w:bookmarkStart w:id="13" w:name="_ENREF_11"/>
      <w:r w:rsidRPr="00F110C9">
        <w:rPr>
          <w:rFonts w:ascii="Arial" w:hAnsi="Arial" w:cs="Arial"/>
        </w:rPr>
        <w:t>11.</w:t>
      </w:r>
      <w:r w:rsidRPr="00F110C9">
        <w:rPr>
          <w:rFonts w:ascii="Arial" w:hAnsi="Arial" w:cs="Arial"/>
        </w:rPr>
        <w:tab/>
        <w:t xml:space="preserve">Chouvardas P, Kollias G, Nikolaou C. Inferring active regulatory networks from gene expression data using a combination of prior knowledge and enrichment analysis. </w:t>
      </w:r>
      <w:r w:rsidRPr="00F110C9">
        <w:rPr>
          <w:rFonts w:ascii="Arial" w:hAnsi="Arial" w:cs="Arial"/>
          <w:i/>
        </w:rPr>
        <w:t>BMC bioinformatics</w:t>
      </w:r>
      <w:r w:rsidRPr="00F110C9">
        <w:rPr>
          <w:rFonts w:ascii="Arial" w:hAnsi="Arial" w:cs="Arial"/>
        </w:rPr>
        <w:t xml:space="preserve"> 2016;17 Suppl 5:181</w:t>
      </w:r>
      <w:bookmarkEnd w:id="13"/>
    </w:p>
    <w:p w:rsidR="003470E7" w:rsidRPr="00F110C9" w:rsidRDefault="003470E7" w:rsidP="003D05E1">
      <w:pPr>
        <w:pStyle w:val="EndNoteBibliography"/>
        <w:ind w:left="720" w:hanging="720"/>
        <w:rPr>
          <w:rFonts w:ascii="Arial" w:hAnsi="Arial" w:cs="Arial"/>
        </w:rPr>
      </w:pPr>
      <w:bookmarkStart w:id="14" w:name="_ENREF_12"/>
      <w:r w:rsidRPr="00F110C9">
        <w:rPr>
          <w:rFonts w:ascii="Arial" w:hAnsi="Arial" w:cs="Arial"/>
        </w:rPr>
        <w:t>12.</w:t>
      </w:r>
      <w:r w:rsidRPr="00F110C9">
        <w:rPr>
          <w:rFonts w:ascii="Arial" w:hAnsi="Arial" w:cs="Arial"/>
        </w:rPr>
        <w:tab/>
        <w:t>Shannon P, Markiel A, Ozier O</w:t>
      </w:r>
      <w:r w:rsidRPr="00F110C9">
        <w:rPr>
          <w:rFonts w:ascii="Arial" w:hAnsi="Arial" w:cs="Arial"/>
          <w:i/>
        </w:rPr>
        <w:t>, et al.</w:t>
      </w:r>
      <w:r w:rsidRPr="00F110C9">
        <w:rPr>
          <w:rFonts w:ascii="Arial" w:hAnsi="Arial" w:cs="Arial"/>
        </w:rPr>
        <w:t xml:space="preserve"> Cytoscape: A software environment for integrated models of biomolecular interaction networks. </w:t>
      </w:r>
      <w:r w:rsidRPr="00F110C9">
        <w:rPr>
          <w:rFonts w:ascii="Arial" w:hAnsi="Arial" w:cs="Arial"/>
          <w:i/>
        </w:rPr>
        <w:t>Genome research</w:t>
      </w:r>
      <w:r w:rsidRPr="00F110C9">
        <w:rPr>
          <w:rFonts w:ascii="Arial" w:hAnsi="Arial" w:cs="Arial"/>
        </w:rPr>
        <w:t xml:space="preserve"> 2003;13:2498-2504</w:t>
      </w:r>
      <w:bookmarkEnd w:id="14"/>
    </w:p>
    <w:p w:rsidR="003470E7" w:rsidRPr="00F110C9" w:rsidRDefault="003470E7" w:rsidP="003D05E1">
      <w:pPr>
        <w:pStyle w:val="EndNoteBibliography"/>
        <w:ind w:left="720" w:hanging="720"/>
        <w:rPr>
          <w:rFonts w:ascii="Arial" w:hAnsi="Arial" w:cs="Arial"/>
        </w:rPr>
      </w:pPr>
    </w:p>
    <w:p w:rsidR="003470E7" w:rsidRPr="00F110C9" w:rsidRDefault="003470E7" w:rsidP="003D05E1">
      <w:pPr>
        <w:pStyle w:val="EndNoteBibliography"/>
        <w:ind w:left="720" w:hanging="720"/>
        <w:rPr>
          <w:rFonts w:ascii="Arial" w:hAnsi="Arial" w:cs="Arial"/>
        </w:rPr>
      </w:pPr>
    </w:p>
    <w:p w:rsidR="003470E7" w:rsidRPr="00F110C9" w:rsidRDefault="003470E7" w:rsidP="003D05E1">
      <w:pPr>
        <w:pStyle w:val="EndNoteBibliography"/>
        <w:ind w:left="720" w:hanging="720"/>
        <w:rPr>
          <w:rFonts w:ascii="Arial" w:hAnsi="Arial" w:cs="Arial"/>
        </w:rPr>
      </w:pPr>
    </w:p>
    <w:p w:rsidR="003470E7" w:rsidRPr="00F110C9" w:rsidRDefault="003470E7" w:rsidP="003D05E1">
      <w:pPr>
        <w:pStyle w:val="EndNoteBibliography"/>
        <w:ind w:left="720" w:hanging="720"/>
        <w:rPr>
          <w:rFonts w:ascii="Arial" w:hAnsi="Arial" w:cs="Arial"/>
        </w:rPr>
      </w:pPr>
    </w:p>
    <w:p w:rsidR="003470E7" w:rsidRPr="00F110C9" w:rsidRDefault="003470E7" w:rsidP="003D05E1">
      <w:pPr>
        <w:pStyle w:val="EndNoteBibliography"/>
        <w:ind w:left="720" w:hanging="720"/>
        <w:rPr>
          <w:rFonts w:ascii="Arial" w:hAnsi="Arial" w:cs="Arial"/>
        </w:rPr>
      </w:pPr>
    </w:p>
    <w:p w:rsidR="003470E7" w:rsidRPr="00F110C9" w:rsidRDefault="003470E7" w:rsidP="003D05E1">
      <w:pPr>
        <w:pStyle w:val="EndNoteBibliography"/>
        <w:ind w:left="720" w:hanging="720"/>
        <w:rPr>
          <w:rFonts w:ascii="Arial" w:hAnsi="Arial" w:cs="Arial"/>
        </w:rPr>
      </w:pPr>
    </w:p>
    <w:p w:rsidR="003470E7" w:rsidRPr="00F110C9" w:rsidRDefault="003470E7" w:rsidP="003D05E1">
      <w:pPr>
        <w:pStyle w:val="EndNoteBibliography"/>
        <w:ind w:left="720" w:hanging="720"/>
        <w:rPr>
          <w:rFonts w:ascii="Arial" w:hAnsi="Arial" w:cs="Arial"/>
        </w:rPr>
      </w:pPr>
    </w:p>
    <w:p w:rsidR="003470E7" w:rsidRPr="00F110C9" w:rsidRDefault="003470E7" w:rsidP="003D05E1">
      <w:pPr>
        <w:pStyle w:val="EndNoteBibliography"/>
        <w:ind w:left="720" w:hanging="720"/>
        <w:rPr>
          <w:rFonts w:ascii="Arial" w:hAnsi="Arial" w:cs="Arial"/>
        </w:rPr>
      </w:pPr>
    </w:p>
    <w:p w:rsidR="003470E7" w:rsidRPr="00717575" w:rsidRDefault="003470E7" w:rsidP="003D05E1">
      <w:pPr>
        <w:pStyle w:val="EndNoteBibliography"/>
        <w:ind w:left="720" w:hanging="720"/>
        <w:rPr>
          <w:rFonts w:ascii="Arial" w:hAnsi="Arial" w:cs="Arial"/>
        </w:rPr>
      </w:pPr>
      <w:r w:rsidRPr="00F110C9">
        <w:rPr>
          <w:rFonts w:ascii="Arial" w:hAnsi="Arial" w:cs="Arial"/>
        </w:rPr>
        <w:lastRenderedPageBreak/>
        <w:drawing>
          <wp:anchor distT="0" distB="0" distL="114300" distR="114300" simplePos="0" relativeHeight="251663360" behindDoc="1" locked="0" layoutInCell="1" allowOverlap="1" wp14:anchorId="7C5C7603">
            <wp:simplePos x="0" y="0"/>
            <wp:positionH relativeFrom="margin">
              <wp:align>center</wp:align>
            </wp:positionH>
            <wp:positionV relativeFrom="paragraph">
              <wp:posOffset>0</wp:posOffset>
            </wp:positionV>
            <wp:extent cx="4531057" cy="6290367"/>
            <wp:effectExtent l="0" t="0" r="3175" b="0"/>
            <wp:wrapTight wrapText="bothSides">
              <wp:wrapPolygon edited="0">
                <wp:start x="0" y="0"/>
                <wp:lineTo x="0" y="21522"/>
                <wp:lineTo x="21524" y="21522"/>
                <wp:lineTo x="2152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31057" cy="629036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70E7" w:rsidRPr="00717575" w:rsidRDefault="003470E7">
      <w:pPr>
        <w:rPr>
          <w:rFonts w:ascii="Arial" w:hAnsi="Arial" w:cs="Arial"/>
          <w:noProof/>
          <w:lang w:val="en-US"/>
        </w:rPr>
      </w:pPr>
    </w:p>
    <w:p w:rsidR="003470E7" w:rsidRPr="00717575" w:rsidRDefault="003470E7" w:rsidP="0086572A">
      <w:pPr>
        <w:pStyle w:val="EndNoteBibliography"/>
        <w:ind w:left="720" w:hanging="720"/>
        <w:jc w:val="center"/>
        <w:rPr>
          <w:rFonts w:ascii="Arial" w:hAnsi="Arial" w:cs="Arial"/>
        </w:rPr>
      </w:pPr>
    </w:p>
    <w:p w:rsidR="003470E7" w:rsidRPr="00717575" w:rsidRDefault="003470E7" w:rsidP="003D05E1">
      <w:pPr>
        <w:pStyle w:val="EndNoteBibliography"/>
        <w:ind w:left="720" w:hanging="720"/>
        <w:rPr>
          <w:rFonts w:ascii="Arial" w:hAnsi="Arial" w:cs="Arial"/>
        </w:rPr>
      </w:pPr>
    </w:p>
    <w:p w:rsidR="003470E7" w:rsidRPr="00717575" w:rsidRDefault="003470E7" w:rsidP="003D05E1">
      <w:pPr>
        <w:pStyle w:val="EndNoteBibliography"/>
        <w:ind w:left="720" w:hanging="720"/>
        <w:rPr>
          <w:rFonts w:ascii="Arial" w:hAnsi="Arial" w:cs="Arial"/>
        </w:rPr>
      </w:pPr>
    </w:p>
    <w:p w:rsidR="003470E7" w:rsidRPr="00717575" w:rsidRDefault="003470E7" w:rsidP="003D05E1">
      <w:pPr>
        <w:pStyle w:val="EndNoteBibliography"/>
        <w:ind w:left="720" w:hanging="720"/>
        <w:rPr>
          <w:rFonts w:ascii="Arial" w:hAnsi="Arial" w:cs="Arial"/>
        </w:rPr>
      </w:pPr>
    </w:p>
    <w:p w:rsidR="003470E7" w:rsidRPr="00717575" w:rsidRDefault="003470E7" w:rsidP="003D05E1">
      <w:pPr>
        <w:pStyle w:val="EndNoteBibliography"/>
        <w:ind w:left="720" w:hanging="720"/>
        <w:rPr>
          <w:rFonts w:ascii="Arial" w:hAnsi="Arial" w:cs="Arial"/>
        </w:rPr>
      </w:pPr>
    </w:p>
    <w:p w:rsidR="003470E7" w:rsidRPr="00717575" w:rsidRDefault="003470E7" w:rsidP="003D05E1">
      <w:pPr>
        <w:pStyle w:val="EndNoteBibliography"/>
        <w:ind w:left="720" w:hanging="720"/>
        <w:rPr>
          <w:rFonts w:ascii="Arial" w:hAnsi="Arial" w:cs="Arial"/>
        </w:rPr>
      </w:pPr>
    </w:p>
    <w:p w:rsidR="003470E7" w:rsidRPr="00717575" w:rsidRDefault="003470E7" w:rsidP="003D05E1">
      <w:pPr>
        <w:pStyle w:val="EndNoteBibliography"/>
        <w:ind w:left="720" w:hanging="720"/>
        <w:rPr>
          <w:rFonts w:ascii="Arial" w:hAnsi="Arial" w:cs="Arial"/>
        </w:rPr>
      </w:pPr>
    </w:p>
    <w:p w:rsidR="003470E7" w:rsidRDefault="003470E7" w:rsidP="008C37BE">
      <w:pPr>
        <w:spacing w:line="480" w:lineRule="auto"/>
        <w:jc w:val="both"/>
        <w:rPr>
          <w:rFonts w:ascii="Arial" w:hAnsi="Arial" w:cs="Arial"/>
          <w:b/>
          <w:color w:val="000000" w:themeColor="text1"/>
          <w:lang w:val="en-US"/>
        </w:rPr>
      </w:pPr>
    </w:p>
    <w:p w:rsidR="003470E7" w:rsidRDefault="003470E7" w:rsidP="008C37BE">
      <w:pPr>
        <w:spacing w:line="480" w:lineRule="auto"/>
        <w:jc w:val="both"/>
        <w:rPr>
          <w:rFonts w:ascii="Arial" w:hAnsi="Arial" w:cs="Arial"/>
          <w:b/>
          <w:color w:val="000000" w:themeColor="text1"/>
          <w:lang w:val="en-US"/>
        </w:rPr>
      </w:pPr>
    </w:p>
    <w:p w:rsidR="003470E7" w:rsidRDefault="003470E7" w:rsidP="008C37BE">
      <w:pPr>
        <w:spacing w:line="480" w:lineRule="auto"/>
        <w:jc w:val="both"/>
        <w:rPr>
          <w:rFonts w:ascii="Arial" w:hAnsi="Arial" w:cs="Arial"/>
          <w:b/>
          <w:color w:val="000000" w:themeColor="text1"/>
          <w:lang w:val="en-US"/>
        </w:rPr>
      </w:pPr>
    </w:p>
    <w:p w:rsidR="003470E7" w:rsidRDefault="003470E7" w:rsidP="008C37BE">
      <w:pPr>
        <w:spacing w:line="480" w:lineRule="auto"/>
        <w:jc w:val="both"/>
        <w:rPr>
          <w:rFonts w:ascii="Arial" w:hAnsi="Arial" w:cs="Arial"/>
          <w:b/>
          <w:color w:val="000000" w:themeColor="text1"/>
          <w:lang w:val="en-US"/>
        </w:rPr>
      </w:pPr>
    </w:p>
    <w:p w:rsidR="003470E7" w:rsidRDefault="003470E7" w:rsidP="008C37BE">
      <w:pPr>
        <w:spacing w:line="480" w:lineRule="auto"/>
        <w:jc w:val="both"/>
        <w:rPr>
          <w:rFonts w:ascii="Arial" w:hAnsi="Arial" w:cs="Arial"/>
          <w:b/>
          <w:color w:val="000000" w:themeColor="text1"/>
          <w:lang w:val="en-US"/>
        </w:rPr>
      </w:pPr>
    </w:p>
    <w:p w:rsidR="003470E7" w:rsidRPr="00926D29" w:rsidRDefault="003470E7" w:rsidP="00926D29">
      <w:pPr>
        <w:spacing w:line="480" w:lineRule="auto"/>
        <w:jc w:val="both"/>
        <w:rPr>
          <w:rFonts w:ascii="Arial" w:hAnsi="Arial" w:cs="Arial"/>
          <w:color w:val="000000" w:themeColor="text1"/>
          <w:lang w:val="en-US"/>
        </w:rPr>
      </w:pPr>
      <w:r w:rsidRPr="00926D29">
        <w:rPr>
          <w:rFonts w:ascii="Arial" w:hAnsi="Arial" w:cs="Arial"/>
          <w:b/>
          <w:color w:val="000000" w:themeColor="text1"/>
          <w:lang w:val="en-US"/>
        </w:rPr>
        <w:t>Figure S1</w:t>
      </w:r>
      <w:r w:rsidRPr="00926D29">
        <w:rPr>
          <w:rFonts w:ascii="Arial" w:hAnsi="Arial" w:cs="Arial"/>
          <w:b/>
          <w:color w:val="000000" w:themeColor="text1"/>
          <w:lang w:val="en-US"/>
        </w:rPr>
        <w:softHyphen/>
      </w:r>
      <w:r w:rsidRPr="00926D29">
        <w:rPr>
          <w:rFonts w:ascii="Arial" w:hAnsi="Arial" w:cs="Arial"/>
          <w:b/>
          <w:color w:val="000000" w:themeColor="text1"/>
          <w:lang w:val="en-US"/>
        </w:rPr>
        <w:softHyphen/>
      </w:r>
      <w:r w:rsidRPr="00926D29">
        <w:rPr>
          <w:rFonts w:ascii="Arial" w:hAnsi="Arial" w:cs="Arial"/>
          <w:b/>
          <w:color w:val="000000" w:themeColor="text1"/>
          <w:lang w:val="en-US"/>
        </w:rPr>
        <w:softHyphen/>
        <w:t xml:space="preserve">. </w:t>
      </w:r>
      <w:r w:rsidRPr="00926D29">
        <w:rPr>
          <w:rFonts w:ascii="Arial" w:hAnsi="Arial" w:cs="Arial"/>
          <w:color w:val="000000" w:themeColor="text1"/>
          <w:lang w:val="en-US"/>
        </w:rPr>
        <w:t xml:space="preserve">Peripheral vessel wall of the arteries </w:t>
      </w:r>
      <w:r w:rsidRPr="00926D29">
        <w:rPr>
          <w:rFonts w:ascii="Arial" w:hAnsi="Arial" w:cs="Arial"/>
          <w:color w:val="000000" w:themeColor="text1"/>
          <w:lang w:val="en-US"/>
        </w:rPr>
        <w:t>appears</w:t>
      </w:r>
      <w:r w:rsidRPr="00926D29">
        <w:rPr>
          <w:rFonts w:ascii="Arial" w:hAnsi="Arial" w:cs="Arial"/>
          <w:color w:val="000000" w:themeColor="text1"/>
          <w:lang w:val="en-US"/>
        </w:rPr>
        <w:t xml:space="preserve"> unaffected in Tg197 animals. Representative images of hematoxylin/eosin (H&amp;E)- stained aortic and lung sections of Tg197 and WT littermate animals at 12 weeks old of age, where vessels and arteries can be seen (lower pane</w:t>
      </w:r>
      <w:bookmarkStart w:id="15" w:name="_GoBack"/>
      <w:bookmarkEnd w:id="15"/>
      <w:r w:rsidRPr="00926D29">
        <w:rPr>
          <w:rFonts w:ascii="Arial" w:hAnsi="Arial" w:cs="Arial"/>
          <w:color w:val="000000" w:themeColor="text1"/>
          <w:lang w:val="en-US"/>
        </w:rPr>
        <w:t>l: higher magnification of the upper panel part specified by the box) (Scale bar, 200</w:t>
      </w:r>
      <w:r w:rsidRPr="00926D29">
        <w:rPr>
          <w:rFonts w:ascii="Arial" w:hAnsi="Arial" w:cs="Arial"/>
          <w:color w:val="000000" w:themeColor="text1"/>
        </w:rPr>
        <w:t>μ</w:t>
      </w:r>
      <w:r w:rsidRPr="00926D29">
        <w:rPr>
          <w:rFonts w:ascii="Arial" w:hAnsi="Arial" w:cs="Arial"/>
          <w:color w:val="000000" w:themeColor="text1"/>
          <w:lang w:val="en-US"/>
        </w:rPr>
        <w:t xml:space="preserve">m). </w:t>
      </w:r>
    </w:p>
    <w:p w:rsidR="003470E7" w:rsidRPr="00717575" w:rsidRDefault="003470E7">
      <w:pPr>
        <w:rPr>
          <w:rFonts w:ascii="Arial" w:hAnsi="Arial" w:cs="Arial"/>
          <w:noProof/>
          <w:lang w:val="en-US"/>
        </w:rPr>
      </w:pPr>
    </w:p>
    <w:p w:rsidR="003470E7" w:rsidRPr="00717575" w:rsidRDefault="003470E7" w:rsidP="007B70B9">
      <w:pPr>
        <w:pStyle w:val="EndNoteBibliography"/>
        <w:ind w:left="720" w:hanging="720"/>
        <w:jc w:val="center"/>
        <w:rPr>
          <w:rFonts w:ascii="Arial" w:hAnsi="Arial" w:cs="Arial"/>
        </w:rPr>
      </w:pPr>
      <w:r w:rsidRPr="00717575">
        <w:rPr>
          <w:rFonts w:ascii="Arial" w:hAnsi="Arial" w:cs="Arial"/>
        </w:rPr>
        <w:lastRenderedPageBreak/>
        <w:drawing>
          <wp:inline distT="0" distB="0" distL="0" distR="0">
            <wp:extent cx="3875964" cy="31896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90713" cy="3201744"/>
                    </a:xfrm>
                    <a:prstGeom prst="rect">
                      <a:avLst/>
                    </a:prstGeom>
                    <a:noFill/>
                    <a:ln>
                      <a:noFill/>
                    </a:ln>
                  </pic:spPr>
                </pic:pic>
              </a:graphicData>
            </a:graphic>
          </wp:inline>
        </w:drawing>
      </w:r>
    </w:p>
    <w:p w:rsidR="003470E7" w:rsidRPr="00717575" w:rsidRDefault="003470E7" w:rsidP="00BA7789">
      <w:pPr>
        <w:pStyle w:val="EndNoteBibliography"/>
        <w:ind w:left="720" w:hanging="720"/>
        <w:rPr>
          <w:rFonts w:ascii="Arial" w:hAnsi="Arial" w:cs="Arial"/>
        </w:rPr>
      </w:pPr>
    </w:p>
    <w:p w:rsidR="003470E7" w:rsidRPr="00717575" w:rsidRDefault="003470E7" w:rsidP="00EF4D7D">
      <w:pPr>
        <w:spacing w:after="0" w:line="360" w:lineRule="auto"/>
        <w:jc w:val="both"/>
        <w:rPr>
          <w:rFonts w:ascii="Arial" w:hAnsi="Arial" w:cs="Arial"/>
          <w:noProof/>
          <w:lang w:val="en-US"/>
        </w:rPr>
      </w:pPr>
      <w:r w:rsidRPr="00926D29">
        <w:rPr>
          <w:rFonts w:ascii="Arial" w:hAnsi="Arial" w:cs="Arial"/>
          <w:b/>
          <w:lang w:val="en-US"/>
        </w:rPr>
        <w:t>Figure S2</w:t>
      </w:r>
      <w:r w:rsidRPr="00926D29">
        <w:rPr>
          <w:rFonts w:ascii="Arial" w:hAnsi="Arial" w:cs="Arial"/>
          <w:lang w:val="en-US"/>
        </w:rPr>
        <w:t xml:space="preserve">. Treatment of Tg197 animals with the anti-TNF Infliximab (Remicade) resulted in the amelioration of the heart valve pathology. Representative images of H&amp;E- and Masson’s Trichrome-stained transverse heart sections of Tg197 animals at 11 weeks of age, </w:t>
      </w:r>
      <w:bookmarkStart w:id="16" w:name="_Hlk494736139"/>
      <w:r w:rsidRPr="00926D29">
        <w:rPr>
          <w:rFonts w:ascii="Arial" w:hAnsi="Arial" w:cs="Arial"/>
          <w:lang w:val="en-US"/>
        </w:rPr>
        <w:t>treated with vehicle or prophylactic anti-TNF treatment (from 4th-11th week of age) (Scale bar, 400</w:t>
      </w:r>
      <w:r w:rsidRPr="00926D29">
        <w:rPr>
          <w:rFonts w:ascii="Arial" w:hAnsi="Arial" w:cs="Arial"/>
        </w:rPr>
        <w:t>μ</w:t>
      </w:r>
      <w:r w:rsidRPr="00926D29">
        <w:rPr>
          <w:rFonts w:ascii="Arial" w:hAnsi="Arial" w:cs="Arial"/>
          <w:lang w:val="en-US"/>
        </w:rPr>
        <w:t>m).</w:t>
      </w:r>
      <w:bookmarkEnd w:id="16"/>
    </w:p>
    <w:p w:rsidR="003470E7" w:rsidRPr="00717575" w:rsidRDefault="003470E7" w:rsidP="003D05E1">
      <w:pPr>
        <w:pStyle w:val="EndNoteBibliography"/>
        <w:ind w:left="720" w:hanging="720"/>
        <w:rPr>
          <w:rFonts w:ascii="Arial" w:hAnsi="Arial" w:cs="Arial"/>
        </w:rPr>
      </w:pPr>
    </w:p>
    <w:p w:rsidR="003470E7" w:rsidRPr="00717575" w:rsidRDefault="003470E7" w:rsidP="007B70B9">
      <w:pPr>
        <w:spacing w:line="480" w:lineRule="auto"/>
        <w:jc w:val="center"/>
        <w:rPr>
          <w:rFonts w:ascii="Arial" w:hAnsi="Arial" w:cs="Arial"/>
          <w:b/>
          <w:lang w:val="en-US"/>
        </w:rPr>
      </w:pPr>
      <w:r w:rsidRPr="00717575">
        <w:rPr>
          <w:rFonts w:ascii="Arial" w:hAnsi="Arial" w:cs="Arial"/>
          <w:lang w:val="en-US"/>
        </w:rPr>
        <w:lastRenderedPageBreak/>
        <w:t xml:space="preserve"> </w:t>
      </w:r>
      <w:r w:rsidRPr="00717575">
        <w:rPr>
          <w:rFonts w:ascii="Arial" w:hAnsi="Arial" w:cs="Arial"/>
          <w:noProof/>
        </w:rPr>
        <w:drawing>
          <wp:inline distT="0" distB="0" distL="0" distR="0">
            <wp:extent cx="3863861" cy="5438273"/>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68894" cy="5445356"/>
                    </a:xfrm>
                    <a:prstGeom prst="rect">
                      <a:avLst/>
                    </a:prstGeom>
                    <a:noFill/>
                    <a:ln>
                      <a:noFill/>
                    </a:ln>
                  </pic:spPr>
                </pic:pic>
              </a:graphicData>
            </a:graphic>
          </wp:inline>
        </w:drawing>
      </w:r>
    </w:p>
    <w:p w:rsidR="003470E7" w:rsidRPr="00717575" w:rsidRDefault="003470E7" w:rsidP="001701B3">
      <w:pPr>
        <w:spacing w:line="480" w:lineRule="auto"/>
        <w:jc w:val="both"/>
        <w:rPr>
          <w:rFonts w:ascii="Arial" w:hAnsi="Arial" w:cs="Arial"/>
          <w:b/>
          <w:lang w:val="en-US"/>
        </w:rPr>
      </w:pPr>
    </w:p>
    <w:p w:rsidR="003470E7" w:rsidRPr="00717575" w:rsidRDefault="003470E7" w:rsidP="007B70B9">
      <w:pPr>
        <w:spacing w:line="480" w:lineRule="auto"/>
        <w:jc w:val="both"/>
        <w:rPr>
          <w:rFonts w:ascii="Arial" w:hAnsi="Arial" w:cs="Arial"/>
          <w:lang w:val="en-US"/>
        </w:rPr>
      </w:pPr>
      <w:r w:rsidRPr="00926D29">
        <w:rPr>
          <w:rFonts w:ascii="Arial" w:hAnsi="Arial" w:cs="Arial"/>
          <w:b/>
          <w:lang w:val="en-US"/>
        </w:rPr>
        <w:t xml:space="preserve">Figure S3. </w:t>
      </w:r>
      <w:r w:rsidRPr="00926D29">
        <w:rPr>
          <w:rFonts w:ascii="Arial" w:hAnsi="Arial" w:cs="Arial"/>
          <w:lang w:val="en-US"/>
        </w:rPr>
        <w:t>Inflammation has a minimal contribution to the heart valve disease phenotype of Tg197 mice. Representative immunohistochemical stainings for the detection of macrophages (F4/80), neutrophils (Gr1), B cells (B220) and T cells (CD3) on transverse heart sections from WT and Tg197 hearts at 12 weeks of age (positive staining marked in boxed areas) (Scale bar, 200</w:t>
      </w:r>
      <w:r w:rsidRPr="00926D29">
        <w:rPr>
          <w:rFonts w:ascii="Arial" w:hAnsi="Arial" w:cs="Arial"/>
        </w:rPr>
        <w:t>μ</w:t>
      </w:r>
      <w:r w:rsidRPr="00926D29">
        <w:rPr>
          <w:rFonts w:ascii="Arial" w:hAnsi="Arial" w:cs="Arial"/>
          <w:lang w:val="en-US"/>
        </w:rPr>
        <w:t>m).</w:t>
      </w:r>
      <w:r w:rsidRPr="00717575">
        <w:rPr>
          <w:rFonts w:ascii="Arial" w:hAnsi="Arial" w:cs="Arial"/>
          <w:lang w:val="en-US"/>
        </w:rPr>
        <w:t xml:space="preserve">  </w:t>
      </w:r>
    </w:p>
    <w:p w:rsidR="003470E7" w:rsidRPr="00717575" w:rsidRDefault="003470E7" w:rsidP="001701B3">
      <w:pPr>
        <w:spacing w:line="480" w:lineRule="auto"/>
        <w:jc w:val="both"/>
        <w:rPr>
          <w:rFonts w:ascii="Arial" w:hAnsi="Arial" w:cs="Arial"/>
          <w:b/>
          <w:lang w:val="en-US"/>
        </w:rPr>
      </w:pPr>
      <w:r w:rsidRPr="00717575">
        <w:rPr>
          <w:rFonts w:ascii="Arial" w:hAnsi="Arial" w:cs="Arial"/>
          <w:noProof/>
        </w:rPr>
        <w:lastRenderedPageBreak/>
        <w:drawing>
          <wp:anchor distT="0" distB="0" distL="114300" distR="114300" simplePos="0" relativeHeight="251662336" behindDoc="1" locked="0" layoutInCell="1" allowOverlap="1">
            <wp:simplePos x="0" y="0"/>
            <wp:positionH relativeFrom="margin">
              <wp:posOffset>-777240</wp:posOffset>
            </wp:positionH>
            <wp:positionV relativeFrom="paragraph">
              <wp:posOffset>182880</wp:posOffset>
            </wp:positionV>
            <wp:extent cx="6806565" cy="2119630"/>
            <wp:effectExtent l="0" t="0" r="0" b="0"/>
            <wp:wrapTight wrapText="bothSides">
              <wp:wrapPolygon edited="0">
                <wp:start x="0" y="0"/>
                <wp:lineTo x="0" y="21354"/>
                <wp:lineTo x="21521" y="21354"/>
                <wp:lineTo x="2152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06565" cy="21196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70E7" w:rsidRPr="00717575" w:rsidRDefault="003470E7" w:rsidP="001701B3">
      <w:pPr>
        <w:spacing w:line="480" w:lineRule="auto"/>
        <w:jc w:val="both"/>
        <w:rPr>
          <w:rFonts w:ascii="Arial" w:hAnsi="Arial" w:cs="Arial"/>
          <w:b/>
          <w:lang w:val="en-US"/>
        </w:rPr>
      </w:pPr>
    </w:p>
    <w:p w:rsidR="003470E7" w:rsidRPr="00717575" w:rsidRDefault="003470E7" w:rsidP="001701B3">
      <w:pPr>
        <w:spacing w:line="480" w:lineRule="auto"/>
        <w:jc w:val="both"/>
        <w:rPr>
          <w:rFonts w:ascii="Arial" w:hAnsi="Arial" w:cs="Arial"/>
          <w:b/>
          <w:lang w:val="en-US"/>
        </w:rPr>
      </w:pPr>
    </w:p>
    <w:p w:rsidR="003470E7" w:rsidRPr="00717575" w:rsidRDefault="003470E7" w:rsidP="001701B3">
      <w:pPr>
        <w:spacing w:line="480" w:lineRule="auto"/>
        <w:jc w:val="both"/>
        <w:rPr>
          <w:rFonts w:ascii="Arial" w:hAnsi="Arial" w:cs="Arial"/>
          <w:b/>
          <w:lang w:val="en-US"/>
        </w:rPr>
      </w:pPr>
      <w:r w:rsidRPr="00717575">
        <w:rPr>
          <w:rFonts w:ascii="Arial" w:hAnsi="Arial" w:cs="Arial"/>
          <w:b/>
          <w:lang w:val="en-US"/>
        </w:rPr>
        <w:t>Figure S4</w:t>
      </w:r>
      <w:r w:rsidRPr="00717575">
        <w:rPr>
          <w:rFonts w:ascii="Arial" w:hAnsi="Arial" w:cs="Arial"/>
          <w:lang w:val="en-US"/>
        </w:rPr>
        <w:t>. Tg197 heart valve pathology progresses with time. Representative H&amp;E-stained longitudinal heart sections of WT animals at 8 weeks of age and Tg197 animals at 4</w:t>
      </w:r>
      <w:r w:rsidRPr="00717575">
        <w:rPr>
          <w:rFonts w:ascii="Arial" w:hAnsi="Arial" w:cs="Arial"/>
          <w:b/>
          <w:lang w:val="en-US"/>
        </w:rPr>
        <w:t>,</w:t>
      </w:r>
      <w:r w:rsidRPr="00717575">
        <w:rPr>
          <w:rFonts w:ascii="Arial" w:hAnsi="Arial" w:cs="Arial"/>
          <w:lang w:val="en-US"/>
        </w:rPr>
        <w:t xml:space="preserve"> 8 and 12 weeks of age, showing the progression of the heart valve pathology. </w:t>
      </w:r>
      <w:r w:rsidRPr="00926D29">
        <w:rPr>
          <w:rFonts w:ascii="Arial" w:hAnsi="Arial" w:cs="Arial"/>
          <w:lang w:val="en-US"/>
        </w:rPr>
        <w:t xml:space="preserve">AV: aortic valve leaflets, LV: left ventricle, MV: mitral valve leaflet, PV: pulmonary valve, RV: right ventricle, </w:t>
      </w:r>
      <w:proofErr w:type="spellStart"/>
      <w:r w:rsidRPr="00926D29">
        <w:rPr>
          <w:rFonts w:ascii="Arial" w:hAnsi="Arial" w:cs="Arial"/>
          <w:lang w:val="en-US"/>
        </w:rPr>
        <w:t>Ao</w:t>
      </w:r>
      <w:proofErr w:type="spellEnd"/>
      <w:r w:rsidRPr="00926D29">
        <w:rPr>
          <w:rFonts w:ascii="Arial" w:hAnsi="Arial" w:cs="Arial"/>
          <w:lang w:val="en-US"/>
        </w:rPr>
        <w:t>: aorta (Scale bar, 200</w:t>
      </w:r>
      <w:r w:rsidRPr="00926D29">
        <w:rPr>
          <w:rFonts w:ascii="Arial" w:hAnsi="Arial" w:cs="Arial"/>
        </w:rPr>
        <w:t>μ</w:t>
      </w:r>
      <w:r w:rsidRPr="00926D29">
        <w:rPr>
          <w:rFonts w:ascii="Arial" w:hAnsi="Arial" w:cs="Arial"/>
          <w:lang w:val="en-US"/>
        </w:rPr>
        <w:t>m).</w:t>
      </w:r>
      <w:r w:rsidRPr="00717575">
        <w:rPr>
          <w:rFonts w:ascii="Arial" w:hAnsi="Arial" w:cs="Arial"/>
          <w:lang w:val="en-US"/>
        </w:rPr>
        <w:t xml:space="preserve">  </w:t>
      </w:r>
    </w:p>
    <w:p w:rsidR="003470E7" w:rsidRPr="00717575" w:rsidRDefault="003470E7">
      <w:pPr>
        <w:rPr>
          <w:rFonts w:ascii="Arial" w:hAnsi="Arial" w:cs="Arial"/>
          <w:b/>
          <w:lang w:val="en-US"/>
        </w:rPr>
      </w:pPr>
    </w:p>
    <w:p w:rsidR="003470E7" w:rsidRPr="00717575" w:rsidRDefault="003470E7">
      <w:pPr>
        <w:rPr>
          <w:rFonts w:ascii="Arial" w:hAnsi="Arial" w:cs="Arial"/>
          <w:b/>
          <w:lang w:val="en-US"/>
        </w:rPr>
      </w:pPr>
    </w:p>
    <w:p w:rsidR="003470E7" w:rsidRPr="00717575" w:rsidRDefault="003470E7">
      <w:pPr>
        <w:rPr>
          <w:rFonts w:ascii="Arial" w:hAnsi="Arial" w:cs="Arial"/>
          <w:b/>
          <w:lang w:val="en-US"/>
        </w:rPr>
      </w:pPr>
    </w:p>
    <w:p w:rsidR="003470E7" w:rsidRPr="00717575" w:rsidRDefault="003470E7">
      <w:pPr>
        <w:rPr>
          <w:rFonts w:ascii="Arial" w:hAnsi="Arial" w:cs="Arial"/>
          <w:b/>
          <w:lang w:val="en-US"/>
        </w:rPr>
      </w:pPr>
    </w:p>
    <w:p w:rsidR="003470E7" w:rsidRPr="00717575" w:rsidRDefault="003470E7">
      <w:pPr>
        <w:rPr>
          <w:rFonts w:ascii="Arial" w:hAnsi="Arial" w:cs="Arial"/>
          <w:b/>
          <w:lang w:val="en-US"/>
        </w:rPr>
      </w:pPr>
    </w:p>
    <w:p w:rsidR="003470E7" w:rsidRPr="00717575" w:rsidRDefault="003470E7">
      <w:pPr>
        <w:rPr>
          <w:rFonts w:ascii="Arial" w:hAnsi="Arial" w:cs="Arial"/>
          <w:b/>
          <w:lang w:val="en-US"/>
        </w:rPr>
      </w:pPr>
    </w:p>
    <w:p w:rsidR="003470E7" w:rsidRPr="00717575" w:rsidRDefault="003470E7">
      <w:pPr>
        <w:rPr>
          <w:rFonts w:ascii="Arial" w:hAnsi="Arial" w:cs="Arial"/>
          <w:b/>
          <w:lang w:val="en-US"/>
        </w:rPr>
      </w:pPr>
    </w:p>
    <w:p w:rsidR="003470E7" w:rsidRPr="00717575" w:rsidRDefault="003470E7">
      <w:pPr>
        <w:rPr>
          <w:rFonts w:ascii="Arial" w:hAnsi="Arial" w:cs="Arial"/>
          <w:b/>
          <w:lang w:val="en-US"/>
        </w:rPr>
      </w:pPr>
    </w:p>
    <w:p w:rsidR="003470E7" w:rsidRPr="00717575" w:rsidRDefault="003470E7">
      <w:pPr>
        <w:rPr>
          <w:rFonts w:ascii="Arial" w:hAnsi="Arial" w:cs="Arial"/>
          <w:b/>
          <w:lang w:val="en-US"/>
        </w:rPr>
      </w:pPr>
    </w:p>
    <w:p w:rsidR="003470E7" w:rsidRPr="00717575" w:rsidRDefault="003470E7" w:rsidP="001701B3">
      <w:pPr>
        <w:spacing w:line="480" w:lineRule="auto"/>
        <w:jc w:val="both"/>
        <w:rPr>
          <w:rFonts w:ascii="Arial" w:hAnsi="Arial" w:cs="Arial"/>
          <w:noProof/>
          <w:lang w:val="en-US"/>
        </w:rPr>
      </w:pPr>
      <w:r w:rsidRPr="00717575">
        <w:rPr>
          <w:rFonts w:ascii="Arial" w:hAnsi="Arial" w:cs="Arial"/>
          <w:noProof/>
        </w:rPr>
        <w:lastRenderedPageBreak/>
        <w:drawing>
          <wp:anchor distT="0" distB="0" distL="114300" distR="114300" simplePos="0" relativeHeight="251659264" behindDoc="1" locked="0" layoutInCell="1" allowOverlap="1">
            <wp:simplePos x="0" y="0"/>
            <wp:positionH relativeFrom="margin">
              <wp:posOffset>-643890</wp:posOffset>
            </wp:positionH>
            <wp:positionV relativeFrom="paragraph">
              <wp:posOffset>182880</wp:posOffset>
            </wp:positionV>
            <wp:extent cx="6379845" cy="4572000"/>
            <wp:effectExtent l="0" t="0" r="1905" b="0"/>
            <wp:wrapTight wrapText="bothSides">
              <wp:wrapPolygon edited="0">
                <wp:start x="0" y="0"/>
                <wp:lineTo x="0" y="21510"/>
                <wp:lineTo x="21542" y="21510"/>
                <wp:lineTo x="21542" y="0"/>
                <wp:lineTo x="0" y="0"/>
              </wp:wrapPolygon>
            </wp:wrapTight>
            <wp:docPr id="4" name="Picture 4" descr="C:\Users\pantazi\AppData\Local\Microsoft\Windows\INetCache\Content.Word\Supplementary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ntazi\AppData\Local\Microsoft\Windows\INetCache\Content.Word\Supplementary 3.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66" r="29195" b="17463"/>
                    <a:stretch/>
                  </pic:blipFill>
                  <pic:spPr bwMode="auto">
                    <a:xfrm>
                      <a:off x="0" y="0"/>
                      <a:ext cx="6379845" cy="457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7575">
        <w:rPr>
          <w:rFonts w:ascii="Arial" w:hAnsi="Arial" w:cs="Arial"/>
          <w:noProof/>
          <w:lang w:val="en-US"/>
        </w:rPr>
        <w:softHyphen/>
      </w:r>
      <w:r w:rsidRPr="00717575">
        <w:rPr>
          <w:rFonts w:ascii="Arial" w:hAnsi="Arial" w:cs="Arial"/>
          <w:noProof/>
          <w:lang w:val="en-US"/>
        </w:rPr>
        <w:softHyphen/>
      </w:r>
      <w:r w:rsidRPr="00717575">
        <w:rPr>
          <w:rFonts w:ascii="Arial" w:hAnsi="Arial" w:cs="Arial"/>
          <w:noProof/>
          <w:lang w:val="en-US"/>
        </w:rPr>
        <w:softHyphen/>
      </w:r>
      <w:r w:rsidRPr="00717575">
        <w:rPr>
          <w:rFonts w:ascii="Arial" w:hAnsi="Arial" w:cs="Arial"/>
          <w:noProof/>
          <w:lang w:val="en-US"/>
        </w:rPr>
        <w:softHyphen/>
      </w:r>
      <w:r w:rsidRPr="00717575">
        <w:rPr>
          <w:rFonts w:ascii="Arial" w:hAnsi="Arial" w:cs="Arial"/>
          <w:noProof/>
          <w:lang w:val="en-US"/>
        </w:rPr>
        <w:softHyphen/>
      </w:r>
      <w:r w:rsidRPr="00717575">
        <w:rPr>
          <w:rFonts w:ascii="Arial" w:hAnsi="Arial" w:cs="Arial"/>
          <w:noProof/>
          <w:lang w:val="en-US"/>
        </w:rPr>
        <w:softHyphen/>
      </w:r>
    </w:p>
    <w:p w:rsidR="003470E7" w:rsidRPr="00717575" w:rsidRDefault="003470E7" w:rsidP="001701B3">
      <w:pPr>
        <w:spacing w:line="480" w:lineRule="auto"/>
        <w:jc w:val="both"/>
        <w:rPr>
          <w:rFonts w:ascii="Arial" w:hAnsi="Arial" w:cs="Arial"/>
          <w:noProof/>
          <w:lang w:val="en-US"/>
        </w:rPr>
      </w:pPr>
    </w:p>
    <w:p w:rsidR="003470E7" w:rsidRPr="00717575" w:rsidRDefault="003470E7" w:rsidP="001701B3">
      <w:pPr>
        <w:spacing w:line="480" w:lineRule="auto"/>
        <w:jc w:val="both"/>
        <w:rPr>
          <w:rFonts w:ascii="Arial" w:hAnsi="Arial" w:cs="Arial"/>
          <w:noProof/>
          <w:lang w:val="en-US"/>
        </w:rPr>
      </w:pPr>
    </w:p>
    <w:p w:rsidR="003470E7" w:rsidRPr="00717575" w:rsidRDefault="003470E7" w:rsidP="001701B3">
      <w:pPr>
        <w:spacing w:line="480" w:lineRule="auto"/>
        <w:jc w:val="both"/>
        <w:rPr>
          <w:rFonts w:ascii="Arial" w:hAnsi="Arial" w:cs="Arial"/>
          <w:lang w:val="en-US"/>
        </w:rPr>
      </w:pPr>
      <w:r w:rsidRPr="00717575">
        <w:rPr>
          <w:rFonts w:ascii="Arial" w:hAnsi="Arial" w:cs="Arial"/>
          <w:b/>
          <w:lang w:val="en-US"/>
        </w:rPr>
        <w:t xml:space="preserve">Figure S5. </w:t>
      </w:r>
      <w:r w:rsidRPr="00717575">
        <w:rPr>
          <w:rFonts w:ascii="Arial" w:hAnsi="Arial" w:cs="Arial"/>
          <w:lang w:val="en-US"/>
        </w:rPr>
        <w:t xml:space="preserve">Valvular regurgitation detected in Tg197 animals by echocardiographic screening. Representative examples of aortic valve </w:t>
      </w:r>
      <w:r w:rsidRPr="00717575">
        <w:rPr>
          <w:rFonts w:ascii="Arial" w:hAnsi="Arial" w:cs="Arial"/>
          <w:b/>
          <w:lang w:val="en-US"/>
        </w:rPr>
        <w:t xml:space="preserve">(A) </w:t>
      </w:r>
      <w:r w:rsidRPr="00717575">
        <w:rPr>
          <w:rFonts w:ascii="Arial" w:hAnsi="Arial" w:cs="Arial"/>
          <w:lang w:val="en-US"/>
        </w:rPr>
        <w:t xml:space="preserve">and mitral valve </w:t>
      </w:r>
      <w:r w:rsidRPr="00717575">
        <w:rPr>
          <w:rFonts w:ascii="Arial" w:hAnsi="Arial" w:cs="Arial"/>
          <w:b/>
          <w:lang w:val="en-US"/>
        </w:rPr>
        <w:t xml:space="preserve">(B) </w:t>
      </w:r>
      <w:r w:rsidRPr="00717575">
        <w:rPr>
          <w:rFonts w:ascii="Arial" w:hAnsi="Arial" w:cs="Arial"/>
          <w:lang w:val="en-US"/>
        </w:rPr>
        <w:t>regurgitation observed in Tg197 animals at 12 weeks of age (arrows indicate the normal and the backward blood flow in healthy WT and Tg197 animals)</w:t>
      </w:r>
    </w:p>
    <w:p w:rsidR="003470E7" w:rsidRPr="00717575" w:rsidRDefault="003470E7" w:rsidP="001701B3">
      <w:pPr>
        <w:spacing w:line="480" w:lineRule="auto"/>
        <w:jc w:val="both"/>
        <w:rPr>
          <w:rFonts w:ascii="Arial" w:hAnsi="Arial" w:cs="Arial"/>
          <w:lang w:val="en-US"/>
        </w:rPr>
      </w:pPr>
    </w:p>
    <w:p w:rsidR="003470E7" w:rsidRPr="00717575" w:rsidRDefault="003470E7" w:rsidP="001701B3">
      <w:pPr>
        <w:spacing w:line="480" w:lineRule="auto"/>
        <w:jc w:val="both"/>
        <w:rPr>
          <w:rFonts w:ascii="Arial" w:hAnsi="Arial" w:cs="Arial"/>
          <w:lang w:val="en-US"/>
        </w:rPr>
      </w:pPr>
    </w:p>
    <w:p w:rsidR="003470E7" w:rsidRPr="00717575" w:rsidRDefault="003470E7" w:rsidP="001701B3">
      <w:pPr>
        <w:spacing w:line="480" w:lineRule="auto"/>
        <w:jc w:val="both"/>
        <w:rPr>
          <w:rFonts w:ascii="Arial" w:hAnsi="Arial" w:cs="Arial"/>
          <w:lang w:val="en-US"/>
        </w:rPr>
      </w:pPr>
    </w:p>
    <w:p w:rsidR="003470E7" w:rsidRPr="00717575" w:rsidRDefault="003470E7" w:rsidP="001701B3">
      <w:pPr>
        <w:spacing w:line="480" w:lineRule="auto"/>
        <w:jc w:val="both"/>
        <w:rPr>
          <w:rFonts w:ascii="Arial" w:hAnsi="Arial" w:cs="Arial"/>
          <w:lang w:val="en-US"/>
        </w:rPr>
      </w:pPr>
    </w:p>
    <w:p w:rsidR="003470E7" w:rsidRPr="00717575" w:rsidRDefault="003470E7" w:rsidP="001701B3">
      <w:pPr>
        <w:spacing w:line="480" w:lineRule="auto"/>
        <w:jc w:val="both"/>
        <w:rPr>
          <w:rFonts w:ascii="Arial" w:hAnsi="Arial" w:cs="Arial"/>
          <w:lang w:val="en-US"/>
        </w:rPr>
      </w:pPr>
      <w:r w:rsidRPr="00717575">
        <w:rPr>
          <w:rFonts w:ascii="Arial" w:hAnsi="Arial" w:cs="Arial"/>
        </w:rPr>
        <w:object w:dxaOrig="7641" w:dyaOrig="4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9pt;height:214.25pt" o:ole="">
            <v:imagedata r:id="rId9" o:title=""/>
          </v:shape>
          <o:OLEObject Type="Embed" ProgID="Prism6.Document" ShapeID="_x0000_i1025" DrawAspect="Content" ObjectID="_1576068833" r:id="rId10"/>
        </w:object>
      </w:r>
    </w:p>
    <w:p w:rsidR="003470E7" w:rsidRPr="00717575" w:rsidRDefault="003470E7">
      <w:pPr>
        <w:rPr>
          <w:rFonts w:ascii="Arial" w:hAnsi="Arial" w:cs="Arial"/>
          <w:lang w:val="en-US"/>
        </w:rPr>
      </w:pPr>
    </w:p>
    <w:p w:rsidR="003470E7" w:rsidRPr="00717575" w:rsidRDefault="003470E7" w:rsidP="001701B3">
      <w:pPr>
        <w:spacing w:line="480" w:lineRule="auto"/>
        <w:jc w:val="both"/>
        <w:rPr>
          <w:rFonts w:ascii="Arial" w:hAnsi="Arial" w:cs="Arial"/>
          <w:lang w:val="en-US"/>
        </w:rPr>
      </w:pPr>
      <w:r w:rsidRPr="00926D29">
        <w:rPr>
          <w:rFonts w:ascii="Arial" w:hAnsi="Arial" w:cs="Arial"/>
          <w:b/>
          <w:lang w:val="en-US"/>
        </w:rPr>
        <w:t xml:space="preserve">Figure S6. </w:t>
      </w:r>
      <w:r w:rsidRPr="00926D29">
        <w:rPr>
          <w:rFonts w:ascii="Arial" w:hAnsi="Arial" w:cs="Arial"/>
          <w:lang w:val="en-US"/>
        </w:rPr>
        <w:t>Kaplan Meier survival curve of WT and Tg197 mice. Representative survival curve (n=20) showing the premature mortality observed in Tg197 animals. (The experiment was terminated when mortality was over 50% due to ethical concerns).</w:t>
      </w:r>
    </w:p>
    <w:p w:rsidR="003470E7" w:rsidRPr="00717575" w:rsidRDefault="003470E7">
      <w:pPr>
        <w:rPr>
          <w:rFonts w:ascii="Arial" w:hAnsi="Arial" w:cs="Arial"/>
          <w:lang w:val="en-US"/>
        </w:rPr>
      </w:pPr>
      <w:r w:rsidRPr="00717575">
        <w:rPr>
          <w:rFonts w:ascii="Arial" w:hAnsi="Arial" w:cs="Arial"/>
          <w:lang w:val="en-US"/>
        </w:rPr>
        <w:br w:type="page"/>
      </w:r>
    </w:p>
    <w:p w:rsidR="003470E7" w:rsidRPr="00717575" w:rsidRDefault="003470E7" w:rsidP="001701B3">
      <w:pPr>
        <w:spacing w:line="480" w:lineRule="auto"/>
        <w:jc w:val="both"/>
        <w:rPr>
          <w:rFonts w:ascii="Arial" w:hAnsi="Arial" w:cs="Arial"/>
          <w:lang w:val="en-US"/>
        </w:rPr>
      </w:pPr>
      <w:r w:rsidRPr="00717575">
        <w:rPr>
          <w:rFonts w:ascii="Arial" w:hAnsi="Arial" w:cs="Arial"/>
          <w:noProof/>
        </w:rPr>
        <w:lastRenderedPageBreak/>
        <w:drawing>
          <wp:anchor distT="0" distB="0" distL="114300" distR="114300" simplePos="0" relativeHeight="251660288" behindDoc="1" locked="0" layoutInCell="1" allowOverlap="1">
            <wp:simplePos x="0" y="0"/>
            <wp:positionH relativeFrom="margin">
              <wp:posOffset>-906145</wp:posOffset>
            </wp:positionH>
            <wp:positionV relativeFrom="paragraph">
              <wp:posOffset>57150</wp:posOffset>
            </wp:positionV>
            <wp:extent cx="7081520" cy="4312920"/>
            <wp:effectExtent l="0" t="0" r="5080" b="0"/>
            <wp:wrapTight wrapText="bothSides">
              <wp:wrapPolygon edited="0">
                <wp:start x="0" y="0"/>
                <wp:lineTo x="0" y="21466"/>
                <wp:lineTo x="21557" y="21466"/>
                <wp:lineTo x="21557" y="0"/>
                <wp:lineTo x="0" y="0"/>
              </wp:wrapPolygon>
            </wp:wrapTight>
            <wp:docPr id="5" name="Picture 5" descr="C:\Users\pantazi\AppData\Local\Microsoft\Windows\INetCache\Content.Word\Supplementary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ntazi\AppData\Local\Microsoft\Windows\INetCache\Content.Word\Supplementary 5.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81520" cy="4312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70E7" w:rsidRPr="00717575" w:rsidRDefault="003470E7" w:rsidP="001701B3">
      <w:pPr>
        <w:spacing w:line="480" w:lineRule="auto"/>
        <w:jc w:val="both"/>
        <w:rPr>
          <w:rFonts w:ascii="Arial" w:hAnsi="Arial" w:cs="Arial"/>
          <w:b/>
          <w:lang w:val="en-US"/>
        </w:rPr>
      </w:pPr>
    </w:p>
    <w:p w:rsidR="003470E7" w:rsidRPr="00717575" w:rsidRDefault="003470E7" w:rsidP="001701B3">
      <w:pPr>
        <w:spacing w:line="480" w:lineRule="auto"/>
        <w:jc w:val="both"/>
        <w:rPr>
          <w:rFonts w:ascii="Arial" w:hAnsi="Arial" w:cs="Arial"/>
          <w:b/>
          <w:lang w:val="en-US"/>
        </w:rPr>
      </w:pPr>
    </w:p>
    <w:p w:rsidR="003470E7" w:rsidRPr="00717575" w:rsidRDefault="003470E7" w:rsidP="001701B3">
      <w:pPr>
        <w:spacing w:line="480" w:lineRule="auto"/>
        <w:jc w:val="both"/>
        <w:rPr>
          <w:rFonts w:ascii="Arial" w:hAnsi="Arial" w:cs="Arial"/>
          <w:b/>
          <w:lang w:val="en-US"/>
        </w:rPr>
      </w:pPr>
    </w:p>
    <w:p w:rsidR="003470E7" w:rsidRPr="00717575" w:rsidRDefault="003470E7" w:rsidP="001701B3">
      <w:pPr>
        <w:spacing w:line="480" w:lineRule="auto"/>
        <w:jc w:val="both"/>
        <w:rPr>
          <w:rFonts w:ascii="Arial" w:hAnsi="Arial" w:cs="Arial"/>
          <w:b/>
          <w:lang w:val="en-US"/>
        </w:rPr>
      </w:pPr>
      <w:r w:rsidRPr="00717575">
        <w:rPr>
          <w:rFonts w:ascii="Arial" w:hAnsi="Arial" w:cs="Arial"/>
          <w:b/>
          <w:lang w:val="en-US"/>
        </w:rPr>
        <w:t xml:space="preserve">Figure S7. </w:t>
      </w:r>
      <w:r w:rsidRPr="00717575">
        <w:rPr>
          <w:rFonts w:ascii="Arial" w:hAnsi="Arial" w:cs="Arial"/>
          <w:lang w:val="en-US"/>
        </w:rPr>
        <w:t xml:space="preserve">Further functional enrichment analysis of the overlapping upregulated/downregulated genes in Tg197 VICs and SFs isolated at 8 weeks of age </w:t>
      </w:r>
      <w:r w:rsidRPr="00717575">
        <w:rPr>
          <w:rFonts w:ascii="Arial" w:hAnsi="Arial" w:cs="Arial"/>
          <w:b/>
          <w:lang w:val="en-US"/>
        </w:rPr>
        <w:t>(A, B)</w:t>
      </w:r>
      <w:r w:rsidRPr="00717575">
        <w:rPr>
          <w:rFonts w:ascii="Arial" w:hAnsi="Arial" w:cs="Arial"/>
          <w:lang w:val="en-US"/>
        </w:rPr>
        <w:t xml:space="preserve"> Pathways enriched in the overlapping significantly upregulated </w:t>
      </w:r>
      <w:r w:rsidRPr="00717575">
        <w:rPr>
          <w:rFonts w:ascii="Arial" w:hAnsi="Arial" w:cs="Arial"/>
          <w:b/>
          <w:lang w:val="en-US"/>
        </w:rPr>
        <w:t xml:space="preserve">(A) </w:t>
      </w:r>
      <w:r w:rsidRPr="00717575">
        <w:rPr>
          <w:rFonts w:ascii="Arial" w:hAnsi="Arial" w:cs="Arial"/>
          <w:lang w:val="en-US"/>
        </w:rPr>
        <w:t xml:space="preserve">and downregulated </w:t>
      </w:r>
      <w:r w:rsidRPr="00717575">
        <w:rPr>
          <w:rFonts w:ascii="Arial" w:hAnsi="Arial" w:cs="Arial"/>
          <w:b/>
          <w:lang w:val="en-US"/>
        </w:rPr>
        <w:t xml:space="preserve">(B) </w:t>
      </w:r>
      <w:r w:rsidRPr="00717575">
        <w:rPr>
          <w:rFonts w:ascii="Arial" w:hAnsi="Arial" w:cs="Arial"/>
          <w:lang w:val="en-US"/>
        </w:rPr>
        <w:t xml:space="preserve">DEGs in Tg197 VICs and SFs. </w:t>
      </w:r>
      <w:r w:rsidRPr="00717575">
        <w:rPr>
          <w:rFonts w:ascii="Arial" w:hAnsi="Arial" w:cs="Arial"/>
          <w:b/>
          <w:lang w:val="en-US"/>
        </w:rPr>
        <w:t xml:space="preserve">(C) </w:t>
      </w:r>
      <w:r w:rsidRPr="00717575">
        <w:rPr>
          <w:rFonts w:ascii="Arial" w:hAnsi="Arial" w:cs="Arial"/>
          <w:lang w:val="en-US"/>
        </w:rPr>
        <w:t>Extended alluvial diagram which illustrates KEGG pathways in VICs and SFs alone as well as the overlapping KEGG pathways in Tg197 VICs and SFs, grouped according to their KEGG broader categories.</w:t>
      </w:r>
    </w:p>
    <w:p w:rsidR="003470E7" w:rsidRPr="00717575" w:rsidRDefault="003470E7">
      <w:pPr>
        <w:rPr>
          <w:rFonts w:ascii="Arial" w:hAnsi="Arial" w:cs="Arial"/>
          <w:b/>
          <w:lang w:val="en-US"/>
        </w:rPr>
      </w:pPr>
    </w:p>
    <w:p w:rsidR="003470E7" w:rsidRPr="00717575" w:rsidRDefault="003470E7">
      <w:pPr>
        <w:rPr>
          <w:rFonts w:ascii="Arial" w:hAnsi="Arial" w:cs="Arial"/>
          <w:b/>
          <w:lang w:val="en-US"/>
        </w:rPr>
      </w:pPr>
    </w:p>
    <w:p w:rsidR="003470E7" w:rsidRPr="00717575" w:rsidRDefault="003470E7">
      <w:pPr>
        <w:rPr>
          <w:rFonts w:ascii="Arial" w:hAnsi="Arial" w:cs="Arial"/>
          <w:b/>
          <w:lang w:val="en-US"/>
        </w:rPr>
      </w:pPr>
    </w:p>
    <w:p w:rsidR="003470E7" w:rsidRPr="00717575" w:rsidRDefault="003470E7">
      <w:pPr>
        <w:rPr>
          <w:rFonts w:ascii="Arial" w:hAnsi="Arial" w:cs="Arial"/>
          <w:b/>
          <w:lang w:val="en-US"/>
        </w:rPr>
      </w:pPr>
      <w:r w:rsidRPr="00717575">
        <w:rPr>
          <w:rFonts w:ascii="Arial" w:hAnsi="Arial" w:cs="Arial"/>
          <w:noProof/>
        </w:rPr>
        <w:drawing>
          <wp:anchor distT="0" distB="0" distL="114300" distR="114300" simplePos="0" relativeHeight="251661312" behindDoc="1" locked="0" layoutInCell="1" allowOverlap="1">
            <wp:simplePos x="0" y="0"/>
            <wp:positionH relativeFrom="margin">
              <wp:posOffset>279978</wp:posOffset>
            </wp:positionH>
            <wp:positionV relativeFrom="paragraph">
              <wp:posOffset>105088</wp:posOffset>
            </wp:positionV>
            <wp:extent cx="4607560" cy="4803775"/>
            <wp:effectExtent l="0" t="0" r="2540" b="0"/>
            <wp:wrapTight wrapText="bothSides">
              <wp:wrapPolygon edited="0">
                <wp:start x="0" y="0"/>
                <wp:lineTo x="0" y="21500"/>
                <wp:lineTo x="21523" y="21500"/>
                <wp:lineTo x="21523" y="0"/>
                <wp:lineTo x="0" y="0"/>
              </wp:wrapPolygon>
            </wp:wrapTight>
            <wp:docPr id="6" name="Picture 6" descr="C:\Users\pantazi\AppData\Local\Microsoft\Windows\INetCache\Content.Word\Suppplementary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ntazi\AppData\Local\Microsoft\Windows\INetCache\Content.Word\Suppplementary 4.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273" r="44726"/>
                    <a:stretch/>
                  </pic:blipFill>
                  <pic:spPr bwMode="auto">
                    <a:xfrm>
                      <a:off x="0" y="0"/>
                      <a:ext cx="4607560" cy="4803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70E7" w:rsidRPr="00717575" w:rsidRDefault="003470E7" w:rsidP="0054279B">
      <w:pPr>
        <w:rPr>
          <w:rFonts w:ascii="Arial" w:hAnsi="Arial" w:cs="Arial"/>
          <w:b/>
          <w:lang w:val="en-US"/>
        </w:rPr>
      </w:pPr>
    </w:p>
    <w:p w:rsidR="003470E7" w:rsidRPr="00717575" w:rsidRDefault="003470E7" w:rsidP="001701B3">
      <w:pPr>
        <w:spacing w:line="480" w:lineRule="auto"/>
        <w:jc w:val="both"/>
        <w:rPr>
          <w:rFonts w:ascii="Arial" w:hAnsi="Arial" w:cs="Arial"/>
          <w:b/>
          <w:lang w:val="en-US"/>
        </w:rPr>
      </w:pPr>
    </w:p>
    <w:p w:rsidR="003470E7" w:rsidRPr="00717575" w:rsidRDefault="003470E7" w:rsidP="001701B3">
      <w:pPr>
        <w:spacing w:line="480" w:lineRule="auto"/>
        <w:jc w:val="both"/>
        <w:rPr>
          <w:rFonts w:ascii="Arial" w:hAnsi="Arial" w:cs="Arial"/>
          <w:b/>
          <w:lang w:val="en-US"/>
        </w:rPr>
      </w:pPr>
    </w:p>
    <w:p w:rsidR="003470E7" w:rsidRPr="00717575" w:rsidRDefault="003470E7" w:rsidP="001701B3">
      <w:pPr>
        <w:spacing w:line="480" w:lineRule="auto"/>
        <w:jc w:val="both"/>
        <w:rPr>
          <w:rFonts w:ascii="Arial" w:hAnsi="Arial" w:cs="Arial"/>
          <w:b/>
          <w:lang w:val="en-US"/>
        </w:rPr>
      </w:pPr>
    </w:p>
    <w:p w:rsidR="003470E7" w:rsidRPr="00717575" w:rsidRDefault="003470E7" w:rsidP="001701B3">
      <w:pPr>
        <w:spacing w:line="480" w:lineRule="auto"/>
        <w:jc w:val="both"/>
        <w:rPr>
          <w:rFonts w:ascii="Arial" w:hAnsi="Arial" w:cs="Arial"/>
          <w:b/>
          <w:lang w:val="en-US"/>
        </w:rPr>
      </w:pPr>
    </w:p>
    <w:p w:rsidR="003470E7" w:rsidRPr="00717575" w:rsidRDefault="003470E7" w:rsidP="001701B3">
      <w:pPr>
        <w:spacing w:line="480" w:lineRule="auto"/>
        <w:jc w:val="both"/>
        <w:rPr>
          <w:rFonts w:ascii="Arial" w:hAnsi="Arial" w:cs="Arial"/>
          <w:b/>
          <w:lang w:val="en-US"/>
        </w:rPr>
      </w:pPr>
    </w:p>
    <w:p w:rsidR="003470E7" w:rsidRPr="00717575" w:rsidRDefault="003470E7" w:rsidP="001701B3">
      <w:pPr>
        <w:spacing w:line="480" w:lineRule="auto"/>
        <w:jc w:val="both"/>
        <w:rPr>
          <w:rFonts w:ascii="Arial" w:hAnsi="Arial" w:cs="Arial"/>
          <w:b/>
          <w:lang w:val="en-US"/>
        </w:rPr>
      </w:pPr>
    </w:p>
    <w:p w:rsidR="003470E7" w:rsidRPr="00717575" w:rsidRDefault="003470E7" w:rsidP="001701B3">
      <w:pPr>
        <w:spacing w:line="480" w:lineRule="auto"/>
        <w:jc w:val="both"/>
        <w:rPr>
          <w:rFonts w:ascii="Arial" w:hAnsi="Arial" w:cs="Arial"/>
          <w:b/>
          <w:lang w:val="en-US"/>
        </w:rPr>
      </w:pPr>
    </w:p>
    <w:p w:rsidR="003470E7" w:rsidRPr="00717575" w:rsidRDefault="003470E7" w:rsidP="001701B3">
      <w:pPr>
        <w:spacing w:line="480" w:lineRule="auto"/>
        <w:jc w:val="both"/>
        <w:rPr>
          <w:rFonts w:ascii="Arial" w:hAnsi="Arial" w:cs="Arial"/>
          <w:b/>
          <w:lang w:val="en-US"/>
        </w:rPr>
      </w:pPr>
    </w:p>
    <w:p w:rsidR="003470E7" w:rsidRPr="00717575" w:rsidRDefault="003470E7" w:rsidP="001701B3">
      <w:pPr>
        <w:spacing w:line="480" w:lineRule="auto"/>
        <w:jc w:val="both"/>
        <w:rPr>
          <w:rFonts w:ascii="Arial" w:hAnsi="Arial" w:cs="Arial"/>
          <w:b/>
          <w:lang w:val="en-US"/>
        </w:rPr>
      </w:pPr>
    </w:p>
    <w:p w:rsidR="003470E7" w:rsidRPr="00717575" w:rsidRDefault="003470E7" w:rsidP="001701B3">
      <w:pPr>
        <w:spacing w:line="480" w:lineRule="auto"/>
        <w:jc w:val="both"/>
        <w:rPr>
          <w:rFonts w:ascii="Arial" w:hAnsi="Arial" w:cs="Arial"/>
          <w:b/>
          <w:lang w:val="en-US"/>
        </w:rPr>
      </w:pPr>
    </w:p>
    <w:p w:rsidR="003470E7" w:rsidRPr="00717575" w:rsidRDefault="003470E7" w:rsidP="001701B3">
      <w:pPr>
        <w:spacing w:line="480" w:lineRule="auto"/>
        <w:jc w:val="both"/>
        <w:rPr>
          <w:rFonts w:ascii="Arial" w:hAnsi="Arial" w:cs="Arial"/>
          <w:b/>
          <w:lang w:val="en-US"/>
        </w:rPr>
      </w:pPr>
    </w:p>
    <w:p w:rsidR="003470E7" w:rsidRPr="00717575" w:rsidRDefault="003470E7" w:rsidP="001701B3">
      <w:pPr>
        <w:spacing w:line="480" w:lineRule="auto"/>
        <w:jc w:val="both"/>
        <w:rPr>
          <w:rFonts w:ascii="Arial" w:hAnsi="Arial" w:cs="Arial"/>
          <w:b/>
          <w:lang w:val="en-US"/>
        </w:rPr>
      </w:pPr>
    </w:p>
    <w:p w:rsidR="003470E7" w:rsidRPr="00717575" w:rsidRDefault="003470E7" w:rsidP="001701B3">
      <w:pPr>
        <w:spacing w:line="480" w:lineRule="auto"/>
        <w:jc w:val="both"/>
        <w:rPr>
          <w:rFonts w:ascii="Arial" w:hAnsi="Arial" w:cs="Arial"/>
          <w:lang w:val="en-US"/>
        </w:rPr>
      </w:pPr>
      <w:r w:rsidRPr="00717575">
        <w:rPr>
          <w:rFonts w:ascii="Arial" w:hAnsi="Arial" w:cs="Arial"/>
          <w:b/>
          <w:lang w:val="en-US"/>
        </w:rPr>
        <w:t>Figure S8</w:t>
      </w:r>
      <w:r w:rsidRPr="00717575">
        <w:rPr>
          <w:rFonts w:ascii="Arial" w:hAnsi="Arial" w:cs="Arial"/>
          <w:lang w:val="en-US"/>
        </w:rPr>
        <w:t xml:space="preserve">. TgA86 SpA model develops </w:t>
      </w:r>
      <w:r w:rsidRPr="00717575">
        <w:rPr>
          <w:rFonts w:ascii="Arial" w:hAnsi="Arial" w:cs="Arial"/>
          <w:bCs/>
          <w:color w:val="000000" w:themeColor="text1"/>
          <w:lang w:val="en-US"/>
        </w:rPr>
        <w:t>TNF-dependent l</w:t>
      </w:r>
      <w:r w:rsidRPr="00717575">
        <w:rPr>
          <w:rFonts w:ascii="Arial" w:hAnsi="Arial" w:cs="Arial"/>
          <w:lang w:val="en-US"/>
        </w:rPr>
        <w:t>eft-sided heart valve pathology. Representative images of H&amp;E- and Masson’s Trichrome-stained transverse heart sections showing the aortic valve of TgA86 animals at 15 weeks, treated with vehicle or prophylactic anti-TNF treatment (from 4th-15th week of age) (Scale bar, 400</w:t>
      </w:r>
      <w:r w:rsidRPr="00717575">
        <w:rPr>
          <w:rFonts w:ascii="Arial" w:hAnsi="Arial" w:cs="Arial"/>
        </w:rPr>
        <w:t>μ</w:t>
      </w:r>
      <w:r w:rsidRPr="00717575">
        <w:rPr>
          <w:rFonts w:ascii="Arial" w:hAnsi="Arial" w:cs="Arial"/>
          <w:lang w:val="en-US"/>
        </w:rPr>
        <w:t>m).</w:t>
      </w:r>
    </w:p>
    <w:p w:rsidR="003470E7" w:rsidRPr="00717575" w:rsidRDefault="003470E7">
      <w:pPr>
        <w:rPr>
          <w:rFonts w:ascii="Arial" w:hAnsi="Arial" w:cs="Arial"/>
          <w:b/>
          <w:lang w:val="en-US"/>
        </w:rPr>
      </w:pPr>
    </w:p>
    <w:p w:rsidR="002E7E93" w:rsidRDefault="002E7E93"/>
    <w:sectPr w:rsidR="002E7E9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43" w:usb2="00000009" w:usb3="00000000" w:csb0="000001FF" w:csb1="00000000"/>
  </w:font>
  <w:font w:name="Calibri Light">
    <w:panose1 w:val="020F0302020204030204"/>
    <w:charset w:val="A1"/>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3470E7"/>
    <w:rsid w:val="002E7E93"/>
    <w:rsid w:val="003470E7"/>
    <w:rsid w:val="007074BE"/>
    <w:rsid w:val="00F110C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5724BA-3187-4E11-A762-8CD9EE724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70E7"/>
  </w:style>
  <w:style w:type="character" w:default="1" w:styleId="DefaultParagraphFont">
    <w:name w:val="Default Paragraph Font"/>
    <w:uiPriority w:val="1"/>
    <w:semiHidden/>
    <w:unhideWhenUsed/>
    <w:rsid w:val="003470E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470E7"/>
  </w:style>
  <w:style w:type="paragraph" w:customStyle="1" w:styleId="EndNoteBibliographyTitle">
    <w:name w:val="EndNote Bibliography Title"/>
    <w:basedOn w:val="Normal"/>
    <w:link w:val="EndNoteBibliographyTitleChar"/>
    <w:rsid w:val="003470E7"/>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3470E7"/>
    <w:rPr>
      <w:rFonts w:ascii="Calibri" w:hAnsi="Calibri" w:cs="Calibri"/>
      <w:noProof/>
      <w:lang w:val="en-US"/>
    </w:rPr>
  </w:style>
  <w:style w:type="paragraph" w:customStyle="1" w:styleId="EndNoteBibliography">
    <w:name w:val="EndNote Bibliography"/>
    <w:basedOn w:val="Normal"/>
    <w:link w:val="EndNoteBibliographyChar"/>
    <w:rsid w:val="003470E7"/>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3470E7"/>
    <w:rPr>
      <w:rFonts w:ascii="Calibri" w:hAnsi="Calibri" w:cs="Calibri"/>
      <w:noProof/>
      <w:lang w:val="en-US"/>
    </w:rPr>
  </w:style>
  <w:style w:type="character" w:styleId="Hyperlink">
    <w:name w:val="Hyperlink"/>
    <w:basedOn w:val="DefaultParagraphFont"/>
    <w:uiPriority w:val="99"/>
    <w:unhideWhenUsed/>
    <w:rsid w:val="003470E7"/>
    <w:rPr>
      <w:color w:val="0563C1" w:themeColor="hyperlink"/>
      <w:u w:val="single"/>
    </w:rPr>
  </w:style>
  <w:style w:type="character" w:styleId="UnresolvedMention">
    <w:name w:val="Unresolved Mention"/>
    <w:basedOn w:val="DefaultParagraphFont"/>
    <w:uiPriority w:val="99"/>
    <w:semiHidden/>
    <w:unhideWhenUsed/>
    <w:rsid w:val="003470E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image" Target="media/image8.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tiff"/><Relationship Id="rId5" Type="http://schemas.openxmlformats.org/officeDocument/2006/relationships/image" Target="media/image2.jpeg"/><Relationship Id="rId10" Type="http://schemas.openxmlformats.org/officeDocument/2006/relationships/oleObject" Target="embeddings/oleObject1.bin"/><Relationship Id="rId4" Type="http://schemas.openxmlformats.org/officeDocument/2006/relationships/image" Target="media/image1.jpeg"/><Relationship Id="rId9" Type="http://schemas.openxmlformats.org/officeDocument/2006/relationships/image" Target="media/image6.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2049</Words>
  <Characters>11065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Ntari</dc:creator>
  <cp:keywords/>
  <dc:description/>
  <cp:lastModifiedBy>Lydia Ntari</cp:lastModifiedBy>
  <cp:revision>2</cp:revision>
  <dcterms:created xsi:type="dcterms:W3CDTF">2017-12-29T14:07:00Z</dcterms:created>
  <dcterms:modified xsi:type="dcterms:W3CDTF">2017-12-29T14:07:00Z</dcterms:modified>
</cp:coreProperties>
</file>