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0E" w:rsidRDefault="001C03D6">
      <w:pPr>
        <w:spacing w:after="0" w:line="480" w:lineRule="auto"/>
        <w:jc w:val="both"/>
        <w:rPr>
          <w:rFonts w:ascii="TimesNewRomanPSMT" w:hAnsi="TimesNewRomanPSMT" w:cs="TimesNewRomanPSMT"/>
          <w:b/>
          <w:sz w:val="24"/>
          <w:szCs w:val="24"/>
          <w:lang w:val="en-GB"/>
        </w:rPr>
      </w:pPr>
      <w:r>
        <w:rPr>
          <w:rFonts w:ascii="TimesNewRomanPSMT" w:hAnsi="TimesNewRomanPSMT" w:cs="TimesNewRomanPSMT"/>
          <w:b/>
          <w:sz w:val="24"/>
          <w:szCs w:val="24"/>
          <w:lang w:val="en-GB"/>
        </w:rPr>
        <w:t>Supplementary table 1. Subgroup analysis for</w:t>
      </w:r>
      <w:r w:rsidR="00A60D21"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 the</w:t>
      </w:r>
      <w:r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 change from baseline in DAS28-ESR at week 24</w:t>
      </w:r>
      <w:bookmarkStart w:id="0" w:name="_GoBack"/>
      <w:bookmarkEnd w:id="0"/>
    </w:p>
    <w:tbl>
      <w:tblPr>
        <w:tblStyle w:val="ae"/>
        <w:tblW w:w="9951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09"/>
        <w:gridCol w:w="2410"/>
        <w:gridCol w:w="851"/>
        <w:gridCol w:w="2471"/>
      </w:tblGrid>
      <w:tr w:rsidR="00044928" w:rsidRPr="00F85CA2" w:rsidTr="00D44011">
        <w:trPr>
          <w:trHeight w:val="587"/>
        </w:trPr>
        <w:tc>
          <w:tcPr>
            <w:tcW w:w="3510" w:type="dxa"/>
            <w:gridSpan w:val="2"/>
            <w:vMerge w:val="restart"/>
          </w:tcPr>
          <w:p w:rsidR="00044928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LBE</w:t>
            </w:r>
            <w:r w:rsidRPr="00F85CA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C0101</w:t>
            </w:r>
          </w:p>
        </w:tc>
        <w:tc>
          <w:tcPr>
            <w:tcW w:w="3322" w:type="dxa"/>
            <w:gridSpan w:val="2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ETN-RP</w:t>
            </w:r>
          </w:p>
        </w:tc>
      </w:tr>
      <w:tr w:rsidR="00044928" w:rsidRPr="00F85CA2" w:rsidTr="00D44011">
        <w:trPr>
          <w:trHeight w:val="555"/>
        </w:trPr>
        <w:tc>
          <w:tcPr>
            <w:tcW w:w="3510" w:type="dxa"/>
            <w:gridSpan w:val="2"/>
            <w:vMerge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5CA2"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2410" w:type="dxa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5CA2"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>Mean</w:t>
            </w:r>
            <w:r w:rsidR="00A60D21"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F85CA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±</w:t>
            </w:r>
            <w:r w:rsidR="00A60D2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>SD</w:t>
            </w:r>
          </w:p>
        </w:tc>
        <w:tc>
          <w:tcPr>
            <w:tcW w:w="851" w:type="dxa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5CA2"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2471" w:type="dxa"/>
          </w:tcPr>
          <w:p w:rsidR="00044928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5CA2"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>Mean</w:t>
            </w:r>
            <w:r w:rsidR="00A60D21"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F85CA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±</w:t>
            </w:r>
            <w:r w:rsidR="00A60D2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GB"/>
              </w:rPr>
              <w:t>SD</w:t>
            </w:r>
          </w:p>
        </w:tc>
      </w:tr>
      <w:tr w:rsidR="00044928" w:rsidRPr="00F85CA2" w:rsidTr="008A5F0F">
        <w:tc>
          <w:tcPr>
            <w:tcW w:w="3510" w:type="dxa"/>
            <w:gridSpan w:val="2"/>
          </w:tcPr>
          <w:p w:rsidR="00044928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Overall</w:t>
            </w:r>
          </w:p>
        </w:tc>
        <w:tc>
          <w:tcPr>
            <w:tcW w:w="709" w:type="dxa"/>
            <w:vAlign w:val="center"/>
          </w:tcPr>
          <w:p w:rsidR="00044928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164</w:t>
            </w:r>
          </w:p>
        </w:tc>
        <w:tc>
          <w:tcPr>
            <w:tcW w:w="2410" w:type="dxa"/>
          </w:tcPr>
          <w:p w:rsidR="00044928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2.93</w:t>
            </w:r>
            <w:r w:rsidR="00044928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1.11</w:t>
            </w:r>
          </w:p>
        </w:tc>
        <w:tc>
          <w:tcPr>
            <w:tcW w:w="851" w:type="dxa"/>
            <w:vAlign w:val="center"/>
          </w:tcPr>
          <w:p w:rsidR="00044928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165</w:t>
            </w:r>
          </w:p>
        </w:tc>
        <w:tc>
          <w:tcPr>
            <w:tcW w:w="2471" w:type="dxa"/>
          </w:tcPr>
          <w:p w:rsidR="00044928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2.89</w:t>
            </w:r>
            <w:r w:rsidR="00044928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1.21</w:t>
            </w:r>
          </w:p>
        </w:tc>
      </w:tr>
      <w:tr w:rsidR="0076642C" w:rsidRPr="00F85CA2" w:rsidTr="001C03D6">
        <w:tc>
          <w:tcPr>
            <w:tcW w:w="2376" w:type="dxa"/>
            <w:vMerge w:val="restart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134" w:type="dxa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Japan</w:t>
            </w:r>
          </w:p>
        </w:tc>
        <w:tc>
          <w:tcPr>
            <w:tcW w:w="709" w:type="dxa"/>
            <w:vAlign w:val="center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85</w:t>
            </w:r>
          </w:p>
        </w:tc>
        <w:tc>
          <w:tcPr>
            <w:tcW w:w="2410" w:type="dxa"/>
          </w:tcPr>
          <w:p w:rsidR="0076642C" w:rsidRDefault="0076642C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2.97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1.13</w:t>
            </w:r>
          </w:p>
        </w:tc>
        <w:tc>
          <w:tcPr>
            <w:tcW w:w="851" w:type="dxa"/>
            <w:vAlign w:val="center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86</w:t>
            </w:r>
          </w:p>
        </w:tc>
        <w:tc>
          <w:tcPr>
            <w:tcW w:w="2471" w:type="dxa"/>
          </w:tcPr>
          <w:p w:rsidR="0076642C" w:rsidRDefault="0076642C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C94905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1.21</w:t>
            </w:r>
          </w:p>
        </w:tc>
      </w:tr>
      <w:tr w:rsidR="0076642C" w:rsidRPr="00F85CA2" w:rsidTr="001C03D6">
        <w:tc>
          <w:tcPr>
            <w:tcW w:w="2376" w:type="dxa"/>
            <w:vMerge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Korea</w:t>
            </w:r>
          </w:p>
        </w:tc>
        <w:tc>
          <w:tcPr>
            <w:tcW w:w="709" w:type="dxa"/>
            <w:vAlign w:val="center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79</w:t>
            </w:r>
          </w:p>
        </w:tc>
        <w:tc>
          <w:tcPr>
            <w:tcW w:w="2410" w:type="dxa"/>
          </w:tcPr>
          <w:p w:rsidR="0076642C" w:rsidRDefault="0076642C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1.10</w:t>
            </w:r>
          </w:p>
        </w:tc>
        <w:tc>
          <w:tcPr>
            <w:tcW w:w="851" w:type="dxa"/>
            <w:vAlign w:val="center"/>
          </w:tcPr>
          <w:p w:rsidR="0076642C" w:rsidRDefault="0076642C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79</w:t>
            </w:r>
          </w:p>
        </w:tc>
        <w:tc>
          <w:tcPr>
            <w:tcW w:w="2471" w:type="dxa"/>
          </w:tcPr>
          <w:p w:rsidR="0076642C" w:rsidRDefault="0076642C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2.91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1.23</w:t>
            </w:r>
          </w:p>
        </w:tc>
      </w:tr>
      <w:tr w:rsidR="001C03D6" w:rsidRPr="00F85CA2" w:rsidTr="001C03D6">
        <w:tc>
          <w:tcPr>
            <w:tcW w:w="2376" w:type="dxa"/>
            <w:vMerge w:val="restart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Previous use of a biological DMARD</w:t>
            </w:r>
          </w:p>
        </w:tc>
        <w:tc>
          <w:tcPr>
            <w:tcW w:w="1134" w:type="dxa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28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1C03D6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2.85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1C03D6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1.21</w:t>
            </w:r>
          </w:p>
        </w:tc>
        <w:tc>
          <w:tcPr>
            <w:tcW w:w="851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26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1C03D6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3.28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1C03D6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1.51</w:t>
            </w:r>
          </w:p>
        </w:tc>
      </w:tr>
      <w:tr w:rsidR="001C03D6" w:rsidRPr="00F85CA2" w:rsidTr="001C03D6">
        <w:tc>
          <w:tcPr>
            <w:tcW w:w="2376" w:type="dxa"/>
            <w:vMerge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136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1C03D6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2.95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1C03D6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1.10</w:t>
            </w:r>
          </w:p>
        </w:tc>
        <w:tc>
          <w:tcPr>
            <w:tcW w:w="851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139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1C03D6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2.82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1C03D6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1.14</w:t>
            </w:r>
          </w:p>
        </w:tc>
      </w:tr>
      <w:tr w:rsidR="001C03D6" w:rsidRPr="00F85CA2" w:rsidTr="001C03D6">
        <w:tc>
          <w:tcPr>
            <w:tcW w:w="2376" w:type="dxa"/>
            <w:vMerge w:val="restart"/>
          </w:tcPr>
          <w:p w:rsidR="001C03D6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Baseline DAS28-ESR</w:t>
            </w:r>
          </w:p>
        </w:tc>
        <w:tc>
          <w:tcPr>
            <w:tcW w:w="1134" w:type="dxa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&lt; median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2.56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0.90</w:t>
            </w:r>
          </w:p>
        </w:tc>
        <w:tc>
          <w:tcPr>
            <w:tcW w:w="851" w:type="dxa"/>
            <w:vAlign w:val="center"/>
          </w:tcPr>
          <w:p w:rsidR="001C03D6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2.52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1.02</w:t>
            </w:r>
          </w:p>
        </w:tc>
      </w:tr>
      <w:tr w:rsidR="001C03D6" w:rsidRPr="00F85CA2" w:rsidTr="001C03D6">
        <w:tc>
          <w:tcPr>
            <w:tcW w:w="2376" w:type="dxa"/>
            <w:vMerge/>
          </w:tcPr>
          <w:p w:rsidR="001C03D6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C03D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≥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median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3.41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1.18</w:t>
            </w:r>
          </w:p>
        </w:tc>
        <w:tc>
          <w:tcPr>
            <w:tcW w:w="851" w:type="dxa"/>
            <w:vAlign w:val="center"/>
          </w:tcPr>
          <w:p w:rsidR="001C03D6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3.18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1.28</w:t>
            </w:r>
          </w:p>
        </w:tc>
      </w:tr>
      <w:tr w:rsidR="001C03D6" w:rsidRPr="00F85CA2" w:rsidTr="001C03D6">
        <w:tc>
          <w:tcPr>
            <w:tcW w:w="2376" w:type="dxa"/>
            <w:vMerge w:val="restart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Baseline MTX dose</w:t>
            </w:r>
          </w:p>
        </w:tc>
        <w:tc>
          <w:tcPr>
            <w:tcW w:w="1134" w:type="dxa"/>
          </w:tcPr>
          <w:p w:rsidR="001C03D6" w:rsidRPr="00F85CA2" w:rsidRDefault="001C03D6" w:rsidP="00CC5B1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Century" w:hAnsi="Century"/>
                <w:color w:val="000000"/>
                <w:sz w:val="24"/>
                <w:szCs w:val="24"/>
                <w:lang w:val="en-GB"/>
              </w:rPr>
              <w:t>≤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10 mg/week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3.03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1.18</w:t>
            </w:r>
          </w:p>
        </w:tc>
        <w:tc>
          <w:tcPr>
            <w:tcW w:w="851" w:type="dxa"/>
            <w:vAlign w:val="center"/>
          </w:tcPr>
          <w:p w:rsidR="001C03D6" w:rsidRPr="00F85CA2" w:rsidRDefault="00044928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2.93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1.19</w:t>
            </w:r>
          </w:p>
        </w:tc>
      </w:tr>
      <w:tr w:rsidR="001C03D6" w:rsidRPr="00F85CA2" w:rsidTr="001C03D6">
        <w:tc>
          <w:tcPr>
            <w:tcW w:w="2376" w:type="dxa"/>
            <w:vMerge/>
          </w:tcPr>
          <w:p w:rsidR="001C03D6" w:rsidRDefault="001C03D6" w:rsidP="001C03D6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03D6" w:rsidRPr="00F85CA2" w:rsidRDefault="001C03D6" w:rsidP="00CC5B1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en-GB"/>
              </w:rPr>
              <w:t>10 mg/week</w:t>
            </w:r>
          </w:p>
        </w:tc>
        <w:tc>
          <w:tcPr>
            <w:tcW w:w="709" w:type="dxa"/>
            <w:vAlign w:val="center"/>
          </w:tcPr>
          <w:p w:rsidR="001C03D6" w:rsidRPr="00F85CA2" w:rsidRDefault="001C03D6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2410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2.84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1.03</w:t>
            </w:r>
          </w:p>
        </w:tc>
        <w:tc>
          <w:tcPr>
            <w:tcW w:w="851" w:type="dxa"/>
            <w:vAlign w:val="center"/>
          </w:tcPr>
          <w:p w:rsidR="001C03D6" w:rsidRPr="00F85CA2" w:rsidRDefault="00044928" w:rsidP="001C03D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77</w:t>
            </w:r>
          </w:p>
        </w:tc>
        <w:tc>
          <w:tcPr>
            <w:tcW w:w="2471" w:type="dxa"/>
          </w:tcPr>
          <w:p w:rsidR="001C03D6" w:rsidRPr="00F85CA2" w:rsidRDefault="00CC5B17" w:rsidP="00CC5B17">
            <w:pPr>
              <w:spacing w:after="0"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−</w:t>
            </w:r>
            <w:r w:rsidR="00044928">
              <w:rPr>
                <w:rFonts w:ascii="TimesNewRomanPSMT" w:hAnsi="TimesNewRomanPSMT" w:cs="TimesNewRomanPSMT" w:hint="eastAsia"/>
                <w:sz w:val="24"/>
                <w:szCs w:val="24"/>
                <w:lang w:val="en-GB"/>
              </w:rPr>
              <w:t>2.85</w:t>
            </w:r>
            <w:r w:rsidR="001C03D6"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="00044928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1.24</w:t>
            </w:r>
          </w:p>
        </w:tc>
      </w:tr>
    </w:tbl>
    <w:p w:rsidR="00966A0E" w:rsidRPr="00F85CA2" w:rsidRDefault="00F85CA2" w:rsidP="00F85CA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Abbreviation</w:t>
      </w:r>
      <w:r w:rsidR="00A60D21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: ETN-RP, etanercept reference product; </w:t>
      </w:r>
      <w:r w:rsidR="00F87BDB">
        <w:rPr>
          <w:rFonts w:ascii="Times New Roman" w:hAnsi="Times New Roman"/>
          <w:sz w:val="24"/>
          <w:szCs w:val="24"/>
          <w:lang w:val="en-GB"/>
        </w:rPr>
        <w:t xml:space="preserve">DAS28-ESR, disease activity score in 28 joints based on erythrocyte sedimentation rate; </w:t>
      </w:r>
      <w:r w:rsidR="00044928">
        <w:rPr>
          <w:rFonts w:ascii="Times New Roman" w:hAnsi="Times New Roman"/>
          <w:sz w:val="24"/>
          <w:szCs w:val="24"/>
          <w:lang w:val="en-GB"/>
        </w:rPr>
        <w:t xml:space="preserve">DMARD, </w:t>
      </w:r>
      <w:r w:rsidR="00F87BDB">
        <w:rPr>
          <w:rFonts w:ascii="Times New Roman" w:hAnsi="Times New Roman"/>
          <w:sz w:val="24"/>
          <w:szCs w:val="24"/>
          <w:lang w:val="en-GB"/>
        </w:rPr>
        <w:t xml:space="preserve">disease-modifying antirheumatic drug; </w:t>
      </w:r>
      <w:r>
        <w:rPr>
          <w:rFonts w:ascii="Times New Roman" w:hAnsi="Times New Roman"/>
          <w:sz w:val="24"/>
          <w:szCs w:val="24"/>
          <w:lang w:val="en-GB"/>
        </w:rPr>
        <w:t>SD, standard deviation.</w:t>
      </w:r>
    </w:p>
    <w:sectPr w:rsidR="00966A0E" w:rsidRPr="00F8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D6" w:rsidRDefault="006615D6">
      <w:pPr>
        <w:spacing w:after="0" w:line="240" w:lineRule="auto"/>
      </w:pPr>
      <w:r>
        <w:separator/>
      </w:r>
    </w:p>
  </w:endnote>
  <w:endnote w:type="continuationSeparator" w:id="0">
    <w:p w:rsidR="006615D6" w:rsidRDefault="006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D6" w:rsidRDefault="006615D6">
      <w:pPr>
        <w:spacing w:after="0" w:line="240" w:lineRule="auto"/>
      </w:pPr>
      <w:r>
        <w:separator/>
      </w:r>
    </w:p>
  </w:footnote>
  <w:footnote w:type="continuationSeparator" w:id="0">
    <w:p w:rsidR="006615D6" w:rsidRDefault="0066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7M0MjCwMDYyMjZR0lEKTi0uzszPAykwrAUAywuCGCwAAAA="/>
  </w:docVars>
  <w:rsids>
    <w:rsidRoot w:val="00966A0E"/>
    <w:rsid w:val="00044928"/>
    <w:rsid w:val="001C03D6"/>
    <w:rsid w:val="00377146"/>
    <w:rsid w:val="006615D6"/>
    <w:rsid w:val="0076642C"/>
    <w:rsid w:val="00900EFC"/>
    <w:rsid w:val="00966A0E"/>
    <w:rsid w:val="00A60D21"/>
    <w:rsid w:val="00AC3754"/>
    <w:rsid w:val="00C94905"/>
    <w:rsid w:val="00CC5B17"/>
    <w:rsid w:val="00D7646E"/>
    <w:rsid w:val="00EA2D75"/>
    <w:rsid w:val="00F85CA2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1E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Pr>
      <w:rFonts w:ascii="Calibri" w:eastAsiaTheme="minorEastAsia" w:hAnsi="Calibri" w:cs="Times New Roman"/>
      <w:sz w:val="20"/>
      <w:szCs w:val="20"/>
      <w:lang w:val="en-US"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rFonts w:ascii="Calibri" w:eastAsiaTheme="minorEastAsia" w:hAnsi="Calibri" w:cs="Times New Roman"/>
      <w:b/>
      <w:bCs/>
      <w:sz w:val="20"/>
      <w:szCs w:val="20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rFonts w:ascii="Calibri" w:hAnsi="Calibri" w:cs="Times New Roman"/>
      <w:lang w:val="en-US" w:eastAsia="ja-JP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rFonts w:ascii="Calibri" w:hAnsi="Calibri" w:cs="Times New Roman"/>
      <w:lang w:val="en-US" w:eastAsia="ja-JP"/>
    </w:rPr>
  </w:style>
  <w:style w:type="table" w:styleId="ae">
    <w:name w:val="Table Grid"/>
    <w:basedOn w:val="a1"/>
    <w:uiPriority w:val="39"/>
    <w:rsid w:val="00D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2017-10-31T11:09:00Z</dcterms:created>
  <dcterms:modified xsi:type="dcterms:W3CDTF">2017-11-01T08:49:00Z</dcterms:modified>
</cp:coreProperties>
</file>