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4C29CB" w14:textId="784A67C3" w:rsidR="001E06E1" w:rsidRDefault="0043212D">
      <w:pPr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Supplementary Material</w:t>
      </w:r>
    </w:p>
    <w:p w14:paraId="023B6F0D" w14:textId="3D1FEEA2" w:rsidR="0043212D" w:rsidRDefault="0043212D">
      <w:pPr>
        <w:rPr>
          <w:rFonts w:ascii="Arial" w:hAnsi="Arial" w:cs="Arial"/>
          <w:lang w:val="en-CA"/>
        </w:rPr>
      </w:pPr>
    </w:p>
    <w:p w14:paraId="0D129D71" w14:textId="0E385ECA" w:rsidR="0043212D" w:rsidRPr="00CB254B" w:rsidRDefault="0043212D">
      <w:pPr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Methods: variable definitions</w:t>
      </w:r>
    </w:p>
    <w:p w14:paraId="27EC5333" w14:textId="77777777" w:rsidR="00CB254B" w:rsidRPr="00B2699B" w:rsidRDefault="00CB254B">
      <w:pPr>
        <w:rPr>
          <w:rFonts w:ascii="Arial" w:hAnsi="Arial" w:cs="Arial"/>
          <w:lang w:val="en-CA"/>
        </w:rPr>
      </w:pPr>
    </w:p>
    <w:p w14:paraId="5CB7325B" w14:textId="75993F9A" w:rsidR="00B25E22" w:rsidRPr="0043212D" w:rsidRDefault="00B25E22" w:rsidP="00FD543B">
      <w:pPr>
        <w:pStyle w:val="ListParagraph"/>
        <w:numPr>
          <w:ilvl w:val="0"/>
          <w:numId w:val="2"/>
        </w:numPr>
        <w:rPr>
          <w:rStyle w:val="PageNumber"/>
          <w:rFonts w:ascii="Arial" w:hAnsi="Arial" w:cs="Arial"/>
        </w:rPr>
      </w:pPr>
      <w:r w:rsidRPr="0043212D">
        <w:rPr>
          <w:rStyle w:val="PageNumber"/>
          <w:rFonts w:ascii="Arial" w:hAnsi="Arial" w:cs="Arial"/>
        </w:rPr>
        <w:t>Antiphospholipid antibodies</w:t>
      </w:r>
      <w:r w:rsidR="00157F9E" w:rsidRPr="0043212D">
        <w:rPr>
          <w:rStyle w:val="PageNumber"/>
          <w:rFonts w:ascii="Arial" w:hAnsi="Arial" w:cs="Arial"/>
        </w:rPr>
        <w:t xml:space="preserve"> (</w:t>
      </w:r>
      <w:proofErr w:type="spellStart"/>
      <w:r w:rsidR="00157F9E" w:rsidRPr="0043212D">
        <w:rPr>
          <w:rStyle w:val="PageNumber"/>
          <w:rFonts w:ascii="Arial" w:hAnsi="Arial" w:cs="Arial"/>
        </w:rPr>
        <w:t>aPL</w:t>
      </w:r>
      <w:proofErr w:type="spellEnd"/>
      <w:r w:rsidR="00157F9E" w:rsidRPr="0043212D">
        <w:rPr>
          <w:rStyle w:val="PageNumber"/>
          <w:rFonts w:ascii="Arial" w:hAnsi="Arial" w:cs="Arial"/>
        </w:rPr>
        <w:t>)</w:t>
      </w:r>
      <w:r w:rsidRPr="0043212D">
        <w:rPr>
          <w:rStyle w:val="PageNumber"/>
          <w:rFonts w:ascii="Arial" w:hAnsi="Arial" w:cs="Arial"/>
        </w:rPr>
        <w:t>: lupus anticoagulant [LAC], anti-cardiolipin [</w:t>
      </w:r>
      <w:proofErr w:type="spellStart"/>
      <w:r w:rsidRPr="0043212D">
        <w:rPr>
          <w:rStyle w:val="PageNumber"/>
          <w:rFonts w:ascii="Arial" w:hAnsi="Arial" w:cs="Arial"/>
        </w:rPr>
        <w:t>aCL</w:t>
      </w:r>
      <w:proofErr w:type="spellEnd"/>
      <w:r w:rsidRPr="0043212D">
        <w:rPr>
          <w:rStyle w:val="PageNumber"/>
          <w:rFonts w:ascii="Arial" w:hAnsi="Arial" w:cs="Arial"/>
        </w:rPr>
        <w:t xml:space="preserve">] IgG, or anti-beta2 glycoprotein-1 [anti-ß2-GP1] IgG, defined as positive if at a </w:t>
      </w:r>
      <w:proofErr w:type="spellStart"/>
      <w:r w:rsidRPr="0043212D">
        <w:rPr>
          <w:rStyle w:val="PageNumber"/>
          <w:rFonts w:ascii="Arial" w:hAnsi="Arial" w:cs="Arial"/>
        </w:rPr>
        <w:t>titre</w:t>
      </w:r>
      <w:proofErr w:type="spellEnd"/>
      <w:r w:rsidRPr="0043212D">
        <w:rPr>
          <w:rStyle w:val="PageNumber"/>
          <w:rFonts w:ascii="Arial" w:hAnsi="Arial" w:cs="Arial"/>
        </w:rPr>
        <w:t xml:space="preserve"> above the laboratory cutoff value. Antibodies were measured at a portion of enrolment and follow-up visits at the central study laboratory, Oklahoma Medical Research Foundation, United States, as previously described</w:t>
      </w:r>
      <w:r w:rsidR="0043212D">
        <w:rPr>
          <w:rStyle w:val="PageNumber"/>
          <w:rFonts w:ascii="Arial" w:hAnsi="Arial" w:cs="Arial"/>
          <w:vertAlign w:val="superscript"/>
        </w:rPr>
        <w:t>1</w:t>
      </w:r>
      <w:r w:rsidR="00D11A3A" w:rsidRPr="0043212D">
        <w:rPr>
          <w:rStyle w:val="PageNumber"/>
          <w:rFonts w:ascii="Arial" w:hAnsi="Arial" w:cs="Arial"/>
        </w:rPr>
        <w:t xml:space="preserve"> </w:t>
      </w:r>
    </w:p>
    <w:p w14:paraId="7B13C3E4" w14:textId="77777777" w:rsidR="00B25E22" w:rsidRPr="00B2699B" w:rsidRDefault="00B25E22">
      <w:pPr>
        <w:rPr>
          <w:rStyle w:val="PageNumber"/>
          <w:rFonts w:ascii="Arial" w:hAnsi="Arial" w:cs="Arial"/>
        </w:rPr>
      </w:pPr>
    </w:p>
    <w:p w14:paraId="30408825" w14:textId="77777777" w:rsidR="00CB254B" w:rsidRPr="0043212D" w:rsidRDefault="00CB254B" w:rsidP="00FD543B">
      <w:pPr>
        <w:pStyle w:val="ListParagraph"/>
        <w:numPr>
          <w:ilvl w:val="0"/>
          <w:numId w:val="2"/>
        </w:numPr>
        <w:rPr>
          <w:rStyle w:val="PageNumber"/>
          <w:rFonts w:ascii="Arial" w:hAnsi="Arial" w:cs="Arial"/>
        </w:rPr>
      </w:pPr>
      <w:r w:rsidRPr="0043212D">
        <w:rPr>
          <w:rStyle w:val="PageNumber"/>
          <w:rFonts w:ascii="Arial" w:hAnsi="Arial" w:cs="Arial"/>
        </w:rPr>
        <w:t>Hypertension: use of antihypertensive medications not prescribed for renal disease</w:t>
      </w:r>
    </w:p>
    <w:p w14:paraId="36B3CB42" w14:textId="77777777" w:rsidR="00CB254B" w:rsidRPr="00B2699B" w:rsidRDefault="00CB254B">
      <w:pPr>
        <w:rPr>
          <w:rStyle w:val="PageNumber"/>
          <w:rFonts w:ascii="Arial" w:hAnsi="Arial" w:cs="Arial"/>
        </w:rPr>
      </w:pPr>
    </w:p>
    <w:p w14:paraId="2A897852" w14:textId="47D5549E" w:rsidR="00CB254B" w:rsidRPr="0043212D" w:rsidRDefault="00CB254B" w:rsidP="00FD543B">
      <w:pPr>
        <w:pStyle w:val="ListParagraph"/>
        <w:numPr>
          <w:ilvl w:val="0"/>
          <w:numId w:val="2"/>
        </w:numPr>
        <w:rPr>
          <w:rStyle w:val="PageNumber"/>
          <w:rFonts w:ascii="Arial" w:hAnsi="Arial" w:cs="Arial"/>
        </w:rPr>
      </w:pPr>
      <w:r w:rsidRPr="0043212D">
        <w:rPr>
          <w:rStyle w:val="PageNumber"/>
          <w:rFonts w:ascii="Arial" w:hAnsi="Arial" w:cs="Arial"/>
        </w:rPr>
        <w:t>Nephritis: any of hematuria (&gt;5 red blood cells/high power field), pyuria (&gt; 5 white blood cells/high power field) excluding other causes,</w:t>
      </w:r>
      <w:r w:rsidR="00686116" w:rsidRPr="0043212D">
        <w:rPr>
          <w:rStyle w:val="PageNumber"/>
          <w:rFonts w:ascii="Arial" w:hAnsi="Arial" w:cs="Arial"/>
        </w:rPr>
        <w:t xml:space="preserve"> or</w:t>
      </w:r>
      <w:r w:rsidRPr="0043212D">
        <w:rPr>
          <w:rStyle w:val="PageNumber"/>
          <w:rFonts w:ascii="Arial" w:hAnsi="Arial" w:cs="Arial"/>
        </w:rPr>
        <w:t xml:space="preserve"> increase of proteinuria &gt; 500 mg/24 hours, </w:t>
      </w:r>
      <w:proofErr w:type="spellStart"/>
      <w:r w:rsidRPr="0043212D">
        <w:rPr>
          <w:rStyle w:val="PageNumber"/>
          <w:rFonts w:ascii="Arial" w:hAnsi="Arial" w:cs="Arial"/>
        </w:rPr>
        <w:t>heme</w:t>
      </w:r>
      <w:proofErr w:type="spellEnd"/>
      <w:r w:rsidRPr="0043212D">
        <w:rPr>
          <w:rStyle w:val="PageNumber"/>
          <w:rFonts w:ascii="Arial" w:hAnsi="Arial" w:cs="Arial"/>
        </w:rPr>
        <w:t xml:space="preserve"> granular casts, or red blood cell casts </w:t>
      </w:r>
      <w:r w:rsidR="005C08AB" w:rsidRPr="0043212D">
        <w:rPr>
          <w:rStyle w:val="PageNumber"/>
          <w:rFonts w:ascii="Arial" w:hAnsi="Arial" w:cs="Arial"/>
        </w:rPr>
        <w:t>within the last year</w:t>
      </w:r>
    </w:p>
    <w:p w14:paraId="76D9B75B" w14:textId="77777777" w:rsidR="00CB254B" w:rsidRPr="00B2699B" w:rsidRDefault="00CB254B">
      <w:pPr>
        <w:rPr>
          <w:rStyle w:val="PageNumber"/>
          <w:rFonts w:ascii="Arial" w:hAnsi="Arial" w:cs="Arial"/>
        </w:rPr>
      </w:pPr>
    </w:p>
    <w:p w14:paraId="195C0889" w14:textId="1B2543FF" w:rsidR="00CB254B" w:rsidRPr="0043212D" w:rsidRDefault="00CB254B" w:rsidP="00FD543B">
      <w:pPr>
        <w:pStyle w:val="ListParagraph"/>
        <w:numPr>
          <w:ilvl w:val="0"/>
          <w:numId w:val="2"/>
        </w:numPr>
        <w:rPr>
          <w:rStyle w:val="PageNumber"/>
          <w:rFonts w:ascii="Arial" w:hAnsi="Arial" w:cs="Arial"/>
        </w:rPr>
      </w:pPr>
      <w:r w:rsidRPr="0043212D">
        <w:rPr>
          <w:rStyle w:val="PageNumber"/>
          <w:rFonts w:ascii="Arial" w:hAnsi="Arial" w:cs="Arial"/>
        </w:rPr>
        <w:t>Nephrotic syndrome: proteinuria &gt;3 g/day, edema, and increased blood pressure</w:t>
      </w:r>
      <w:r w:rsidR="005C08AB" w:rsidRPr="0043212D">
        <w:rPr>
          <w:rStyle w:val="PageNumber"/>
          <w:rFonts w:ascii="Arial" w:hAnsi="Arial" w:cs="Arial"/>
        </w:rPr>
        <w:t xml:space="preserve"> within the last year</w:t>
      </w:r>
    </w:p>
    <w:p w14:paraId="7AC02796" w14:textId="77777777" w:rsidR="00CB254B" w:rsidRPr="00B2699B" w:rsidRDefault="00CB254B">
      <w:pPr>
        <w:rPr>
          <w:rStyle w:val="PageNumber"/>
          <w:rFonts w:ascii="Arial" w:hAnsi="Arial" w:cs="Arial"/>
        </w:rPr>
      </w:pPr>
    </w:p>
    <w:p w14:paraId="13AABA00" w14:textId="77777777" w:rsidR="00CB254B" w:rsidRPr="00B2699B" w:rsidRDefault="00CB254B">
      <w:pPr>
        <w:rPr>
          <w:rStyle w:val="PageNumber"/>
          <w:rFonts w:ascii="Arial" w:hAnsi="Arial" w:cs="Arial"/>
        </w:rPr>
      </w:pPr>
    </w:p>
    <w:p w14:paraId="17AE4F98" w14:textId="77777777" w:rsidR="00CB254B" w:rsidRPr="00B2699B" w:rsidRDefault="00CB254B">
      <w:pPr>
        <w:rPr>
          <w:rStyle w:val="PageNumber"/>
          <w:rFonts w:ascii="Arial" w:hAnsi="Arial" w:cs="Arial"/>
        </w:rPr>
      </w:pPr>
    </w:p>
    <w:p w14:paraId="3686572E" w14:textId="77777777" w:rsidR="0043212D" w:rsidRPr="00F52233" w:rsidRDefault="0043212D" w:rsidP="0043212D">
      <w:pPr>
        <w:pStyle w:val="Body"/>
        <w:rPr>
          <w:rFonts w:ascii="Arial" w:hAnsi="Arial" w:cs="Arial"/>
          <w:lang w:val="en-CA"/>
        </w:rPr>
      </w:pPr>
      <w:r w:rsidRPr="00F52233">
        <w:rPr>
          <w:rFonts w:ascii="Arial" w:hAnsi="Arial" w:cs="Arial"/>
          <w:lang w:val="en-CA"/>
        </w:rPr>
        <w:t>Results:</w:t>
      </w:r>
    </w:p>
    <w:p w14:paraId="5ACB5893" w14:textId="77777777" w:rsidR="0043212D" w:rsidRPr="00F52233" w:rsidRDefault="0043212D" w:rsidP="0043212D">
      <w:pPr>
        <w:pStyle w:val="Body"/>
        <w:rPr>
          <w:rFonts w:ascii="Arial" w:hAnsi="Arial" w:cs="Arial"/>
          <w:lang w:val="en-CA"/>
        </w:rPr>
      </w:pPr>
    </w:p>
    <w:p w14:paraId="4611E993" w14:textId="77777777" w:rsidR="0043212D" w:rsidRPr="00F52233" w:rsidRDefault="0043212D" w:rsidP="0043212D">
      <w:pPr>
        <w:pStyle w:val="Body"/>
        <w:rPr>
          <w:rFonts w:ascii="Arial" w:hAnsi="Arial" w:cs="Arial"/>
          <w:lang w:val="en-CA"/>
        </w:rPr>
      </w:pPr>
      <w:r w:rsidRPr="00F52233">
        <w:rPr>
          <w:rFonts w:ascii="Arial" w:hAnsi="Arial" w:cs="Arial"/>
          <w:lang w:val="en-CA"/>
        </w:rPr>
        <w:t>-A mean of 19 (SD 18) pregnancies took place at each centre, with 14/25 centres contributing ≥10 pregnancies.</w:t>
      </w:r>
    </w:p>
    <w:p w14:paraId="383A9501" w14:textId="77777777" w:rsidR="0043212D" w:rsidRPr="00F52233" w:rsidRDefault="0043212D" w:rsidP="0043212D">
      <w:pPr>
        <w:pStyle w:val="Body"/>
        <w:rPr>
          <w:rFonts w:ascii="Arial" w:hAnsi="Arial" w:cs="Arial"/>
          <w:lang w:val="en-CA"/>
        </w:rPr>
      </w:pPr>
    </w:p>
    <w:p w14:paraId="3A7310B8" w14:textId="19BBEA87" w:rsidR="0043212D" w:rsidRPr="002545B5" w:rsidRDefault="0043212D" w:rsidP="0043212D">
      <w:pPr>
        <w:pStyle w:val="Body"/>
        <w:rPr>
          <w:rFonts w:ascii="Arial" w:hAnsi="Arial" w:cs="Arial"/>
          <w:lang w:val="en-CA"/>
        </w:rPr>
      </w:pPr>
      <w:r w:rsidRPr="00F52233">
        <w:rPr>
          <w:rFonts w:ascii="Arial" w:hAnsi="Arial" w:cs="Arial"/>
          <w:lang w:val="en-CA"/>
        </w:rPr>
        <w:t xml:space="preserve">-Aspirin was used at 121/475 (25%) pregnant visits compared to 192/870 (22%) non-pregnant visits before and after the pregnant study visits in the same women, suggesting that overall there does not seem to be more aspirin use in pregnancy specifically </w:t>
      </w:r>
      <w:r w:rsidRPr="002545B5">
        <w:rPr>
          <w:rFonts w:ascii="Arial" w:hAnsi="Arial" w:cs="Arial"/>
          <w:lang w:val="en-CA"/>
        </w:rPr>
        <w:t xml:space="preserve">compared to the baseline use in this population. </w:t>
      </w:r>
      <w:r w:rsidRPr="002545B5">
        <w:rPr>
          <w:rFonts w:ascii="Arial" w:hAnsi="Arial"/>
          <w:bCs/>
          <w:u w:color="FF0000"/>
          <w:shd w:val="clear" w:color="auto" w:fill="FFFFFF"/>
          <w:lang w:val="en-CA"/>
        </w:rPr>
        <w:t xml:space="preserve">Among the 121 pregnant visits on aspirin, 39 (32%) were not on aspirin at the preceding non-pregnant visit (i.e. aspirin </w:t>
      </w:r>
      <w:r>
        <w:rPr>
          <w:rFonts w:ascii="Arial" w:hAnsi="Arial"/>
          <w:bCs/>
          <w:u w:color="FF0000"/>
          <w:shd w:val="clear" w:color="auto" w:fill="FFFFFF"/>
          <w:lang w:val="en-CA"/>
        </w:rPr>
        <w:t xml:space="preserve">was </w:t>
      </w:r>
      <w:r w:rsidRPr="002545B5">
        <w:rPr>
          <w:rFonts w:ascii="Arial" w:hAnsi="Arial"/>
          <w:bCs/>
          <w:u w:color="FF0000"/>
          <w:shd w:val="clear" w:color="auto" w:fill="FFFFFF"/>
          <w:lang w:val="en-CA"/>
        </w:rPr>
        <w:t>potentially initiated for pregnancy), whereas 77 (64%) were already on aspirin at the preceding non-pregnant visit (i.e. continuation of pre</w:t>
      </w:r>
      <w:bookmarkStart w:id="0" w:name="_GoBack"/>
      <w:bookmarkEnd w:id="0"/>
      <w:r w:rsidRPr="002545B5">
        <w:rPr>
          <w:rFonts w:ascii="Arial" w:hAnsi="Arial"/>
          <w:bCs/>
          <w:u w:color="FF0000"/>
          <w:shd w:val="clear" w:color="auto" w:fill="FFFFFF"/>
          <w:lang w:val="en-CA"/>
        </w:rPr>
        <w:t xml:space="preserve">vious medication). In 5 pregnancies, </w:t>
      </w:r>
      <w:r w:rsidR="005C731E">
        <w:rPr>
          <w:rFonts w:ascii="Arial" w:hAnsi="Arial"/>
          <w:bCs/>
          <w:u w:color="FF0000"/>
          <w:shd w:val="clear" w:color="auto" w:fill="FFFFFF"/>
          <w:lang w:val="en-CA"/>
        </w:rPr>
        <w:t xml:space="preserve">prior </w:t>
      </w:r>
      <w:r w:rsidRPr="002545B5">
        <w:rPr>
          <w:rFonts w:ascii="Arial" w:hAnsi="Arial"/>
          <w:bCs/>
          <w:u w:color="FF0000"/>
          <w:shd w:val="clear" w:color="auto" w:fill="FFFFFF"/>
          <w:lang w:val="en-CA"/>
        </w:rPr>
        <w:t>aspirin use was not known as the pregnant visit was the first visit in the cohort</w:t>
      </w:r>
      <w:r>
        <w:rPr>
          <w:rFonts w:ascii="Arial" w:hAnsi="Arial"/>
          <w:bCs/>
          <w:u w:color="FF0000"/>
          <w:shd w:val="clear" w:color="auto" w:fill="FFFFFF"/>
          <w:lang w:val="en-CA"/>
        </w:rPr>
        <w:t>.</w:t>
      </w:r>
    </w:p>
    <w:p w14:paraId="15303989" w14:textId="0CA3515F" w:rsidR="00CB254B" w:rsidRDefault="00CB254B" w:rsidP="0043212D">
      <w:pPr>
        <w:pStyle w:val="ListParagraph"/>
        <w:ind w:left="360"/>
        <w:rPr>
          <w:rFonts w:ascii="Arial" w:hAnsi="Arial" w:cs="Arial"/>
        </w:rPr>
      </w:pPr>
    </w:p>
    <w:p w14:paraId="1FC92EF6" w14:textId="041B6485" w:rsidR="0043212D" w:rsidRDefault="0043212D" w:rsidP="0043212D">
      <w:pPr>
        <w:pStyle w:val="ListParagraph"/>
        <w:ind w:left="360"/>
        <w:rPr>
          <w:rFonts w:ascii="Arial" w:hAnsi="Arial" w:cs="Arial"/>
          <w:lang w:val="en-CA"/>
        </w:rPr>
      </w:pPr>
    </w:p>
    <w:p w14:paraId="29EBEAEE" w14:textId="5AA0712B" w:rsidR="0043212D" w:rsidRDefault="0043212D" w:rsidP="0043212D">
      <w:pPr>
        <w:pStyle w:val="ListParagraph"/>
        <w:ind w:left="360"/>
        <w:rPr>
          <w:rFonts w:ascii="Arial" w:hAnsi="Arial" w:cs="Arial"/>
          <w:lang w:val="en-CA"/>
        </w:rPr>
      </w:pPr>
    </w:p>
    <w:p w14:paraId="58226E1D" w14:textId="3BE7332A" w:rsidR="0043212D" w:rsidRDefault="0043212D" w:rsidP="0043212D">
      <w:pPr>
        <w:pStyle w:val="ListParagraph"/>
        <w:ind w:left="360"/>
        <w:rPr>
          <w:rFonts w:ascii="Arial" w:hAnsi="Arial" w:cs="Arial"/>
          <w:lang w:val="en-CA"/>
        </w:rPr>
      </w:pPr>
    </w:p>
    <w:p w14:paraId="2FA2A9ED" w14:textId="0E5DB082" w:rsidR="0043212D" w:rsidRDefault="0043212D" w:rsidP="0043212D">
      <w:pPr>
        <w:pStyle w:val="ListParagraph"/>
        <w:ind w:left="360"/>
        <w:rPr>
          <w:rFonts w:ascii="Arial" w:hAnsi="Arial" w:cs="Arial"/>
          <w:lang w:val="en-CA"/>
        </w:rPr>
      </w:pPr>
    </w:p>
    <w:p w14:paraId="3B4922AD" w14:textId="7FC40A34" w:rsidR="0043212D" w:rsidRDefault="0043212D" w:rsidP="0043212D">
      <w:pPr>
        <w:pStyle w:val="ListParagraph"/>
        <w:ind w:left="360"/>
        <w:rPr>
          <w:rFonts w:ascii="Arial" w:hAnsi="Arial" w:cs="Arial"/>
          <w:lang w:val="en-CA"/>
        </w:rPr>
      </w:pPr>
    </w:p>
    <w:p w14:paraId="1EC87869" w14:textId="0BC01004" w:rsidR="0043212D" w:rsidRDefault="0043212D" w:rsidP="0043212D">
      <w:pPr>
        <w:pStyle w:val="ListParagraph"/>
        <w:ind w:left="360"/>
        <w:rPr>
          <w:rFonts w:ascii="Arial" w:hAnsi="Arial" w:cs="Arial"/>
          <w:lang w:val="en-CA"/>
        </w:rPr>
      </w:pPr>
    </w:p>
    <w:p w14:paraId="623321F3" w14:textId="5EAA3F77" w:rsidR="0043212D" w:rsidRDefault="0043212D" w:rsidP="0043212D">
      <w:pPr>
        <w:pStyle w:val="ListParagraph"/>
        <w:ind w:left="360"/>
        <w:rPr>
          <w:rFonts w:ascii="Arial" w:hAnsi="Arial" w:cs="Arial"/>
          <w:lang w:val="en-CA"/>
        </w:rPr>
      </w:pPr>
    </w:p>
    <w:p w14:paraId="4451B06A" w14:textId="0CE9B9D6" w:rsidR="0043212D" w:rsidRDefault="0043212D" w:rsidP="0043212D">
      <w:pPr>
        <w:pStyle w:val="ListParagraph"/>
        <w:ind w:left="360"/>
        <w:rPr>
          <w:rFonts w:ascii="Arial" w:hAnsi="Arial" w:cs="Arial"/>
          <w:lang w:val="en-CA"/>
        </w:rPr>
      </w:pPr>
    </w:p>
    <w:p w14:paraId="11060B11" w14:textId="77777777" w:rsidR="0043212D" w:rsidRPr="00F52233" w:rsidRDefault="0043212D" w:rsidP="0043212D">
      <w:pPr>
        <w:pStyle w:val="Body"/>
        <w:rPr>
          <w:rFonts w:ascii="Arial" w:hAnsi="Arial" w:cs="Arial"/>
          <w:lang w:val="en-CA"/>
        </w:rPr>
      </w:pPr>
    </w:p>
    <w:p w14:paraId="2FE3502D" w14:textId="77777777" w:rsidR="0043212D" w:rsidRPr="00F52233" w:rsidRDefault="0043212D" w:rsidP="0043212D">
      <w:pPr>
        <w:pStyle w:val="Body"/>
        <w:rPr>
          <w:rFonts w:ascii="Arial" w:eastAsia="Arial" w:hAnsi="Arial" w:cs="Arial"/>
          <w:lang w:val="en-CA"/>
        </w:rPr>
      </w:pPr>
      <w:r w:rsidRPr="00F52233">
        <w:rPr>
          <w:rFonts w:ascii="Arial" w:hAnsi="Arial" w:cs="Arial"/>
          <w:lang w:val="en-CA"/>
        </w:rPr>
        <w:t>Table S1: Prevalence of aspirin use among subjects with and without individual preeclampsia risk factors</w:t>
      </w:r>
    </w:p>
    <w:p w14:paraId="3E878D1A" w14:textId="77777777" w:rsidR="0043212D" w:rsidRPr="00F52233" w:rsidRDefault="0043212D" w:rsidP="0043212D">
      <w:pPr>
        <w:pStyle w:val="Body"/>
        <w:rPr>
          <w:rFonts w:ascii="Arial" w:eastAsia="Arial" w:hAnsi="Arial" w:cs="Arial"/>
          <w:lang w:val="en-CA"/>
        </w:rPr>
      </w:pPr>
    </w:p>
    <w:tbl>
      <w:tblPr>
        <w:tblW w:w="936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3119"/>
        <w:gridCol w:w="3120"/>
        <w:gridCol w:w="3121"/>
      </w:tblGrid>
      <w:tr w:rsidR="0043212D" w:rsidRPr="00F52233" w14:paraId="0187332D" w14:textId="77777777" w:rsidTr="00EE5127">
        <w:trPr>
          <w:trHeight w:val="282"/>
        </w:trPr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3CE9DC" w14:textId="77777777" w:rsidR="0043212D" w:rsidRPr="00F52233" w:rsidRDefault="0043212D" w:rsidP="00EE5127">
            <w:pPr>
              <w:pStyle w:val="Body"/>
              <w:rPr>
                <w:rFonts w:ascii="Arial" w:hAnsi="Arial" w:cs="Arial"/>
                <w:lang w:val="en-CA"/>
              </w:rPr>
            </w:pPr>
            <w:r w:rsidRPr="00F52233">
              <w:rPr>
                <w:rFonts w:ascii="Arial" w:hAnsi="Arial" w:cs="Arial"/>
                <w:lang w:val="en-CA"/>
              </w:rPr>
              <w:t>Risk factor</w:t>
            </w:r>
          </w:p>
        </w:tc>
        <w:tc>
          <w:tcPr>
            <w:tcW w:w="6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E48320" w14:textId="77777777" w:rsidR="0043212D" w:rsidRPr="00F52233" w:rsidRDefault="0043212D" w:rsidP="00EE5127">
            <w:pPr>
              <w:pStyle w:val="Body"/>
              <w:jc w:val="center"/>
              <w:rPr>
                <w:rFonts w:ascii="Arial" w:hAnsi="Arial" w:cs="Arial"/>
                <w:lang w:val="en-CA"/>
              </w:rPr>
            </w:pPr>
            <w:r w:rsidRPr="00F52233">
              <w:rPr>
                <w:rFonts w:ascii="Arial" w:hAnsi="Arial" w:cs="Arial"/>
                <w:lang w:val="en-CA"/>
              </w:rPr>
              <w:t>Prevalence of aspirin use</w:t>
            </w:r>
          </w:p>
        </w:tc>
      </w:tr>
      <w:tr w:rsidR="0043212D" w:rsidRPr="00F52233" w14:paraId="4B8A7BBD" w14:textId="77777777" w:rsidTr="00EE5127">
        <w:trPr>
          <w:trHeight w:val="562"/>
        </w:trPr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C302F0" w14:textId="77777777" w:rsidR="0043212D" w:rsidRPr="00F52233" w:rsidRDefault="0043212D" w:rsidP="00EE5127">
            <w:pPr>
              <w:rPr>
                <w:lang w:val="en-CA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5496DD" w14:textId="77777777" w:rsidR="0043212D" w:rsidRPr="00F52233" w:rsidRDefault="0043212D" w:rsidP="00EE5127">
            <w:pPr>
              <w:pStyle w:val="Body"/>
              <w:jc w:val="center"/>
              <w:rPr>
                <w:rFonts w:ascii="Arial" w:eastAsia="Arial" w:hAnsi="Arial" w:cs="Arial"/>
                <w:lang w:val="en-CA"/>
              </w:rPr>
            </w:pPr>
            <w:r w:rsidRPr="00F52233">
              <w:rPr>
                <w:rFonts w:ascii="Arial" w:hAnsi="Arial"/>
                <w:lang w:val="en-CA"/>
              </w:rPr>
              <w:t>With risk factor</w:t>
            </w:r>
          </w:p>
          <w:p w14:paraId="562C943F" w14:textId="77777777" w:rsidR="0043212D" w:rsidRPr="00F52233" w:rsidRDefault="0043212D" w:rsidP="00EE5127">
            <w:pPr>
              <w:pStyle w:val="Body"/>
              <w:jc w:val="center"/>
              <w:rPr>
                <w:lang w:val="en-CA"/>
              </w:rPr>
            </w:pPr>
            <w:r w:rsidRPr="00F52233">
              <w:rPr>
                <w:rFonts w:ascii="Arial" w:hAnsi="Arial"/>
                <w:lang w:val="en-CA"/>
              </w:rPr>
              <w:t>n (%, 95% CI)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400750" w14:textId="77777777" w:rsidR="0043212D" w:rsidRPr="00F52233" w:rsidRDefault="0043212D" w:rsidP="00EE5127">
            <w:pPr>
              <w:pStyle w:val="Body"/>
              <w:jc w:val="center"/>
              <w:rPr>
                <w:rFonts w:ascii="Arial" w:eastAsia="Arial" w:hAnsi="Arial" w:cs="Arial"/>
                <w:lang w:val="en-CA"/>
              </w:rPr>
            </w:pPr>
            <w:r w:rsidRPr="00F52233">
              <w:rPr>
                <w:rFonts w:ascii="Arial" w:hAnsi="Arial"/>
                <w:lang w:val="en-CA"/>
              </w:rPr>
              <w:t>Without risk factor</w:t>
            </w:r>
          </w:p>
          <w:p w14:paraId="3E65340C" w14:textId="77777777" w:rsidR="0043212D" w:rsidRPr="00F52233" w:rsidRDefault="0043212D" w:rsidP="00EE5127">
            <w:pPr>
              <w:pStyle w:val="Body"/>
              <w:jc w:val="center"/>
              <w:rPr>
                <w:lang w:val="en-CA"/>
              </w:rPr>
            </w:pPr>
            <w:r w:rsidRPr="00F52233">
              <w:rPr>
                <w:rFonts w:ascii="Arial" w:hAnsi="Arial"/>
                <w:lang w:val="en-CA"/>
              </w:rPr>
              <w:t>n (%, 95% CI)</w:t>
            </w:r>
          </w:p>
        </w:tc>
      </w:tr>
      <w:tr w:rsidR="0043212D" w:rsidRPr="00F52233" w14:paraId="6599E104" w14:textId="77777777" w:rsidTr="00EE5127">
        <w:trPr>
          <w:trHeight w:val="282"/>
        </w:trPr>
        <w:tc>
          <w:tcPr>
            <w:tcW w:w="9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B9D129" w14:textId="77777777" w:rsidR="0043212D" w:rsidRPr="00F52233" w:rsidRDefault="0043212D" w:rsidP="00EE5127">
            <w:pPr>
              <w:pStyle w:val="Body"/>
              <w:rPr>
                <w:lang w:val="en-CA"/>
              </w:rPr>
            </w:pPr>
            <w:r w:rsidRPr="00F52233">
              <w:rPr>
                <w:rFonts w:ascii="Arial" w:hAnsi="Arial"/>
                <w:i/>
                <w:iCs/>
                <w:lang w:val="en-CA"/>
              </w:rPr>
              <w:t>Traditional PE risk factors</w:t>
            </w:r>
          </w:p>
        </w:tc>
      </w:tr>
      <w:tr w:rsidR="0043212D" w:rsidRPr="00F52233" w14:paraId="427E196A" w14:textId="77777777" w:rsidTr="00EE5127">
        <w:trPr>
          <w:trHeight w:val="282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5A4F76" w14:textId="77777777" w:rsidR="0043212D" w:rsidRPr="00F52233" w:rsidRDefault="0043212D" w:rsidP="00EE5127">
            <w:pPr>
              <w:pStyle w:val="Body"/>
              <w:rPr>
                <w:lang w:val="en-CA"/>
              </w:rPr>
            </w:pPr>
            <w:r w:rsidRPr="00F52233">
              <w:rPr>
                <w:rFonts w:ascii="Arial" w:hAnsi="Arial"/>
                <w:lang w:val="en-CA"/>
              </w:rPr>
              <w:t>≥1 traditional PE risk factor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A7491F" w14:textId="77777777" w:rsidR="0043212D" w:rsidRPr="00F52233" w:rsidRDefault="0043212D" w:rsidP="00EE5127">
            <w:pPr>
              <w:pStyle w:val="Body"/>
              <w:jc w:val="center"/>
              <w:rPr>
                <w:lang w:val="en-CA"/>
              </w:rPr>
            </w:pPr>
            <w:r w:rsidRPr="00F52233">
              <w:rPr>
                <w:rFonts w:ascii="Arial" w:hAnsi="Arial"/>
                <w:lang w:val="en-CA"/>
              </w:rPr>
              <w:t>58/234 (25, 20-31)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ACE946" w14:textId="77777777" w:rsidR="0043212D" w:rsidRPr="00F52233" w:rsidRDefault="0043212D" w:rsidP="00EE5127">
            <w:pPr>
              <w:pStyle w:val="Body"/>
              <w:jc w:val="center"/>
              <w:rPr>
                <w:lang w:val="en-CA"/>
              </w:rPr>
            </w:pPr>
            <w:r w:rsidRPr="00F52233">
              <w:rPr>
                <w:rFonts w:ascii="Arial" w:hAnsi="Arial"/>
                <w:lang w:val="en-CA"/>
              </w:rPr>
              <w:t>62/241 (26, 21-32)</w:t>
            </w:r>
          </w:p>
        </w:tc>
      </w:tr>
      <w:tr w:rsidR="0043212D" w:rsidRPr="00F52233" w14:paraId="4F3C084F" w14:textId="77777777" w:rsidTr="00EE5127">
        <w:trPr>
          <w:trHeight w:val="282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A1E26D" w14:textId="77777777" w:rsidR="0043212D" w:rsidRPr="00F52233" w:rsidRDefault="0043212D" w:rsidP="00EE5127">
            <w:pPr>
              <w:pStyle w:val="Body"/>
              <w:rPr>
                <w:lang w:val="en-CA"/>
              </w:rPr>
            </w:pPr>
            <w:r w:rsidRPr="00F52233">
              <w:rPr>
                <w:rFonts w:ascii="Arial" w:hAnsi="Arial"/>
                <w:lang w:val="en-CA"/>
              </w:rPr>
              <w:t>Hypertension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787785" w14:textId="77777777" w:rsidR="0043212D" w:rsidRPr="00F52233" w:rsidRDefault="0043212D" w:rsidP="00EE5127">
            <w:pPr>
              <w:pStyle w:val="Body"/>
              <w:jc w:val="center"/>
              <w:rPr>
                <w:lang w:val="en-CA"/>
              </w:rPr>
            </w:pPr>
            <w:r w:rsidRPr="00F52233">
              <w:rPr>
                <w:rFonts w:ascii="Arial" w:hAnsi="Arial"/>
                <w:lang w:val="en-CA"/>
              </w:rPr>
              <w:t>24/79 (30, 21-41)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8DEFF9" w14:textId="77777777" w:rsidR="0043212D" w:rsidRPr="00F52233" w:rsidRDefault="0043212D" w:rsidP="00EE5127">
            <w:pPr>
              <w:pStyle w:val="Body"/>
              <w:jc w:val="center"/>
              <w:rPr>
                <w:lang w:val="en-CA"/>
              </w:rPr>
            </w:pPr>
            <w:r w:rsidRPr="00F52233">
              <w:rPr>
                <w:rFonts w:ascii="Arial" w:hAnsi="Arial"/>
                <w:lang w:val="en-CA"/>
              </w:rPr>
              <w:t>97/396 (24,21-29)</w:t>
            </w:r>
          </w:p>
        </w:tc>
      </w:tr>
      <w:tr w:rsidR="0043212D" w:rsidRPr="00F52233" w14:paraId="311358FD" w14:textId="77777777" w:rsidTr="00EE5127">
        <w:trPr>
          <w:trHeight w:val="282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17AB45" w14:textId="77777777" w:rsidR="0043212D" w:rsidRPr="00F52233" w:rsidRDefault="0043212D" w:rsidP="00EE5127">
            <w:pPr>
              <w:pStyle w:val="Body"/>
              <w:rPr>
                <w:lang w:val="en-CA"/>
              </w:rPr>
            </w:pPr>
            <w:r w:rsidRPr="00F52233">
              <w:rPr>
                <w:rFonts w:ascii="Arial" w:hAnsi="Arial"/>
                <w:lang w:val="en-CA"/>
              </w:rPr>
              <w:t>Any renal disease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12577A" w14:textId="77777777" w:rsidR="0043212D" w:rsidRPr="00F52233" w:rsidRDefault="0043212D" w:rsidP="00EE5127">
            <w:pPr>
              <w:pStyle w:val="Body"/>
              <w:jc w:val="center"/>
              <w:rPr>
                <w:lang w:val="en-CA"/>
              </w:rPr>
            </w:pPr>
            <w:r w:rsidRPr="00F52233">
              <w:rPr>
                <w:rFonts w:ascii="Arial" w:hAnsi="Arial"/>
                <w:lang w:val="en-CA"/>
              </w:rPr>
              <w:t>17/83 (20, 13-30)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B29BE3" w14:textId="77777777" w:rsidR="0043212D" w:rsidRPr="00F52233" w:rsidRDefault="0043212D" w:rsidP="00EE5127">
            <w:pPr>
              <w:pStyle w:val="Body"/>
              <w:jc w:val="center"/>
              <w:rPr>
                <w:lang w:val="en-CA"/>
              </w:rPr>
            </w:pPr>
            <w:r w:rsidRPr="00F52233">
              <w:rPr>
                <w:rFonts w:ascii="Arial" w:hAnsi="Arial"/>
                <w:lang w:val="en-CA"/>
              </w:rPr>
              <w:t>104/392 (27, 22-31)</w:t>
            </w:r>
          </w:p>
        </w:tc>
      </w:tr>
      <w:tr w:rsidR="0043212D" w:rsidRPr="00F52233" w14:paraId="27D9C5FC" w14:textId="77777777" w:rsidTr="00EE5127">
        <w:trPr>
          <w:trHeight w:val="282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49AFC3" w14:textId="77777777" w:rsidR="0043212D" w:rsidRPr="00F52233" w:rsidRDefault="0043212D" w:rsidP="00EE5127">
            <w:pPr>
              <w:pStyle w:val="Body"/>
              <w:rPr>
                <w:lang w:val="en-CA"/>
              </w:rPr>
            </w:pPr>
            <w:r w:rsidRPr="00F52233">
              <w:rPr>
                <w:rFonts w:ascii="Arial" w:hAnsi="Arial"/>
                <w:lang w:val="en-CA"/>
              </w:rPr>
              <w:t>CKD stage ≥3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E89B1C" w14:textId="77777777" w:rsidR="0043212D" w:rsidRPr="00F52233" w:rsidRDefault="0043212D" w:rsidP="00EE5127">
            <w:pPr>
              <w:pStyle w:val="Body"/>
              <w:jc w:val="center"/>
              <w:rPr>
                <w:lang w:val="en-CA"/>
              </w:rPr>
            </w:pPr>
            <w:r w:rsidRPr="00F52233">
              <w:rPr>
                <w:rFonts w:ascii="Arial" w:hAnsi="Arial"/>
                <w:lang w:val="en-CA"/>
              </w:rPr>
              <w:t>5/11 (45, 21-72)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93881F" w14:textId="77777777" w:rsidR="0043212D" w:rsidRPr="00F52233" w:rsidRDefault="0043212D" w:rsidP="00EE5127">
            <w:pPr>
              <w:pStyle w:val="Body"/>
              <w:jc w:val="center"/>
              <w:rPr>
                <w:lang w:val="en-CA"/>
              </w:rPr>
            </w:pPr>
            <w:r w:rsidRPr="00F52233">
              <w:rPr>
                <w:rFonts w:ascii="Arial" w:hAnsi="Arial"/>
                <w:lang w:val="en-CA"/>
              </w:rPr>
              <w:t>112/448 (25, 21-29)</w:t>
            </w:r>
          </w:p>
        </w:tc>
      </w:tr>
      <w:tr w:rsidR="0043212D" w:rsidRPr="00F52233" w14:paraId="43C197D4" w14:textId="77777777" w:rsidTr="00EE5127">
        <w:trPr>
          <w:trHeight w:val="282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8D1B47" w14:textId="77777777" w:rsidR="0043212D" w:rsidRPr="00F52233" w:rsidRDefault="0043212D" w:rsidP="00EE5127">
            <w:pPr>
              <w:pStyle w:val="Body"/>
              <w:rPr>
                <w:lang w:val="en-CA"/>
              </w:rPr>
            </w:pPr>
            <w:r w:rsidRPr="00F52233">
              <w:rPr>
                <w:rFonts w:ascii="Arial" w:hAnsi="Arial"/>
                <w:lang w:val="en-CA"/>
              </w:rPr>
              <w:t>Diabetes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5C5E9E" w14:textId="77777777" w:rsidR="0043212D" w:rsidRPr="00F52233" w:rsidRDefault="0043212D" w:rsidP="00EE5127">
            <w:pPr>
              <w:pStyle w:val="Body"/>
              <w:jc w:val="center"/>
              <w:rPr>
                <w:lang w:val="en-CA"/>
              </w:rPr>
            </w:pPr>
            <w:r w:rsidRPr="00F52233">
              <w:rPr>
                <w:rFonts w:ascii="Arial" w:hAnsi="Arial"/>
                <w:lang w:val="en-CA"/>
              </w:rPr>
              <w:t>0/2 (0,0-1)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A6957C" w14:textId="77777777" w:rsidR="0043212D" w:rsidRPr="00F52233" w:rsidRDefault="0043212D" w:rsidP="00EE5127">
            <w:pPr>
              <w:pStyle w:val="Body"/>
              <w:jc w:val="center"/>
              <w:rPr>
                <w:lang w:val="en-CA"/>
              </w:rPr>
            </w:pPr>
            <w:r w:rsidRPr="00F52233">
              <w:rPr>
                <w:rFonts w:ascii="Arial" w:hAnsi="Arial"/>
                <w:lang w:val="en-CA"/>
              </w:rPr>
              <w:t>121/473 (26,22-30)</w:t>
            </w:r>
          </w:p>
        </w:tc>
      </w:tr>
      <w:tr w:rsidR="0043212D" w:rsidRPr="00F52233" w14:paraId="46BB2902" w14:textId="77777777" w:rsidTr="00EE5127">
        <w:trPr>
          <w:trHeight w:val="282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EA7B6D" w14:textId="77777777" w:rsidR="0043212D" w:rsidRPr="00F52233" w:rsidRDefault="0043212D" w:rsidP="00EE5127">
            <w:pPr>
              <w:pStyle w:val="Body"/>
              <w:rPr>
                <w:lang w:val="en-CA"/>
              </w:rPr>
            </w:pPr>
            <w:r w:rsidRPr="00F52233">
              <w:rPr>
                <w:rFonts w:ascii="Arial" w:hAnsi="Arial"/>
                <w:lang w:val="en-CA"/>
              </w:rPr>
              <w:t>Age &gt;40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8DF583" w14:textId="77777777" w:rsidR="0043212D" w:rsidRPr="00F52233" w:rsidRDefault="0043212D" w:rsidP="00EE5127">
            <w:pPr>
              <w:pStyle w:val="Body"/>
              <w:jc w:val="center"/>
              <w:rPr>
                <w:lang w:val="en-CA"/>
              </w:rPr>
            </w:pPr>
            <w:r w:rsidRPr="00F52233">
              <w:rPr>
                <w:rFonts w:ascii="Arial" w:hAnsi="Arial"/>
                <w:lang w:val="en-CA"/>
              </w:rPr>
              <w:t>2/14 (14, 4-40)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109899" w14:textId="77777777" w:rsidR="0043212D" w:rsidRPr="00F52233" w:rsidRDefault="0043212D" w:rsidP="00EE5127">
            <w:pPr>
              <w:pStyle w:val="Body"/>
              <w:jc w:val="center"/>
              <w:rPr>
                <w:lang w:val="en-CA"/>
              </w:rPr>
            </w:pPr>
            <w:r w:rsidRPr="00F52233">
              <w:rPr>
                <w:rFonts w:ascii="Arial" w:hAnsi="Arial"/>
                <w:lang w:val="en-CA"/>
              </w:rPr>
              <w:t>119/461 (26,22-30)</w:t>
            </w:r>
          </w:p>
        </w:tc>
      </w:tr>
      <w:tr w:rsidR="0043212D" w:rsidRPr="00F52233" w14:paraId="448ED411" w14:textId="77777777" w:rsidTr="00EE5127">
        <w:trPr>
          <w:trHeight w:val="282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20FC48" w14:textId="77777777" w:rsidR="0043212D" w:rsidRPr="00F52233" w:rsidRDefault="0043212D" w:rsidP="00EE5127">
            <w:pPr>
              <w:pStyle w:val="Body"/>
              <w:rPr>
                <w:lang w:val="en-CA"/>
              </w:rPr>
            </w:pPr>
            <w:r w:rsidRPr="00F52233">
              <w:rPr>
                <w:rFonts w:ascii="Arial" w:hAnsi="Arial"/>
                <w:lang w:val="en-CA"/>
              </w:rPr>
              <w:t>BMI ≥35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7B25BB" w14:textId="77777777" w:rsidR="0043212D" w:rsidRPr="00F52233" w:rsidRDefault="0043212D" w:rsidP="00EE5127">
            <w:pPr>
              <w:pStyle w:val="Body"/>
              <w:jc w:val="center"/>
              <w:rPr>
                <w:lang w:val="en-CA"/>
              </w:rPr>
            </w:pPr>
            <w:r w:rsidRPr="00F52233">
              <w:rPr>
                <w:rFonts w:ascii="Arial" w:hAnsi="Arial"/>
                <w:lang w:val="en-CA"/>
              </w:rPr>
              <w:t>8/33 (24, 13-41)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634D06" w14:textId="77777777" w:rsidR="0043212D" w:rsidRPr="00F52233" w:rsidRDefault="0043212D" w:rsidP="00EE5127">
            <w:pPr>
              <w:pStyle w:val="Body"/>
              <w:jc w:val="center"/>
              <w:rPr>
                <w:lang w:val="en-CA"/>
              </w:rPr>
            </w:pPr>
            <w:r w:rsidRPr="00F52233">
              <w:rPr>
                <w:rFonts w:ascii="Arial" w:hAnsi="Arial"/>
                <w:lang w:val="en-CA"/>
              </w:rPr>
              <w:t>113/442 (26,22-30)</w:t>
            </w:r>
          </w:p>
        </w:tc>
      </w:tr>
      <w:tr w:rsidR="0043212D" w:rsidRPr="00F52233" w14:paraId="793A12FC" w14:textId="77777777" w:rsidTr="00EE5127">
        <w:trPr>
          <w:trHeight w:val="282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6A77CD" w14:textId="77777777" w:rsidR="0043212D" w:rsidRPr="00F52233" w:rsidRDefault="0043212D" w:rsidP="00EE5127">
            <w:pPr>
              <w:pStyle w:val="Body"/>
              <w:rPr>
                <w:lang w:val="en-CA"/>
              </w:rPr>
            </w:pPr>
            <w:r w:rsidRPr="00F52233">
              <w:rPr>
                <w:rFonts w:ascii="Arial" w:hAnsi="Arial"/>
                <w:lang w:val="en-CA"/>
              </w:rPr>
              <w:t>Nulliparous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82D555" w14:textId="77777777" w:rsidR="0043212D" w:rsidRPr="00F52233" w:rsidRDefault="0043212D" w:rsidP="00EE5127">
            <w:pPr>
              <w:pStyle w:val="Body"/>
              <w:jc w:val="center"/>
              <w:rPr>
                <w:lang w:val="en-CA"/>
              </w:rPr>
            </w:pPr>
            <w:r w:rsidRPr="00F52233">
              <w:rPr>
                <w:rFonts w:ascii="Arial" w:hAnsi="Arial"/>
                <w:lang w:val="en-CA"/>
              </w:rPr>
              <w:t>37/134 (28,21-36)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3ED9E6" w14:textId="77777777" w:rsidR="0043212D" w:rsidRPr="00F52233" w:rsidRDefault="0043212D" w:rsidP="00EE5127">
            <w:pPr>
              <w:pStyle w:val="Body"/>
              <w:jc w:val="center"/>
              <w:rPr>
                <w:lang w:val="en-CA"/>
              </w:rPr>
            </w:pPr>
            <w:r w:rsidRPr="00F52233">
              <w:rPr>
                <w:rFonts w:ascii="Arial" w:hAnsi="Arial"/>
                <w:lang w:val="en-CA"/>
              </w:rPr>
              <w:t>79/327 (24, 20-29)</w:t>
            </w:r>
          </w:p>
        </w:tc>
      </w:tr>
      <w:tr w:rsidR="0043212D" w:rsidRPr="00F52233" w14:paraId="7FF32190" w14:textId="77777777" w:rsidTr="00EE5127">
        <w:trPr>
          <w:trHeight w:val="282"/>
        </w:trPr>
        <w:tc>
          <w:tcPr>
            <w:tcW w:w="9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F743DC" w14:textId="77777777" w:rsidR="0043212D" w:rsidRPr="00F52233" w:rsidRDefault="0043212D" w:rsidP="00EE5127">
            <w:pPr>
              <w:pStyle w:val="Body"/>
              <w:rPr>
                <w:lang w:val="en-CA"/>
              </w:rPr>
            </w:pPr>
            <w:r w:rsidRPr="00F52233">
              <w:rPr>
                <w:rFonts w:ascii="Arial" w:hAnsi="Arial"/>
                <w:i/>
                <w:iCs/>
                <w:lang w:val="en-CA"/>
              </w:rPr>
              <w:t>SLE-specific risk factors</w:t>
            </w:r>
          </w:p>
        </w:tc>
      </w:tr>
      <w:tr w:rsidR="0043212D" w:rsidRPr="00F52233" w14:paraId="0D5B1B42" w14:textId="77777777" w:rsidTr="00EE5127">
        <w:trPr>
          <w:trHeight w:val="282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5B9EEE" w14:textId="77777777" w:rsidR="0043212D" w:rsidRPr="00F52233" w:rsidRDefault="0043212D" w:rsidP="00EE5127">
            <w:pPr>
              <w:pStyle w:val="Body"/>
              <w:rPr>
                <w:lang w:val="en-CA"/>
              </w:rPr>
            </w:pPr>
            <w:r w:rsidRPr="00F52233">
              <w:rPr>
                <w:rFonts w:ascii="Arial" w:hAnsi="Arial"/>
                <w:lang w:val="en-CA"/>
              </w:rPr>
              <w:t>aPL+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ECCFA0" w14:textId="77777777" w:rsidR="0043212D" w:rsidRPr="00F52233" w:rsidRDefault="0043212D" w:rsidP="00EE5127">
            <w:pPr>
              <w:pStyle w:val="Body"/>
              <w:jc w:val="center"/>
              <w:rPr>
                <w:lang w:val="en-CA"/>
              </w:rPr>
            </w:pPr>
            <w:r w:rsidRPr="00F52233">
              <w:rPr>
                <w:rFonts w:ascii="Arial" w:hAnsi="Arial"/>
                <w:lang w:val="en-CA"/>
              </w:rPr>
              <w:t>13/34 (38, 24-55)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E60BAF" w14:textId="77777777" w:rsidR="0043212D" w:rsidRPr="00F52233" w:rsidRDefault="0043212D" w:rsidP="00EE5127">
            <w:pPr>
              <w:pStyle w:val="Body"/>
              <w:jc w:val="center"/>
              <w:rPr>
                <w:lang w:val="en-CA"/>
              </w:rPr>
            </w:pPr>
            <w:r w:rsidRPr="00F52233">
              <w:rPr>
                <w:rFonts w:ascii="Arial" w:hAnsi="Arial"/>
                <w:lang w:val="en-CA"/>
              </w:rPr>
              <w:t>16/70 (23, 15-34)</w:t>
            </w:r>
          </w:p>
        </w:tc>
      </w:tr>
      <w:tr w:rsidR="0043212D" w:rsidRPr="00F52233" w14:paraId="2C7D22A7" w14:textId="77777777" w:rsidTr="00EE5127">
        <w:trPr>
          <w:trHeight w:val="282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316EEA" w14:textId="77777777" w:rsidR="0043212D" w:rsidRPr="00F52233" w:rsidRDefault="0043212D" w:rsidP="00EE5127">
            <w:pPr>
              <w:pStyle w:val="Body"/>
              <w:rPr>
                <w:lang w:val="en-CA"/>
              </w:rPr>
            </w:pPr>
            <w:r w:rsidRPr="00F52233">
              <w:rPr>
                <w:rFonts w:ascii="Arial" w:hAnsi="Arial"/>
                <w:lang w:val="en-CA"/>
              </w:rPr>
              <w:t>Nephritis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791333" w14:textId="77777777" w:rsidR="0043212D" w:rsidRPr="00F52233" w:rsidRDefault="0043212D" w:rsidP="00EE5127">
            <w:pPr>
              <w:pStyle w:val="Body"/>
              <w:jc w:val="center"/>
              <w:rPr>
                <w:lang w:val="en-CA"/>
              </w:rPr>
            </w:pPr>
            <w:r w:rsidRPr="00F52233">
              <w:rPr>
                <w:rFonts w:ascii="Arial" w:hAnsi="Arial"/>
                <w:lang w:val="en-CA"/>
              </w:rPr>
              <w:t>11/53 (21, 12-23)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E25FAB" w14:textId="77777777" w:rsidR="0043212D" w:rsidRPr="00F52233" w:rsidRDefault="0043212D" w:rsidP="00EE5127">
            <w:pPr>
              <w:pStyle w:val="Body"/>
              <w:jc w:val="center"/>
              <w:rPr>
                <w:lang w:val="en-CA"/>
              </w:rPr>
            </w:pPr>
            <w:r w:rsidRPr="00F52233">
              <w:rPr>
                <w:rFonts w:ascii="Arial" w:hAnsi="Arial"/>
                <w:lang w:val="en-CA"/>
              </w:rPr>
              <w:t>108/417 (26, 22-30)</w:t>
            </w:r>
          </w:p>
        </w:tc>
      </w:tr>
    </w:tbl>
    <w:p w14:paraId="57A719FD" w14:textId="77777777" w:rsidR="0043212D" w:rsidRPr="00F52233" w:rsidRDefault="0043212D" w:rsidP="0043212D">
      <w:pPr>
        <w:pStyle w:val="Body"/>
        <w:widowControl w:val="0"/>
        <w:rPr>
          <w:rFonts w:ascii="Arial" w:eastAsia="Arial" w:hAnsi="Arial" w:cs="Arial"/>
          <w:lang w:val="en-CA"/>
        </w:rPr>
      </w:pPr>
    </w:p>
    <w:p w14:paraId="409CD707" w14:textId="77777777" w:rsidR="0043212D" w:rsidRPr="00F52233" w:rsidRDefault="0043212D" w:rsidP="0043212D">
      <w:pPr>
        <w:pStyle w:val="Body"/>
        <w:jc w:val="both"/>
        <w:rPr>
          <w:rFonts w:ascii="Arial" w:eastAsia="Arial" w:hAnsi="Arial" w:cs="Arial"/>
          <w:lang w:val="en-CA"/>
        </w:rPr>
      </w:pPr>
    </w:p>
    <w:p w14:paraId="5BF1F265" w14:textId="77777777" w:rsidR="0043212D" w:rsidRPr="00F52233" w:rsidRDefault="0043212D" w:rsidP="0043212D">
      <w:pPr>
        <w:pStyle w:val="Body"/>
        <w:jc w:val="both"/>
        <w:rPr>
          <w:rFonts w:ascii="Arial" w:hAnsi="Arial"/>
          <w:lang w:val="en-CA"/>
        </w:rPr>
      </w:pPr>
      <w:r w:rsidRPr="00F52233">
        <w:rPr>
          <w:rFonts w:ascii="Arial" w:hAnsi="Arial"/>
          <w:lang w:val="en-CA"/>
        </w:rPr>
        <w:t>PE, preeclampsia; renal disease is defined as any of nephritis, nephrotic syndrome, or chroni</w:t>
      </w:r>
      <w:r>
        <w:rPr>
          <w:rFonts w:ascii="Arial" w:hAnsi="Arial"/>
          <w:lang w:val="en-CA"/>
        </w:rPr>
        <w:t>c</w:t>
      </w:r>
      <w:r w:rsidRPr="00F52233">
        <w:rPr>
          <w:rFonts w:ascii="Arial" w:hAnsi="Arial"/>
          <w:lang w:val="en-CA"/>
        </w:rPr>
        <w:t xml:space="preserve"> kidney disease (CKD); BMI, Body Mass Index; aPL+, antiphospholipid antibody positive</w:t>
      </w:r>
    </w:p>
    <w:p w14:paraId="7D8B0CB9" w14:textId="77777777" w:rsidR="0043212D" w:rsidRPr="00B2699B" w:rsidRDefault="0043212D" w:rsidP="00FD543B">
      <w:pPr>
        <w:pStyle w:val="ListParagraph"/>
        <w:ind w:left="360"/>
        <w:rPr>
          <w:rFonts w:ascii="Arial" w:hAnsi="Arial" w:cs="Arial"/>
          <w:lang w:val="en-CA"/>
        </w:rPr>
      </w:pPr>
    </w:p>
    <w:sectPr w:rsidR="0043212D" w:rsidRPr="00B2699B" w:rsidSect="00FD543B">
      <w:footerReference w:type="first" r:id="rId7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51CFEF" w14:textId="77777777" w:rsidR="00606335" w:rsidRDefault="00606335" w:rsidP="0043212D">
      <w:r>
        <w:separator/>
      </w:r>
    </w:p>
  </w:endnote>
  <w:endnote w:type="continuationSeparator" w:id="0">
    <w:p w14:paraId="41409059" w14:textId="77777777" w:rsidR="00606335" w:rsidRDefault="00606335" w:rsidP="00432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497884" w14:textId="6FB0D4A1" w:rsidR="0043212D" w:rsidRPr="00FD543B" w:rsidRDefault="0043212D" w:rsidP="00FD543B">
    <w:pPr>
      <w:pStyle w:val="ListParagraph"/>
      <w:numPr>
        <w:ilvl w:val="0"/>
        <w:numId w:val="3"/>
      </w:numPr>
      <w:rPr>
        <w:rFonts w:ascii="Arial" w:hAnsi="Arial" w:cs="Arial"/>
        <w:lang w:val="en-CA"/>
      </w:rPr>
    </w:pPr>
    <w:proofErr w:type="spellStart"/>
    <w:r w:rsidRPr="00FD543B">
      <w:rPr>
        <w:rFonts w:ascii="Arial" w:hAnsi="Arial" w:cs="Arial"/>
      </w:rPr>
      <w:t>Hanly</w:t>
    </w:r>
    <w:proofErr w:type="spellEnd"/>
    <w:r w:rsidRPr="00FD543B">
      <w:rPr>
        <w:rFonts w:ascii="Arial" w:hAnsi="Arial" w:cs="Arial"/>
      </w:rPr>
      <w:t xml:space="preserve"> JG, </w:t>
    </w:r>
    <w:proofErr w:type="spellStart"/>
    <w:r w:rsidRPr="00FD543B">
      <w:rPr>
        <w:rFonts w:ascii="Arial" w:hAnsi="Arial" w:cs="Arial"/>
      </w:rPr>
      <w:t>Urowitz</w:t>
    </w:r>
    <w:proofErr w:type="spellEnd"/>
    <w:r w:rsidRPr="00FD543B">
      <w:rPr>
        <w:rFonts w:ascii="Arial" w:hAnsi="Arial" w:cs="Arial"/>
      </w:rPr>
      <w:t xml:space="preserve"> MB, Su L, et al. Autoantibodies as biomarkers for the prediction of neuropsychiatric events in systemic lupus erythematosus. </w:t>
    </w:r>
    <w:r w:rsidRPr="00FD543B">
      <w:rPr>
        <w:rFonts w:ascii="Arial" w:hAnsi="Arial" w:cs="Arial"/>
        <w:i/>
      </w:rPr>
      <w:t>Ann Rheum Dis</w:t>
    </w:r>
    <w:r w:rsidRPr="00FD543B">
      <w:rPr>
        <w:rFonts w:ascii="Arial" w:hAnsi="Arial" w:cs="Arial"/>
      </w:rPr>
      <w:t xml:space="preserve"> 2011;70(10):1726-32.</w:t>
    </w:r>
  </w:p>
  <w:p w14:paraId="4750A259" w14:textId="77777777" w:rsidR="0043212D" w:rsidRDefault="004321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08BA10" w14:textId="77777777" w:rsidR="00606335" w:rsidRDefault="00606335" w:rsidP="0043212D">
      <w:r>
        <w:separator/>
      </w:r>
    </w:p>
  </w:footnote>
  <w:footnote w:type="continuationSeparator" w:id="0">
    <w:p w14:paraId="3252588A" w14:textId="77777777" w:rsidR="00606335" w:rsidRDefault="00606335" w:rsidP="004321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9847B9"/>
    <w:multiLevelType w:val="hybridMultilevel"/>
    <w:tmpl w:val="83EEC5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D9611A"/>
    <w:multiLevelType w:val="hybridMultilevel"/>
    <w:tmpl w:val="91504696"/>
    <w:lvl w:ilvl="0" w:tplc="51A21A2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3A145E"/>
    <w:multiLevelType w:val="hybridMultilevel"/>
    <w:tmpl w:val="70A85E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 w:grammar="clean"/>
  <w:trackRevisions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2977"/>
    <w:rsid w:val="00032DBC"/>
    <w:rsid w:val="00055EB2"/>
    <w:rsid w:val="00064B30"/>
    <w:rsid w:val="0007441D"/>
    <w:rsid w:val="000E5EF8"/>
    <w:rsid w:val="001049C2"/>
    <w:rsid w:val="001545FA"/>
    <w:rsid w:val="00157F9E"/>
    <w:rsid w:val="0016492A"/>
    <w:rsid w:val="0016677A"/>
    <w:rsid w:val="00186F4B"/>
    <w:rsid w:val="001C7314"/>
    <w:rsid w:val="00274EE6"/>
    <w:rsid w:val="002B498A"/>
    <w:rsid w:val="002C5D71"/>
    <w:rsid w:val="0031512D"/>
    <w:rsid w:val="00342C4E"/>
    <w:rsid w:val="003577A8"/>
    <w:rsid w:val="003D2A9A"/>
    <w:rsid w:val="003E2EF1"/>
    <w:rsid w:val="00401952"/>
    <w:rsid w:val="0043212D"/>
    <w:rsid w:val="00436C27"/>
    <w:rsid w:val="004911B6"/>
    <w:rsid w:val="004E4EE4"/>
    <w:rsid w:val="004E5335"/>
    <w:rsid w:val="00511BD5"/>
    <w:rsid w:val="005A5232"/>
    <w:rsid w:val="005B3655"/>
    <w:rsid w:val="005C08AB"/>
    <w:rsid w:val="005C731E"/>
    <w:rsid w:val="005D7F3A"/>
    <w:rsid w:val="005E218C"/>
    <w:rsid w:val="00606335"/>
    <w:rsid w:val="00647C19"/>
    <w:rsid w:val="00652666"/>
    <w:rsid w:val="00656E19"/>
    <w:rsid w:val="00686116"/>
    <w:rsid w:val="006A27B4"/>
    <w:rsid w:val="006E0765"/>
    <w:rsid w:val="006E1739"/>
    <w:rsid w:val="0070188F"/>
    <w:rsid w:val="00771056"/>
    <w:rsid w:val="007747C3"/>
    <w:rsid w:val="007C3CF3"/>
    <w:rsid w:val="00821F2A"/>
    <w:rsid w:val="0082335D"/>
    <w:rsid w:val="0084728E"/>
    <w:rsid w:val="00874B7C"/>
    <w:rsid w:val="00876A50"/>
    <w:rsid w:val="008B4701"/>
    <w:rsid w:val="00921118"/>
    <w:rsid w:val="00936D24"/>
    <w:rsid w:val="00962284"/>
    <w:rsid w:val="00973B61"/>
    <w:rsid w:val="00975858"/>
    <w:rsid w:val="00985028"/>
    <w:rsid w:val="009A2B9D"/>
    <w:rsid w:val="009C077F"/>
    <w:rsid w:val="009F35E4"/>
    <w:rsid w:val="00A503B6"/>
    <w:rsid w:val="00A83EF9"/>
    <w:rsid w:val="00AD3670"/>
    <w:rsid w:val="00AF2675"/>
    <w:rsid w:val="00B0141D"/>
    <w:rsid w:val="00B02EDF"/>
    <w:rsid w:val="00B14705"/>
    <w:rsid w:val="00B25E22"/>
    <w:rsid w:val="00B2699B"/>
    <w:rsid w:val="00BF3E08"/>
    <w:rsid w:val="00C12977"/>
    <w:rsid w:val="00C41C2D"/>
    <w:rsid w:val="00CB254B"/>
    <w:rsid w:val="00D11A3A"/>
    <w:rsid w:val="00D61F8D"/>
    <w:rsid w:val="00D76348"/>
    <w:rsid w:val="00DA22CD"/>
    <w:rsid w:val="00DA5BE4"/>
    <w:rsid w:val="00E823E9"/>
    <w:rsid w:val="00EB0256"/>
    <w:rsid w:val="00F2449C"/>
    <w:rsid w:val="00F42466"/>
    <w:rsid w:val="00F56EB6"/>
    <w:rsid w:val="00F82BE4"/>
    <w:rsid w:val="00FB1BD2"/>
    <w:rsid w:val="00FB52F9"/>
    <w:rsid w:val="00FD4E8E"/>
    <w:rsid w:val="00FD543B"/>
    <w:rsid w:val="00FF5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D5E27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rsid w:val="00CB254B"/>
    <w:rPr>
      <w:lang w:val="en-US"/>
    </w:rPr>
  </w:style>
  <w:style w:type="paragraph" w:styleId="ListParagraph">
    <w:name w:val="List Paragraph"/>
    <w:basedOn w:val="Normal"/>
    <w:uiPriority w:val="34"/>
    <w:qFormat/>
    <w:rsid w:val="00CB254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212D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12D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321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212D"/>
  </w:style>
  <w:style w:type="paragraph" w:styleId="Footer">
    <w:name w:val="footer"/>
    <w:basedOn w:val="Normal"/>
    <w:link w:val="FooterChar"/>
    <w:uiPriority w:val="99"/>
    <w:unhideWhenUsed/>
    <w:rsid w:val="004321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212D"/>
  </w:style>
  <w:style w:type="paragraph" w:customStyle="1" w:styleId="Body">
    <w:name w:val="Body"/>
    <w:rsid w:val="0043212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Arielle Mendel</dc:creator>
  <cp:keywords/>
  <dc:description/>
  <cp:lastModifiedBy>Arielle Mendel</cp:lastModifiedBy>
  <cp:revision>3</cp:revision>
  <dcterms:created xsi:type="dcterms:W3CDTF">2018-11-21T03:33:00Z</dcterms:created>
  <dcterms:modified xsi:type="dcterms:W3CDTF">2018-11-21T03:34:00Z</dcterms:modified>
</cp:coreProperties>
</file>