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7B" w:rsidRDefault="00333B7B" w:rsidP="00333B7B">
      <w:pPr>
        <w:pStyle w:val="Kop2"/>
      </w:pPr>
      <w:r>
        <w:rPr>
          <w:szCs w:val="22"/>
        </w:rPr>
        <w:t xml:space="preserve">Online </w:t>
      </w:r>
      <w:r w:rsidRPr="000D40B7">
        <w:rPr>
          <w:szCs w:val="22"/>
        </w:rPr>
        <w:t xml:space="preserve">Supplementary Figure </w:t>
      </w:r>
      <w:r>
        <w:rPr>
          <w:szCs w:val="22"/>
        </w:rPr>
        <w:t>S</w:t>
      </w:r>
      <w:r w:rsidRPr="000D40B7">
        <w:rPr>
          <w:szCs w:val="22"/>
        </w:rPr>
        <w:t xml:space="preserve">1. </w:t>
      </w:r>
      <w:r w:rsidRPr="00654755">
        <w:rPr>
          <w:color w:val="000000"/>
          <w:szCs w:val="22"/>
        </w:rPr>
        <w:t xml:space="preserve">Box plots of PS distributions for patients treated with </w:t>
      </w:r>
      <w:proofErr w:type="spellStart"/>
      <w:r w:rsidRPr="00654755">
        <w:rPr>
          <w:color w:val="000000"/>
          <w:szCs w:val="22"/>
        </w:rPr>
        <w:t>belimumab</w:t>
      </w:r>
      <w:proofErr w:type="spellEnd"/>
      <w:r w:rsidRPr="00654755">
        <w:rPr>
          <w:color w:val="000000"/>
          <w:szCs w:val="22"/>
        </w:rPr>
        <w:t xml:space="preserve"> and </w:t>
      </w:r>
      <w:proofErr w:type="spellStart"/>
      <w:r w:rsidRPr="00654755">
        <w:rPr>
          <w:color w:val="000000"/>
          <w:szCs w:val="22"/>
        </w:rPr>
        <w:t>S</w:t>
      </w:r>
      <w:r>
        <w:rPr>
          <w:color w:val="000000"/>
          <w:szCs w:val="22"/>
        </w:rPr>
        <w:t>o</w:t>
      </w:r>
      <w:r w:rsidRPr="00654755">
        <w:rPr>
          <w:color w:val="000000"/>
          <w:szCs w:val="22"/>
        </w:rPr>
        <w:t>C</w:t>
      </w:r>
      <w:proofErr w:type="spellEnd"/>
      <w:r w:rsidRPr="00654755">
        <w:rPr>
          <w:color w:val="000000"/>
          <w:szCs w:val="22"/>
        </w:rPr>
        <w:t>, used for PS-adjusted analysis of (A) 5-year change in SDI score (n=567) and (B) time to first increase in SDI score (n=965)</w:t>
      </w:r>
      <w:r>
        <w:t xml:space="preserve"> </w:t>
      </w:r>
    </w:p>
    <w:p w:rsidR="00333B7B" w:rsidRPr="005461D4" w:rsidRDefault="00333B7B" w:rsidP="00333B7B">
      <w:r>
        <w:rPr>
          <w:noProof/>
          <w:lang w:val="nl-NL" w:eastAsia="nl-NL"/>
        </w:rPr>
        <w:drawing>
          <wp:inline distT="0" distB="0" distL="0" distR="0">
            <wp:extent cx="5177169" cy="6666614"/>
            <wp:effectExtent l="19050" t="0" r="443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820" cy="666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7B" w:rsidRPr="00654755" w:rsidRDefault="00333B7B" w:rsidP="00333B7B">
      <w:pPr>
        <w:spacing w:line="360" w:lineRule="auto"/>
      </w:pPr>
      <w:r w:rsidRPr="00654755">
        <w:t xml:space="preserve">Note: </w:t>
      </w:r>
      <w:r w:rsidRPr="00654755">
        <w:rPr>
          <w:color w:val="000000"/>
        </w:rPr>
        <w:t>The range of support for PS</w:t>
      </w:r>
      <w:r>
        <w:rPr>
          <w:color w:val="000000"/>
        </w:rPr>
        <w:t xml:space="preserve"> </w:t>
      </w:r>
      <w:r w:rsidRPr="00654755">
        <w:rPr>
          <w:color w:val="000000"/>
        </w:rPr>
        <w:t xml:space="preserve">adjustment is illustrated by the overlap in PS distributions across groups (i.e., the difference </w:t>
      </w:r>
      <w:r>
        <w:rPr>
          <w:color w:val="000000"/>
        </w:rPr>
        <w:t>between</w:t>
      </w:r>
      <w:r w:rsidRPr="00654755">
        <w:rPr>
          <w:color w:val="000000"/>
        </w:rPr>
        <w:t xml:space="preserve"> the smallest PS among </w:t>
      </w:r>
      <w:proofErr w:type="spellStart"/>
      <w:r w:rsidRPr="00654755">
        <w:rPr>
          <w:color w:val="000000"/>
        </w:rPr>
        <w:t>belimumab</w:t>
      </w:r>
      <w:proofErr w:type="spellEnd"/>
      <w:r w:rsidRPr="00654755">
        <w:rPr>
          <w:color w:val="000000"/>
        </w:rPr>
        <w:t xml:space="preserve"> patients and the largest PS among </w:t>
      </w:r>
      <w:proofErr w:type="spellStart"/>
      <w:r w:rsidRPr="00654755">
        <w:rPr>
          <w:color w:val="000000"/>
        </w:rPr>
        <w:t>SoC</w:t>
      </w:r>
      <w:proofErr w:type="spellEnd"/>
      <w:r w:rsidRPr="00654755">
        <w:rPr>
          <w:color w:val="000000"/>
        </w:rPr>
        <w:t xml:space="preserve"> patients).</w:t>
      </w:r>
    </w:p>
    <w:p w:rsidR="00333B7B" w:rsidRDefault="00333B7B" w:rsidP="00333B7B">
      <w:pPr>
        <w:spacing w:line="360" w:lineRule="auto"/>
        <w:rPr>
          <w:b/>
          <w:sz w:val="24"/>
        </w:rPr>
      </w:pPr>
      <w:r>
        <w:rPr>
          <w:sz w:val="20"/>
        </w:rPr>
        <w:t xml:space="preserve">PS, propensity score; </w:t>
      </w:r>
      <w:proofErr w:type="spellStart"/>
      <w:r w:rsidRPr="00CF6391">
        <w:rPr>
          <w:sz w:val="20"/>
        </w:rPr>
        <w:t>SoC</w:t>
      </w:r>
      <w:proofErr w:type="spellEnd"/>
      <w:r w:rsidRPr="00CF6391">
        <w:rPr>
          <w:sz w:val="20"/>
        </w:rPr>
        <w:t>, standard</w:t>
      </w:r>
      <w:r>
        <w:rPr>
          <w:sz w:val="20"/>
        </w:rPr>
        <w:t xml:space="preserve"> of care</w:t>
      </w:r>
      <w:r w:rsidRPr="00CF6391">
        <w:rPr>
          <w:sz w:val="20"/>
        </w:rPr>
        <w:t>.</w:t>
      </w:r>
    </w:p>
    <w:p w:rsidR="00333B7B" w:rsidRPr="00654755" w:rsidRDefault="00333B7B" w:rsidP="00333B7B">
      <w:pPr>
        <w:spacing w:after="0" w:line="360" w:lineRule="auto"/>
      </w:pPr>
    </w:p>
    <w:p w:rsidR="00333B7B" w:rsidRPr="00654755" w:rsidRDefault="00333B7B" w:rsidP="00333B7B">
      <w:pPr>
        <w:pStyle w:val="Kop2"/>
        <w:rPr>
          <w:sz w:val="20"/>
        </w:rPr>
      </w:pPr>
      <w:r>
        <w:t xml:space="preserve">Online </w:t>
      </w:r>
      <w:r w:rsidRPr="00654755">
        <w:t>S</w:t>
      </w:r>
      <w:r>
        <w:t>upplementary Table S1</w:t>
      </w:r>
      <w:r w:rsidRPr="00654755">
        <w:t xml:space="preserve">. </w:t>
      </w:r>
      <w:r>
        <w:t>Percentage of patients with corticos</w:t>
      </w:r>
      <w:r w:rsidRPr="00654755">
        <w:rPr>
          <w:szCs w:val="24"/>
        </w:rPr>
        <w:t>teroid use from baseline to Year 5 by treatment</w:t>
      </w:r>
    </w:p>
    <w:tbl>
      <w:tblPr>
        <w:tblW w:w="5000" w:type="pct"/>
        <w:tblLook w:val="04A0"/>
      </w:tblPr>
      <w:tblGrid>
        <w:gridCol w:w="2478"/>
        <w:gridCol w:w="1475"/>
        <w:gridCol w:w="1721"/>
        <w:gridCol w:w="1721"/>
        <w:gridCol w:w="1847"/>
      </w:tblGrid>
      <w:tr w:rsidR="00333B7B" w:rsidRPr="000F4AD5" w:rsidTr="00876119">
        <w:trPr>
          <w:trHeight w:val="300"/>
        </w:trPr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rPr>
                <w:rFonts w:eastAsia="Times New Roman"/>
                <w:b/>
                <w:bCs/>
                <w:iCs/>
                <w:color w:val="000000"/>
              </w:rPr>
            </w:pPr>
            <w:r w:rsidRPr="00B4444E">
              <w:rPr>
                <w:b/>
              </w:rPr>
              <w:t>Corticos</w:t>
            </w:r>
            <w:r w:rsidRPr="000F4AD5">
              <w:rPr>
                <w:b/>
              </w:rPr>
              <w:t>teroid</w:t>
            </w:r>
            <w:r w:rsidRPr="000F4AD5">
              <w:rPr>
                <w:rFonts w:eastAsia="Times New Roman"/>
                <w:b/>
                <w:bCs/>
                <w:iCs/>
                <w:color w:val="000000"/>
              </w:rPr>
              <w:t xml:space="preserve"> Dose, mg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  <w:r w:rsidRPr="000F4AD5">
              <w:rPr>
                <w:rFonts w:eastAsia="Times New Roman"/>
                <w:b/>
                <w:bCs/>
                <w:iCs/>
                <w:color w:val="000000"/>
              </w:rPr>
              <w:t>None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  <w:r w:rsidRPr="000F4AD5">
              <w:rPr>
                <w:rFonts w:eastAsia="Times New Roman"/>
                <w:b/>
                <w:bCs/>
                <w:iCs/>
                <w:color w:val="000000"/>
              </w:rPr>
              <w:t>&gt;0 to &lt;7.5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  <w:r w:rsidRPr="000F4AD5">
              <w:rPr>
                <w:rFonts w:eastAsia="Times New Roman" w:cs="Calibri"/>
                <w:b/>
                <w:bCs/>
                <w:iCs/>
                <w:color w:val="000000"/>
              </w:rPr>
              <w:t>≥</w:t>
            </w:r>
            <w:r w:rsidRPr="000F4AD5">
              <w:rPr>
                <w:rFonts w:eastAsia="Times New Roman"/>
                <w:b/>
                <w:bCs/>
                <w:iCs/>
                <w:color w:val="000000"/>
              </w:rPr>
              <w:t>7.5 to &lt;20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  <w:r w:rsidRPr="000F4AD5">
              <w:rPr>
                <w:rFonts w:eastAsia="Times New Roman" w:cs="Calibri"/>
                <w:b/>
                <w:bCs/>
                <w:iCs/>
                <w:color w:val="000000"/>
              </w:rPr>
              <w:t>≥</w:t>
            </w:r>
            <w:r w:rsidRPr="000F4AD5">
              <w:rPr>
                <w:rFonts w:eastAsia="Times New Roman"/>
                <w:b/>
                <w:bCs/>
                <w:iCs/>
                <w:color w:val="000000"/>
              </w:rPr>
              <w:t>20</w:t>
            </w: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  <w:iCs/>
                <w:color w:val="000000"/>
              </w:rPr>
            </w:pPr>
            <w:r w:rsidRPr="000F4AD5">
              <w:rPr>
                <w:rFonts w:cs="Calibri"/>
                <w:b/>
                <w:bCs/>
                <w:iCs/>
                <w:color w:val="000000"/>
              </w:rPr>
              <w:t>Baseline</w:t>
            </w:r>
            <w:r>
              <w:rPr>
                <w:rFonts w:cs="Calibri"/>
                <w:b/>
                <w:bCs/>
                <w:iCs/>
                <w:color w:val="000000"/>
              </w:rPr>
              <w:t>, %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 </w:t>
            </w: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</w:rPr>
            </w:pPr>
            <w:proofErr w:type="spellStart"/>
            <w:r w:rsidRPr="000F4AD5">
              <w:rPr>
                <w:rFonts w:cs="Calibri"/>
                <w:color w:val="000000"/>
              </w:rPr>
              <w:t>SoC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33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9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33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24</w:t>
            </w: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</w:rPr>
            </w:pPr>
            <w:proofErr w:type="spellStart"/>
            <w:r w:rsidRPr="000F4AD5">
              <w:rPr>
                <w:rFonts w:cs="Calibri"/>
                <w:color w:val="000000"/>
              </w:rPr>
              <w:t>Belimumab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35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25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29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10</w:t>
            </w: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  <w:iCs/>
                <w:color w:val="000000"/>
              </w:rPr>
            </w:pPr>
            <w:r w:rsidRPr="000F4AD5">
              <w:rPr>
                <w:rFonts w:eastAsia="Times New Roman"/>
                <w:b/>
                <w:bCs/>
                <w:iCs/>
                <w:color w:val="000000"/>
              </w:rPr>
              <w:t>Year 1</w:t>
            </w:r>
            <w:r>
              <w:rPr>
                <w:rFonts w:eastAsia="Times New Roman"/>
                <w:b/>
                <w:bCs/>
                <w:iCs/>
                <w:color w:val="000000"/>
              </w:rPr>
              <w:t>, %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</w:rPr>
            </w:pPr>
            <w:proofErr w:type="spellStart"/>
            <w:r w:rsidRPr="000F4AD5">
              <w:rPr>
                <w:rFonts w:eastAsia="Times New Roman"/>
                <w:color w:val="000000"/>
              </w:rPr>
              <w:t>SoC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22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20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40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17</w:t>
            </w: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</w:rPr>
            </w:pPr>
            <w:proofErr w:type="spellStart"/>
            <w:r w:rsidRPr="000F4AD5">
              <w:rPr>
                <w:rFonts w:cs="Calibri"/>
                <w:color w:val="000000"/>
              </w:rPr>
              <w:t>Belimumab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44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30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2</w:t>
            </w: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  <w:iCs/>
                <w:color w:val="000000"/>
              </w:rPr>
            </w:pPr>
            <w:r w:rsidRPr="000F4AD5">
              <w:rPr>
                <w:rFonts w:eastAsia="Times New Roman"/>
                <w:b/>
                <w:bCs/>
                <w:iCs/>
                <w:color w:val="000000"/>
              </w:rPr>
              <w:t>Years 2–3</w:t>
            </w:r>
            <w:r>
              <w:rPr>
                <w:rFonts w:eastAsia="Times New Roman"/>
                <w:b/>
                <w:bCs/>
                <w:iCs/>
                <w:color w:val="000000"/>
              </w:rPr>
              <w:t>, %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</w:rPr>
            </w:pPr>
            <w:proofErr w:type="spellStart"/>
            <w:r w:rsidRPr="000F4AD5">
              <w:rPr>
                <w:rFonts w:eastAsia="Times New Roman"/>
                <w:color w:val="000000"/>
              </w:rPr>
              <w:t>SoC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23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30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41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6</w:t>
            </w: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</w:rPr>
            </w:pPr>
            <w:proofErr w:type="spellStart"/>
            <w:r w:rsidRPr="000F4AD5">
              <w:rPr>
                <w:rFonts w:cs="Calibri"/>
                <w:color w:val="000000"/>
              </w:rPr>
              <w:t>Belimumab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28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47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5</w:t>
            </w: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  <w:iCs/>
                <w:color w:val="000000"/>
              </w:rPr>
            </w:pPr>
            <w:r w:rsidRPr="000F4AD5">
              <w:rPr>
                <w:rFonts w:eastAsia="Times New Roman"/>
                <w:b/>
                <w:bCs/>
                <w:iCs/>
                <w:color w:val="000000"/>
              </w:rPr>
              <w:t>Years 4–5</w:t>
            </w:r>
            <w:r>
              <w:rPr>
                <w:rFonts w:eastAsia="Times New Roman"/>
                <w:b/>
                <w:bCs/>
                <w:iCs/>
                <w:color w:val="000000"/>
              </w:rPr>
              <w:t>, %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</w:rPr>
            </w:pPr>
            <w:proofErr w:type="spellStart"/>
            <w:r w:rsidRPr="000F4AD5">
              <w:rPr>
                <w:rFonts w:eastAsia="Times New Roman"/>
                <w:color w:val="000000"/>
              </w:rPr>
              <w:t>SoC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33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33</w:t>
            </w:r>
          </w:p>
        </w:tc>
        <w:tc>
          <w:tcPr>
            <w:tcW w:w="931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30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5</w:t>
            </w:r>
          </w:p>
        </w:tc>
      </w:tr>
      <w:tr w:rsidR="00333B7B" w:rsidRPr="000F4AD5" w:rsidTr="00876119">
        <w:trPr>
          <w:trHeight w:val="300"/>
        </w:trPr>
        <w:tc>
          <w:tcPr>
            <w:tcW w:w="13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</w:rPr>
            </w:pPr>
            <w:proofErr w:type="spellStart"/>
            <w:r w:rsidRPr="000F4AD5">
              <w:rPr>
                <w:rFonts w:cs="Calibri"/>
                <w:color w:val="000000"/>
              </w:rPr>
              <w:t>Belimumab</w:t>
            </w:r>
            <w:proofErr w:type="spellEnd"/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35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43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17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B7B" w:rsidRPr="000F4AD5" w:rsidRDefault="00333B7B" w:rsidP="0087611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F4AD5">
              <w:rPr>
                <w:rFonts w:cs="Calibri"/>
                <w:color w:val="000000"/>
              </w:rPr>
              <w:t>5</w:t>
            </w:r>
          </w:p>
        </w:tc>
      </w:tr>
    </w:tbl>
    <w:p w:rsidR="00333B7B" w:rsidRPr="00EA207A" w:rsidRDefault="00333B7B" w:rsidP="00333B7B">
      <w:pPr>
        <w:rPr>
          <w:sz w:val="20"/>
        </w:rPr>
      </w:pPr>
      <w:proofErr w:type="spellStart"/>
      <w:r>
        <w:rPr>
          <w:sz w:val="20"/>
        </w:rPr>
        <w:t>SoC</w:t>
      </w:r>
      <w:proofErr w:type="spellEnd"/>
      <w:r>
        <w:rPr>
          <w:sz w:val="20"/>
        </w:rPr>
        <w:t>, standard of care.</w:t>
      </w:r>
    </w:p>
    <w:p w:rsidR="00333B7B" w:rsidRDefault="00333B7B" w:rsidP="00333B7B">
      <w:pPr>
        <w:rPr>
          <w:b/>
        </w:rPr>
        <w:sectPr w:rsidR="00333B7B" w:rsidSect="00FF74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33B7B" w:rsidRDefault="00333B7B" w:rsidP="00333B7B">
      <w:pPr>
        <w:pStyle w:val="Kop2"/>
      </w:pPr>
      <w:r>
        <w:lastRenderedPageBreak/>
        <w:t>Online Supplementary Table S2. Use of immunosuppressive medication in the BLISS LTE and TLC cohorts (N=number of patients treated with an immunosuppressive medication)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7"/>
        <w:gridCol w:w="2974"/>
        <w:gridCol w:w="2975"/>
      </w:tblGrid>
      <w:tr w:rsidR="00333B7B" w:rsidRPr="00512091" w:rsidTr="00876119"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33B7B" w:rsidRPr="00512091" w:rsidRDefault="00333B7B" w:rsidP="00876119">
            <w:pPr>
              <w:rPr>
                <w:rFonts w:cstheme="minorHAnsi"/>
                <w:b/>
                <w:szCs w:val="24"/>
              </w:rPr>
            </w:pPr>
            <w:r w:rsidRPr="00512091">
              <w:rPr>
                <w:rFonts w:cstheme="minorHAnsi"/>
                <w:b/>
                <w:szCs w:val="24"/>
              </w:rPr>
              <w:t>Immunosuppressive, n (%)</w:t>
            </w:r>
            <w:r>
              <w:rPr>
                <w:rFonts w:cstheme="minorHAnsi"/>
                <w:b/>
                <w:szCs w:val="24"/>
              </w:rPr>
              <w:t>*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33B7B" w:rsidRPr="00512091" w:rsidRDefault="00333B7B" w:rsidP="00876119">
            <w:pPr>
              <w:rPr>
                <w:rFonts w:cstheme="minorHAnsi"/>
                <w:b/>
                <w:szCs w:val="24"/>
              </w:rPr>
            </w:pPr>
            <w:r w:rsidRPr="00512091">
              <w:rPr>
                <w:rFonts w:cstheme="minorHAnsi"/>
                <w:b/>
                <w:szCs w:val="24"/>
              </w:rPr>
              <w:t>TLC (N=48)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33B7B" w:rsidRPr="00512091" w:rsidRDefault="00333B7B" w:rsidP="00876119">
            <w:pPr>
              <w:rPr>
                <w:rFonts w:cstheme="minorHAnsi"/>
                <w:b/>
                <w:szCs w:val="24"/>
              </w:rPr>
            </w:pPr>
            <w:r w:rsidRPr="00512091">
              <w:rPr>
                <w:rFonts w:cstheme="minorHAnsi"/>
                <w:b/>
                <w:szCs w:val="24"/>
              </w:rPr>
              <w:t>BLISS LTE cohort (N=52)</w:t>
            </w:r>
          </w:p>
        </w:tc>
      </w:tr>
      <w:tr w:rsidR="00333B7B" w:rsidRPr="00512091" w:rsidTr="00876119">
        <w:tc>
          <w:tcPr>
            <w:tcW w:w="3077" w:type="dxa"/>
            <w:tcBorders>
              <w:top w:val="single" w:sz="4" w:space="0" w:color="auto"/>
            </w:tcBorders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proofErr w:type="spellStart"/>
            <w:r w:rsidRPr="00512091">
              <w:rPr>
                <w:rFonts w:cstheme="minorHAnsi"/>
                <w:szCs w:val="24"/>
              </w:rPr>
              <w:t>Azathioprine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r w:rsidRPr="00512091">
              <w:rPr>
                <w:rFonts w:cstheme="minorHAnsi"/>
                <w:szCs w:val="24"/>
              </w:rPr>
              <w:t>29 (60.4)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r w:rsidRPr="00512091">
              <w:rPr>
                <w:rFonts w:cstheme="minorHAnsi"/>
                <w:szCs w:val="24"/>
              </w:rPr>
              <w:t>11 (21.2)</w:t>
            </w:r>
          </w:p>
        </w:tc>
      </w:tr>
      <w:tr w:rsidR="00333B7B" w:rsidRPr="00512091" w:rsidTr="00876119">
        <w:tc>
          <w:tcPr>
            <w:tcW w:w="3077" w:type="dxa"/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proofErr w:type="spellStart"/>
            <w:r w:rsidRPr="00512091">
              <w:rPr>
                <w:rFonts w:cstheme="minorHAnsi"/>
                <w:szCs w:val="24"/>
              </w:rPr>
              <w:t>Methotrexate</w:t>
            </w:r>
            <w:proofErr w:type="spellEnd"/>
          </w:p>
        </w:tc>
        <w:tc>
          <w:tcPr>
            <w:tcW w:w="2974" w:type="dxa"/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r w:rsidRPr="00512091">
              <w:rPr>
                <w:rFonts w:cstheme="minorHAnsi"/>
                <w:szCs w:val="24"/>
              </w:rPr>
              <w:t>6 (12.5)</w:t>
            </w:r>
          </w:p>
        </w:tc>
        <w:tc>
          <w:tcPr>
            <w:tcW w:w="2975" w:type="dxa"/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r w:rsidRPr="00512091">
              <w:rPr>
                <w:rFonts w:cstheme="minorHAnsi"/>
                <w:szCs w:val="24"/>
              </w:rPr>
              <w:t>13 (25.0)</w:t>
            </w:r>
          </w:p>
        </w:tc>
      </w:tr>
      <w:tr w:rsidR="00333B7B" w:rsidRPr="00512091" w:rsidTr="00876119">
        <w:tc>
          <w:tcPr>
            <w:tcW w:w="3077" w:type="dxa"/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proofErr w:type="spellStart"/>
            <w:r w:rsidRPr="00512091">
              <w:rPr>
                <w:rFonts w:cstheme="minorHAnsi"/>
                <w:szCs w:val="24"/>
              </w:rPr>
              <w:t>Mycophenolate</w:t>
            </w:r>
            <w:proofErr w:type="spellEnd"/>
          </w:p>
        </w:tc>
        <w:tc>
          <w:tcPr>
            <w:tcW w:w="2974" w:type="dxa"/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r w:rsidRPr="00512091">
              <w:rPr>
                <w:rFonts w:cstheme="minorHAnsi"/>
                <w:szCs w:val="24"/>
              </w:rPr>
              <w:t>10 (20.8)</w:t>
            </w:r>
          </w:p>
        </w:tc>
        <w:tc>
          <w:tcPr>
            <w:tcW w:w="2975" w:type="dxa"/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r w:rsidRPr="00512091">
              <w:rPr>
                <w:rFonts w:cstheme="minorHAnsi"/>
                <w:szCs w:val="24"/>
              </w:rPr>
              <w:t>26 (50.0)</w:t>
            </w:r>
          </w:p>
        </w:tc>
      </w:tr>
      <w:tr w:rsidR="00333B7B" w:rsidRPr="00512091" w:rsidTr="00876119">
        <w:tc>
          <w:tcPr>
            <w:tcW w:w="3077" w:type="dxa"/>
            <w:tcBorders>
              <w:bottom w:val="single" w:sz="4" w:space="0" w:color="auto"/>
            </w:tcBorders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r w:rsidRPr="00512091">
              <w:rPr>
                <w:rFonts w:cstheme="minorHAnsi"/>
                <w:szCs w:val="24"/>
              </w:rPr>
              <w:t>Other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r w:rsidRPr="00512091">
              <w:rPr>
                <w:rFonts w:cstheme="minorHAnsi"/>
                <w:szCs w:val="24"/>
              </w:rPr>
              <w:t>3 (6.3)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33B7B" w:rsidRPr="00512091" w:rsidRDefault="00333B7B" w:rsidP="00876119">
            <w:pPr>
              <w:rPr>
                <w:rFonts w:cstheme="minorHAnsi"/>
                <w:szCs w:val="24"/>
              </w:rPr>
            </w:pPr>
            <w:r w:rsidRPr="00512091">
              <w:rPr>
                <w:rFonts w:cstheme="minorHAnsi"/>
                <w:szCs w:val="24"/>
              </w:rPr>
              <w:t>2 (3.8)</w:t>
            </w:r>
          </w:p>
        </w:tc>
      </w:tr>
    </w:tbl>
    <w:p w:rsidR="00333B7B" w:rsidRPr="00BC06DA" w:rsidRDefault="00333B7B" w:rsidP="00333B7B">
      <w:pPr>
        <w:spacing w:after="0" w:line="240" w:lineRule="auto"/>
        <w:rPr>
          <w:rFonts w:cstheme="minorHAnsi"/>
          <w:sz w:val="20"/>
          <w:szCs w:val="24"/>
        </w:rPr>
      </w:pPr>
      <w:r w:rsidRPr="00BC06DA">
        <w:rPr>
          <w:rFonts w:cstheme="minorHAnsi"/>
          <w:sz w:val="20"/>
          <w:szCs w:val="24"/>
        </w:rPr>
        <w:t>*Calculated as a percentage of those receiving immunosuppressive medication.</w:t>
      </w:r>
    </w:p>
    <w:p w:rsidR="00333B7B" w:rsidRPr="00EA207A" w:rsidRDefault="00333B7B" w:rsidP="00333B7B">
      <w:pPr>
        <w:tabs>
          <w:tab w:val="left" w:pos="1766"/>
        </w:tabs>
        <w:rPr>
          <w:sz w:val="20"/>
        </w:rPr>
      </w:pPr>
      <w:r w:rsidRPr="00BC06DA">
        <w:rPr>
          <w:rFonts w:cstheme="minorHAnsi"/>
          <w:sz w:val="20"/>
          <w:szCs w:val="24"/>
        </w:rPr>
        <w:t>LTE, long-term extension; TLC, Toronto Lupus Cohort</w:t>
      </w:r>
    </w:p>
    <w:p w:rsidR="001634C9" w:rsidRDefault="001634C9"/>
    <w:sectPr w:rsidR="001634C9" w:rsidSect="00FF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B7B"/>
    <w:rsid w:val="001634C9"/>
    <w:rsid w:val="0033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B7B"/>
    <w:pPr>
      <w:spacing w:after="160" w:line="259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33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333B7B"/>
    <w:pPr>
      <w:spacing w:before="240" w:after="240"/>
      <w:outlineLvl w:val="1"/>
    </w:pPr>
    <w:rPr>
      <w:rFonts w:asciiTheme="minorHAnsi" w:hAnsiTheme="minorHAnsi" w:cstheme="minorHAnsi"/>
      <w:bCs w:val="0"/>
      <w:color w:val="000000" w:themeColor="text1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3B7B"/>
    <w:rPr>
      <w:rFonts w:eastAsiaTheme="majorEastAsia" w:cstheme="minorHAnsi"/>
      <w:b/>
      <w:color w:val="000000" w:themeColor="text1"/>
      <w:szCs w:val="32"/>
      <w:lang w:val="en-GB"/>
    </w:rPr>
  </w:style>
  <w:style w:type="table" w:styleId="Tabelraster">
    <w:name w:val="Table Grid"/>
    <w:basedOn w:val="Standaardtabel"/>
    <w:uiPriority w:val="59"/>
    <w:rsid w:val="0033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33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B7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1189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 </cp:lastModifiedBy>
  <cp:revision>1</cp:revision>
  <dcterms:created xsi:type="dcterms:W3CDTF">2018-11-02T15:09:00Z</dcterms:created>
  <dcterms:modified xsi:type="dcterms:W3CDTF">2018-11-02T15:10:00Z</dcterms:modified>
</cp:coreProperties>
</file>