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A784" w14:textId="227D48C8" w:rsidR="00992CCA" w:rsidRPr="00D311BB" w:rsidRDefault="00D311BB" w:rsidP="00D311BB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SUPPLEMENTARY FILE</w:t>
      </w:r>
    </w:p>
    <w:p w14:paraId="052ADC36" w14:textId="04C89A09" w:rsidR="004F41F4" w:rsidRPr="00D311BB" w:rsidRDefault="008946BF" w:rsidP="004F41F4">
      <w:pPr>
        <w:spacing w:line="480" w:lineRule="auto"/>
        <w:rPr>
          <w:b/>
        </w:rPr>
      </w:pPr>
      <w:r w:rsidRPr="00D311BB">
        <w:rPr>
          <w:b/>
        </w:rPr>
        <w:t>Additional information to</w:t>
      </w:r>
      <w:r w:rsidR="009D00C7" w:rsidRPr="00D311BB">
        <w:rPr>
          <w:b/>
        </w:rPr>
        <w:t xml:space="preserve"> </w:t>
      </w:r>
      <w:r w:rsidR="00EA75BD" w:rsidRPr="00D311BB">
        <w:rPr>
          <w:b/>
        </w:rPr>
        <w:t>Methods</w:t>
      </w:r>
    </w:p>
    <w:p w14:paraId="584EBF8F" w14:textId="77777777" w:rsidR="00853247" w:rsidRPr="00D311BB" w:rsidRDefault="009D00C7" w:rsidP="004F41F4">
      <w:pPr>
        <w:spacing w:line="480" w:lineRule="auto"/>
        <w:rPr>
          <w:b/>
          <w:i/>
        </w:rPr>
      </w:pPr>
      <w:r w:rsidRPr="00D311BB">
        <w:rPr>
          <w:i/>
        </w:rPr>
        <w:t xml:space="preserve">Study medication </w:t>
      </w:r>
      <w:r w:rsidR="00853247" w:rsidRPr="00D311BB">
        <w:rPr>
          <w:i/>
        </w:rPr>
        <w:t>Rituximab</w:t>
      </w:r>
    </w:p>
    <w:p w14:paraId="6017B6C6" w14:textId="4A1A7A0A" w:rsidR="00853247" w:rsidRDefault="00853247" w:rsidP="00853247">
      <w:pPr>
        <w:spacing w:line="480" w:lineRule="auto"/>
      </w:pPr>
      <w:r w:rsidRPr="00962B03">
        <w:t xml:space="preserve">Rituximab (RTX, </w:t>
      </w:r>
      <w:proofErr w:type="spellStart"/>
      <w:r w:rsidRPr="00962B03">
        <w:t>MabThera</w:t>
      </w:r>
      <w:proofErr w:type="spellEnd"/>
      <w:r w:rsidRPr="00962B03">
        <w:t>®/Rituxan®) is a chimeric immunoglobulin G1 kappa (IgG1κ) monoclonal antibody directed against the human CD20 antigen, comprising murine light and heavy chain variable regions (14%) and human G1 heavy chain and κ light chain constant regions (86%). Rituximab binds specifically to human CD20, expressed on the majority of B cells, from the pre–B cell stage through differentiation into mature or memory B cells, but is not expressed on plasma cells. Treatment with rituximab induces a rapid and sustained depletion of peripheral CD20+ B cells by several potential mechanisms, including complement-dependent cytotoxicity (CDC), antibody-dependent cellular cytotoxicity (ADCC), and apoptosis.</w:t>
      </w:r>
    </w:p>
    <w:p w14:paraId="2E694F59" w14:textId="77777777" w:rsidR="00D311BB" w:rsidRDefault="00D311BB" w:rsidP="002A59D1">
      <w:pPr>
        <w:pStyle w:val="CommentText"/>
        <w:spacing w:line="480" w:lineRule="auto"/>
        <w:rPr>
          <w:rFonts w:asciiTheme="minorHAnsi" w:eastAsiaTheme="minorHAnsi" w:hAnsiTheme="minorHAnsi" w:cstheme="minorBidi"/>
          <w:i/>
          <w:sz w:val="22"/>
          <w:szCs w:val="22"/>
          <w:lang w:val="en-GB"/>
        </w:rPr>
      </w:pPr>
    </w:p>
    <w:p w14:paraId="08CBC45E" w14:textId="192B5505" w:rsidR="009D00C7" w:rsidRDefault="009D00C7" w:rsidP="002A59D1">
      <w:pPr>
        <w:pStyle w:val="CommentText"/>
        <w:spacing w:line="480" w:lineRule="auto"/>
        <w:rPr>
          <w:rFonts w:asciiTheme="minorHAnsi" w:eastAsiaTheme="minorHAnsi" w:hAnsiTheme="minorHAnsi" w:cstheme="minorBidi"/>
          <w:i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val="en-GB"/>
        </w:rPr>
        <w:t xml:space="preserve">Study procedures </w:t>
      </w:r>
    </w:p>
    <w:p w14:paraId="013C009E" w14:textId="77777777" w:rsidR="00A438C7" w:rsidRDefault="00A438C7" w:rsidP="00A438C7">
      <w:pPr>
        <w:spacing w:line="480" w:lineRule="auto"/>
        <w:rPr>
          <w:i/>
        </w:rPr>
      </w:pPr>
      <w:r>
        <w:rPr>
          <w:i/>
        </w:rPr>
        <w:t>Study visits</w:t>
      </w:r>
    </w:p>
    <w:p w14:paraId="75F06119" w14:textId="2E95EC3B" w:rsidR="00A438C7" w:rsidRPr="000E5C3B" w:rsidRDefault="00A438C7" w:rsidP="00A438C7">
      <w:pPr>
        <w:spacing w:line="480" w:lineRule="auto"/>
      </w:pPr>
      <w:r>
        <w:t xml:space="preserve">In addition to the screening and baseline visit, </w:t>
      </w:r>
      <w:r w:rsidRPr="003669FA">
        <w:t>f</w:t>
      </w:r>
      <w:r w:rsidRPr="000E5C3B">
        <w:t>ollow up visits were planned at</w:t>
      </w:r>
      <w:r>
        <w:t xml:space="preserve"> 4, 8, 12, 16, 24, 36 and 52 weeks. After that, subjects were checked on a yearly basis. In addition to the planned follow up visits, subjects were asked to contact members of the study team immediately in the case of a suspected arthritis. The subjects were then checked to verify the suspected arthritis within 2-3 days using the approach mentioned in the main manuscript.</w:t>
      </w:r>
    </w:p>
    <w:p w14:paraId="7690CDF9" w14:textId="77777777" w:rsidR="00D311BB" w:rsidRDefault="00EE0302" w:rsidP="002A59D1">
      <w:pPr>
        <w:pStyle w:val="CommentText"/>
        <w:spacing w:line="480" w:lineRule="auto"/>
        <w:rPr>
          <w:rFonts w:asciiTheme="minorHAnsi" w:eastAsiaTheme="minorHAnsi" w:hAnsiTheme="minorHAnsi" w:cstheme="minorBidi"/>
          <w:i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val="en-GB"/>
        </w:rPr>
        <w:t>J</w:t>
      </w:r>
      <w:r w:rsidR="002A59D1" w:rsidRPr="002A59D1">
        <w:rPr>
          <w:rFonts w:asciiTheme="minorHAnsi" w:eastAsiaTheme="minorHAnsi" w:hAnsiTheme="minorHAnsi" w:cstheme="minorBidi"/>
          <w:i/>
          <w:sz w:val="22"/>
          <w:szCs w:val="22"/>
          <w:lang w:val="en-GB"/>
        </w:rPr>
        <w:t>oint count</w:t>
      </w:r>
      <w:r w:rsidR="00D311BB">
        <w:rPr>
          <w:rFonts w:asciiTheme="minorHAnsi" w:eastAsiaTheme="minorHAnsi" w:hAnsiTheme="minorHAnsi" w:cstheme="minorBidi"/>
          <w:i/>
          <w:sz w:val="22"/>
          <w:szCs w:val="22"/>
          <w:lang w:val="en-GB"/>
        </w:rPr>
        <w:t xml:space="preserve"> </w:t>
      </w:r>
    </w:p>
    <w:p w14:paraId="004181FE" w14:textId="649FA53A" w:rsidR="002A59D1" w:rsidRPr="00D311BB" w:rsidRDefault="002A59D1" w:rsidP="002A59D1">
      <w:pPr>
        <w:pStyle w:val="CommentText"/>
        <w:spacing w:line="480" w:lineRule="auto"/>
        <w:rPr>
          <w:rFonts w:asciiTheme="minorHAnsi" w:eastAsiaTheme="minorHAnsi" w:hAnsiTheme="minorHAnsi" w:cstheme="minorBidi"/>
          <w:i/>
          <w:sz w:val="22"/>
          <w:szCs w:val="22"/>
          <w:lang w:val="en-GB"/>
        </w:rPr>
      </w:pPr>
      <w:r w:rsidRPr="002A59D1">
        <w:rPr>
          <w:rFonts w:asciiTheme="minorHAnsi" w:eastAsiaTheme="minorHAnsi" w:hAnsiTheme="minorHAnsi" w:cstheme="minorBidi"/>
          <w:sz w:val="22"/>
          <w:szCs w:val="22"/>
          <w:lang w:val="en-GB"/>
        </w:rPr>
        <w:t>The 68 joints assessed included:  2 temporomandibular, 2 sternoclavicular, 2 acromioclavicular joints, 2 shoulders, 2 elbows, 2 wrists, 10 metacarpophalangeal joints of the hands, 10 proximal interphalangeal of the hands, the 8 distal interpha</w:t>
      </w:r>
      <w:r w:rsidR="00C020A1">
        <w:rPr>
          <w:rFonts w:asciiTheme="minorHAnsi" w:eastAsiaTheme="minorHAnsi" w:hAnsiTheme="minorHAnsi" w:cstheme="minorBidi"/>
          <w:sz w:val="22"/>
          <w:szCs w:val="22"/>
          <w:lang w:val="en-GB"/>
        </w:rPr>
        <w:t>langeal joints of the hands,</w:t>
      </w:r>
      <w:r w:rsidRPr="002A59D1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2 hips, 2 knees, 2 </w:t>
      </w:r>
      <w:r w:rsidRPr="002A59D1">
        <w:rPr>
          <w:rFonts w:asciiTheme="minorHAnsi" w:eastAsiaTheme="minorHAnsi" w:hAnsiTheme="minorHAnsi" w:cstheme="minorBidi"/>
          <w:sz w:val="22"/>
          <w:szCs w:val="22"/>
          <w:lang w:val="en-GB"/>
        </w:rPr>
        <w:lastRenderedPageBreak/>
        <w:t>ankles, 2 mid-tarsal joints, 10 metatarsophalangeal joints of the feet and 10 proximal interphalangeal joints of the feet.</w:t>
      </w:r>
    </w:p>
    <w:p w14:paraId="70349FB3" w14:textId="77777777" w:rsidR="00465876" w:rsidRDefault="00465876" w:rsidP="00853247">
      <w:pPr>
        <w:spacing w:line="480" w:lineRule="auto"/>
        <w:rPr>
          <w:i/>
        </w:rPr>
      </w:pPr>
    </w:p>
    <w:p w14:paraId="78C37D27" w14:textId="00C4F678" w:rsidR="00D311BB" w:rsidRDefault="009D00C7" w:rsidP="00853247">
      <w:pPr>
        <w:spacing w:line="480" w:lineRule="auto"/>
      </w:pPr>
      <w:r>
        <w:rPr>
          <w:i/>
        </w:rPr>
        <w:t>D</w:t>
      </w:r>
      <w:r w:rsidR="00853247" w:rsidRPr="004F41F4">
        <w:rPr>
          <w:i/>
        </w:rPr>
        <w:t>etection of fine specificity of autoantibodies against citrullinated peptides</w:t>
      </w:r>
      <w:r w:rsidR="00D311BB">
        <w:t xml:space="preserve"> </w:t>
      </w:r>
    </w:p>
    <w:p w14:paraId="3D87E16C" w14:textId="2DBF3C05" w:rsidR="00853247" w:rsidRPr="00D311BB" w:rsidRDefault="006614A6" w:rsidP="00853247">
      <w:pPr>
        <w:spacing w:line="480" w:lineRule="auto"/>
      </w:pPr>
      <w:r>
        <w:t>Additional s</w:t>
      </w:r>
      <w:r w:rsidR="003E1724">
        <w:t xml:space="preserve">erum antibodies against the following citrullinated peptides </w:t>
      </w:r>
      <w:r w:rsidR="00545070">
        <w:t xml:space="preserve">and </w:t>
      </w:r>
      <w:r w:rsidR="003E1724">
        <w:t xml:space="preserve">arginine-containing </w:t>
      </w:r>
      <w:r w:rsidR="00545070">
        <w:t xml:space="preserve">peptides </w:t>
      </w:r>
      <w:r w:rsidR="003E1724">
        <w:t>were determined at baseline and follow up visits</w:t>
      </w:r>
      <w:r>
        <w:t xml:space="preserve"> according to the methods mentioned in the main manuscript</w:t>
      </w:r>
      <w:r w:rsidR="003E1724">
        <w:t xml:space="preserve">: </w:t>
      </w:r>
      <w:r w:rsidR="003E1724" w:rsidRPr="009F021C">
        <w:rPr>
          <w:lang w:val="en-US" w:eastAsia="en-GB"/>
        </w:rPr>
        <w:t>anti-</w:t>
      </w:r>
      <w:proofErr w:type="spellStart"/>
      <w:r w:rsidR="003E1724">
        <w:rPr>
          <w:lang w:val="en-US" w:eastAsia="en-GB"/>
        </w:rPr>
        <w:t>Fillaggrin</w:t>
      </w:r>
      <w:proofErr w:type="spellEnd"/>
      <w:r w:rsidR="003E1724">
        <w:rPr>
          <w:lang w:val="en-US" w:eastAsia="en-GB"/>
        </w:rPr>
        <w:t xml:space="preserve"> 307-324, </w:t>
      </w:r>
      <w:r w:rsidR="003E1724" w:rsidRPr="009F021C">
        <w:rPr>
          <w:lang w:val="en-US" w:eastAsia="en-GB"/>
        </w:rPr>
        <w:t>anti-</w:t>
      </w:r>
      <w:r w:rsidR="00D30463">
        <w:rPr>
          <w:lang w:val="en-US" w:eastAsia="en-GB"/>
        </w:rPr>
        <w:t>V</w:t>
      </w:r>
      <w:r w:rsidR="003E1724" w:rsidRPr="009F021C">
        <w:rPr>
          <w:lang w:val="en-US" w:eastAsia="en-GB"/>
        </w:rPr>
        <w:t xml:space="preserve">imentin 60-75; anti-Fibrinogen </w:t>
      </w:r>
      <w:r w:rsidR="003E1724" w:rsidRPr="009F021C">
        <w:rPr>
          <w:rFonts w:cs="Calibri"/>
          <w:lang w:eastAsia="en-GB"/>
        </w:rPr>
        <w:t>β</w:t>
      </w:r>
      <w:r w:rsidR="003E1724" w:rsidRPr="009F021C">
        <w:rPr>
          <w:lang w:val="en-US" w:eastAsia="en-GB"/>
        </w:rPr>
        <w:t xml:space="preserve"> 36-52; anti-Fibrinogen </w:t>
      </w:r>
      <w:r w:rsidR="003E1724" w:rsidRPr="009F021C">
        <w:rPr>
          <w:rFonts w:cs="Calibri"/>
          <w:lang w:eastAsia="en-GB"/>
        </w:rPr>
        <w:t>β</w:t>
      </w:r>
      <w:r w:rsidR="003E1724" w:rsidRPr="009F021C">
        <w:rPr>
          <w:lang w:val="en-US" w:eastAsia="en-GB"/>
        </w:rPr>
        <w:t xml:space="preserve"> 573; anti-Fibrinogen </w:t>
      </w:r>
      <w:r w:rsidR="003E1724" w:rsidRPr="009F021C">
        <w:rPr>
          <w:rFonts w:cs="Calibri"/>
          <w:lang w:eastAsia="en-GB"/>
        </w:rPr>
        <w:t>β</w:t>
      </w:r>
      <w:r w:rsidR="003E1724" w:rsidRPr="009F021C">
        <w:rPr>
          <w:lang w:val="en-US" w:eastAsia="en-GB"/>
        </w:rPr>
        <w:t xml:space="preserve"> 591</w:t>
      </w:r>
      <w:r>
        <w:rPr>
          <w:lang w:val="en-US" w:eastAsia="en-GB"/>
        </w:rPr>
        <w:t>.</w:t>
      </w:r>
    </w:p>
    <w:p w14:paraId="20DFB85D" w14:textId="77777777" w:rsidR="009D00C7" w:rsidRDefault="009D00C7" w:rsidP="00EF5420"/>
    <w:p w14:paraId="25C97FAD" w14:textId="77777777" w:rsidR="00D311BB" w:rsidRDefault="009D00C7" w:rsidP="009D00C7">
      <w:pPr>
        <w:spacing w:line="480" w:lineRule="auto"/>
        <w:rPr>
          <w:i/>
        </w:rPr>
      </w:pPr>
      <w:r>
        <w:rPr>
          <w:i/>
        </w:rPr>
        <w:t>Determination</w:t>
      </w:r>
      <w:r w:rsidR="007C57C5">
        <w:rPr>
          <w:i/>
        </w:rPr>
        <w:t xml:space="preserve"> of</w:t>
      </w:r>
      <w:r>
        <w:rPr>
          <w:i/>
        </w:rPr>
        <w:t xml:space="preserve"> IgM, IgA, and IgG </w:t>
      </w:r>
      <w:r w:rsidR="00D30463">
        <w:rPr>
          <w:i/>
        </w:rPr>
        <w:t>r</w:t>
      </w:r>
      <w:r>
        <w:rPr>
          <w:i/>
        </w:rPr>
        <w:t>h</w:t>
      </w:r>
      <w:r w:rsidRPr="009D00C7">
        <w:rPr>
          <w:i/>
        </w:rPr>
        <w:t>euma</w:t>
      </w:r>
      <w:r>
        <w:rPr>
          <w:i/>
        </w:rPr>
        <w:t xml:space="preserve">toid </w:t>
      </w:r>
      <w:r w:rsidRPr="009D00C7">
        <w:rPr>
          <w:i/>
        </w:rPr>
        <w:t xml:space="preserve">factor </w:t>
      </w:r>
      <w:r w:rsidR="007C57C5">
        <w:rPr>
          <w:i/>
        </w:rPr>
        <w:t xml:space="preserve">by </w:t>
      </w:r>
      <w:r w:rsidRPr="009D00C7">
        <w:rPr>
          <w:i/>
        </w:rPr>
        <w:t>ELISA</w:t>
      </w:r>
      <w:r w:rsidR="00D311BB">
        <w:rPr>
          <w:i/>
        </w:rPr>
        <w:t xml:space="preserve"> </w:t>
      </w:r>
    </w:p>
    <w:p w14:paraId="2D9A66CD" w14:textId="7EA54809" w:rsidR="00EF5420" w:rsidRPr="00D311BB" w:rsidRDefault="009D00C7" w:rsidP="009D00C7">
      <w:pPr>
        <w:spacing w:line="480" w:lineRule="auto"/>
        <w:rPr>
          <w:i/>
        </w:rPr>
      </w:pPr>
      <w:r>
        <w:t xml:space="preserve">For determination of the presence and levels of </w:t>
      </w:r>
      <w:r w:rsidR="00EF5420" w:rsidRPr="009D00C7">
        <w:t>IgM rheumatoid factor</w:t>
      </w:r>
      <w:r w:rsidR="007C57C5">
        <w:t xml:space="preserve"> (IgM RF), the IgM RF </w:t>
      </w:r>
      <w:r w:rsidR="00EF5420" w:rsidRPr="009D00C7">
        <w:t>ELISA kit</w:t>
      </w:r>
      <w:r w:rsidRPr="009D00C7">
        <w:t> (</w:t>
      </w:r>
      <w:proofErr w:type="spellStart"/>
      <w:r w:rsidR="00EF5420" w:rsidRPr="009D00C7">
        <w:t>Hycor</w:t>
      </w:r>
      <w:proofErr w:type="spellEnd"/>
      <w:r w:rsidR="00EF5420" w:rsidRPr="009D00C7">
        <w:t xml:space="preserve"> cat.no. FGA05/DIB002)</w:t>
      </w:r>
      <w:r>
        <w:t xml:space="preserve"> was used according to i</w:t>
      </w:r>
      <w:r w:rsidR="000A4817">
        <w:t>nstructions of the manufacturer</w:t>
      </w:r>
      <w:r>
        <w:t xml:space="preserve">. The cut off value was adjusted to 50 IU/ml instead of the suggested 25 IU/ml in order to increase the specificity. For </w:t>
      </w:r>
      <w:r w:rsidR="00EF5420" w:rsidRPr="009D00C7">
        <w:t xml:space="preserve">IgA/IgG </w:t>
      </w:r>
      <w:r w:rsidR="007C57C5">
        <w:t xml:space="preserve">RF </w:t>
      </w:r>
      <w:r>
        <w:t>determination, the</w:t>
      </w:r>
      <w:r w:rsidR="00EF5420" w:rsidRPr="009D00C7">
        <w:t xml:space="preserve"> </w:t>
      </w:r>
      <w:r w:rsidRPr="009D00C7">
        <w:t xml:space="preserve">QUANTA </w:t>
      </w:r>
      <w:proofErr w:type="spellStart"/>
      <w:r w:rsidRPr="009D00C7">
        <w:t>Lite</w:t>
      </w:r>
      <w:proofErr w:type="spellEnd"/>
      <w:r w:rsidRPr="009D00C7">
        <w:t xml:space="preserve"> RF IgA (Inova 708695)</w:t>
      </w:r>
      <w:r>
        <w:t xml:space="preserve"> and QUANTA </w:t>
      </w:r>
      <w:proofErr w:type="spellStart"/>
      <w:r>
        <w:t>Lite</w:t>
      </w:r>
      <w:proofErr w:type="spellEnd"/>
      <w:r>
        <w:t xml:space="preserve"> RF IgG (Inova 708685) ELISA tests were used.</w:t>
      </w:r>
    </w:p>
    <w:p w14:paraId="17669CDE" w14:textId="77777777" w:rsidR="00EF5420" w:rsidRDefault="00EF5420" w:rsidP="00853247">
      <w:pPr>
        <w:spacing w:line="480" w:lineRule="auto"/>
      </w:pPr>
    </w:p>
    <w:p w14:paraId="65517C5F" w14:textId="534525EA" w:rsidR="00D311BB" w:rsidRDefault="007C57C5" w:rsidP="00C974E1">
      <w:pPr>
        <w:spacing w:line="480" w:lineRule="auto"/>
        <w:rPr>
          <w:i/>
        </w:rPr>
      </w:pPr>
      <w:r>
        <w:rPr>
          <w:i/>
        </w:rPr>
        <w:t xml:space="preserve">Determination of </w:t>
      </w:r>
      <w:r w:rsidR="00564CAF">
        <w:rPr>
          <w:i/>
        </w:rPr>
        <w:t>B lymphocytes</w:t>
      </w:r>
      <w:r w:rsidR="00545070">
        <w:rPr>
          <w:i/>
        </w:rPr>
        <w:t xml:space="preserve"> and</w:t>
      </w:r>
      <w:r w:rsidR="00564CAF">
        <w:rPr>
          <w:i/>
        </w:rPr>
        <w:t xml:space="preserve"> T lymphocytes</w:t>
      </w:r>
      <w:r>
        <w:rPr>
          <w:i/>
        </w:rPr>
        <w:t xml:space="preserve"> by flow cytometry</w:t>
      </w:r>
      <w:r w:rsidR="00D311BB">
        <w:rPr>
          <w:i/>
        </w:rPr>
        <w:t xml:space="preserve"> </w:t>
      </w:r>
    </w:p>
    <w:p w14:paraId="0F363678" w14:textId="373CF343" w:rsidR="008C3714" w:rsidRDefault="00564CAF" w:rsidP="008C3714">
      <w:pPr>
        <w:spacing w:line="480" w:lineRule="auto"/>
        <w:rPr>
          <w:i/>
        </w:rPr>
      </w:pPr>
      <w:r>
        <w:t>T lymphocytes (CD3+)</w:t>
      </w:r>
      <w:r w:rsidR="00545070">
        <w:t xml:space="preserve"> and</w:t>
      </w:r>
      <w:r>
        <w:t xml:space="preserve"> B lymphocytes (CD19+)</w:t>
      </w:r>
      <w:r w:rsidRPr="00564CAF">
        <w:t xml:space="preserve"> </w:t>
      </w:r>
      <w:r>
        <w:t>were determined</w:t>
      </w:r>
      <w:r w:rsidR="007C57C5">
        <w:t xml:space="preserve"> by flow cytometry</w:t>
      </w:r>
      <w:r>
        <w:t xml:space="preserve"> using BD </w:t>
      </w:r>
      <w:proofErr w:type="spellStart"/>
      <w:r>
        <w:t>Multitest</w:t>
      </w:r>
      <w:proofErr w:type="spellEnd"/>
      <w:r>
        <w:t xml:space="preserve">™ 6-color TBNK reagents with BD </w:t>
      </w:r>
      <w:proofErr w:type="spellStart"/>
      <w:r>
        <w:t>Trucount</w:t>
      </w:r>
      <w:proofErr w:type="spellEnd"/>
      <w:r>
        <w:t xml:space="preserve">™ tubes (BD Biosciences </w:t>
      </w:r>
      <w:r w:rsidRPr="00564CAF">
        <w:t xml:space="preserve">cat. </w:t>
      </w:r>
      <w:proofErr w:type="spellStart"/>
      <w:r w:rsidRPr="00564CAF">
        <w:t>nr</w:t>
      </w:r>
      <w:proofErr w:type="spellEnd"/>
      <w:r w:rsidRPr="00564CAF">
        <w:t>. 337166)</w:t>
      </w:r>
      <w:r>
        <w:t xml:space="preserve"> according to the manufacturer’s instructions. </w:t>
      </w:r>
    </w:p>
    <w:p w14:paraId="199504FF" w14:textId="77777777" w:rsidR="00123BBD" w:rsidRDefault="00123BBD" w:rsidP="008C3714">
      <w:pPr>
        <w:spacing w:line="480" w:lineRule="auto"/>
        <w:rPr>
          <w:i/>
        </w:rPr>
      </w:pPr>
    </w:p>
    <w:p w14:paraId="34C6D0D5" w14:textId="11CA5113" w:rsidR="00D311BB" w:rsidRDefault="009D00C7" w:rsidP="008C3714">
      <w:pPr>
        <w:spacing w:line="480" w:lineRule="auto"/>
        <w:rPr>
          <w:i/>
        </w:rPr>
      </w:pPr>
      <w:r>
        <w:rPr>
          <w:i/>
        </w:rPr>
        <w:t>A</w:t>
      </w:r>
      <w:r w:rsidR="00B07E67">
        <w:rPr>
          <w:i/>
        </w:rPr>
        <w:t>nalysis</w:t>
      </w:r>
      <w:r w:rsidR="00564CAF">
        <w:rPr>
          <w:i/>
        </w:rPr>
        <w:t xml:space="preserve"> </w:t>
      </w:r>
      <w:r w:rsidR="00C974E1" w:rsidRPr="004F41F4">
        <w:rPr>
          <w:i/>
        </w:rPr>
        <w:t xml:space="preserve">B </w:t>
      </w:r>
      <w:r w:rsidR="00564CAF">
        <w:rPr>
          <w:i/>
        </w:rPr>
        <w:t xml:space="preserve">lymphocyte subtype </w:t>
      </w:r>
      <w:r w:rsidR="004F41F4">
        <w:rPr>
          <w:i/>
        </w:rPr>
        <w:t>frequ</w:t>
      </w:r>
      <w:r>
        <w:rPr>
          <w:i/>
        </w:rPr>
        <w:t>encies</w:t>
      </w:r>
      <w:r w:rsidR="00D311BB">
        <w:rPr>
          <w:i/>
        </w:rPr>
        <w:t xml:space="preserve"> </w:t>
      </w:r>
    </w:p>
    <w:p w14:paraId="47F7CC09" w14:textId="384D2FAD" w:rsidR="009D00C7" w:rsidRPr="00D311BB" w:rsidRDefault="00C974E1" w:rsidP="00D311BB">
      <w:pPr>
        <w:spacing w:after="0" w:line="480" w:lineRule="auto"/>
        <w:rPr>
          <w:i/>
        </w:rPr>
      </w:pPr>
      <w:r w:rsidRPr="004F41F4">
        <w:lastRenderedPageBreak/>
        <w:t>At baseline, 6 months, 12 months, and at</w:t>
      </w:r>
      <w:r w:rsidR="004F41F4" w:rsidRPr="004F41F4">
        <w:t xml:space="preserve"> the moment arthritis developed</w:t>
      </w:r>
      <w:r w:rsidRPr="004F41F4">
        <w:t xml:space="preserve">, blood samples were collected to determine the B cell and T cell frequencies. </w:t>
      </w:r>
      <w:r w:rsidRPr="004F41F4">
        <w:rPr>
          <w:lang w:val="en-US"/>
        </w:rPr>
        <w:t xml:space="preserve">In a subset of subjects (n=75) the expression of 28 markers </w:t>
      </w:r>
      <w:r w:rsidRPr="004F41F4">
        <w:t xml:space="preserve">was determined </w:t>
      </w:r>
      <w:r w:rsidR="00F542C7">
        <w:rPr>
          <w:lang w:val="en-US"/>
        </w:rPr>
        <w:t xml:space="preserve">using Fluorescence-activated cell sorting </w:t>
      </w:r>
      <w:r w:rsidRPr="00817F7C">
        <w:rPr>
          <w:lang w:val="en-US"/>
        </w:rPr>
        <w:t xml:space="preserve">(FACS) </w:t>
      </w:r>
      <w:r w:rsidR="00F542C7">
        <w:rPr>
          <w:lang w:val="en-US"/>
        </w:rPr>
        <w:t xml:space="preserve">analysis </w:t>
      </w:r>
      <w:r w:rsidRPr="00817F7C">
        <w:rPr>
          <w:lang w:val="en-US"/>
        </w:rPr>
        <w:t xml:space="preserve">on isolated peripheral </w:t>
      </w:r>
      <w:r w:rsidR="007C57C5">
        <w:rPr>
          <w:lang w:val="en-US"/>
        </w:rPr>
        <w:t xml:space="preserve">blood mononuclear </w:t>
      </w:r>
      <w:r w:rsidRPr="00817F7C">
        <w:rPr>
          <w:lang w:val="en-US"/>
        </w:rPr>
        <w:t>cells (PBMCs</w:t>
      </w:r>
      <w:r w:rsidR="00817F7C">
        <w:rPr>
          <w:lang w:val="en-US"/>
        </w:rPr>
        <w:t>,</w:t>
      </w:r>
      <w:r w:rsidR="00817F7C" w:rsidRPr="00817F7C">
        <w:rPr>
          <w:lang w:val="en-US"/>
        </w:rPr>
        <w:t xml:space="preserve"> isolated according to a standard density gradient protocol and cryopreserved until further us</w:t>
      </w:r>
      <w:r w:rsidR="00817F7C">
        <w:rPr>
          <w:lang w:val="en-US"/>
        </w:rPr>
        <w:t>e)</w:t>
      </w:r>
      <w:r w:rsidRPr="00817F7C">
        <w:rPr>
          <w:lang w:val="en-US"/>
        </w:rPr>
        <w:t>. B cells were</w:t>
      </w:r>
      <w:r w:rsidR="00405B37">
        <w:t xml:space="preserve"> defined as the CD19+CD20</w:t>
      </w:r>
      <w:r w:rsidRPr="004F41F4">
        <w:t>+ population</w:t>
      </w:r>
      <w:r w:rsidRPr="004F41F4">
        <w:rPr>
          <w:lang w:val="en-US"/>
        </w:rPr>
        <w:t xml:space="preserve">. </w:t>
      </w:r>
      <w:r w:rsidRPr="004F41F4">
        <w:t xml:space="preserve">After washing the cells with </w:t>
      </w:r>
      <w:r w:rsidRPr="004F41F4">
        <w:rPr>
          <w:rFonts w:cs="Arial"/>
          <w:lang w:val="en-US"/>
        </w:rPr>
        <w:t>PBS 0·5 % and BSA 0·01% NaN</w:t>
      </w:r>
      <w:r w:rsidRPr="007C57C5">
        <w:rPr>
          <w:rFonts w:cs="Arial"/>
          <w:vertAlign w:val="subscript"/>
          <w:lang w:val="en-US"/>
        </w:rPr>
        <w:t>3</w:t>
      </w:r>
      <w:r w:rsidR="000A4817">
        <w:rPr>
          <w:rFonts w:cs="Arial"/>
          <w:lang w:val="en-US"/>
        </w:rPr>
        <w:t>,</w:t>
      </w:r>
      <w:r w:rsidRPr="004F41F4">
        <w:rPr>
          <w:rFonts w:ascii="Arial" w:hAnsi="Arial" w:cs="Arial"/>
          <w:lang w:val="en-US"/>
        </w:rPr>
        <w:t xml:space="preserve"> </w:t>
      </w:r>
      <w:r w:rsidRPr="004F41F4">
        <w:t>cells were stained for 30 minutes at room temperature and directly labelled with antibodies to stain for B cells marke</w:t>
      </w:r>
      <w:r w:rsidR="00405B37">
        <w:t xml:space="preserve">rs: IgM FITC , </w:t>
      </w:r>
      <w:proofErr w:type="spellStart"/>
      <w:r w:rsidR="00405B37">
        <w:t>IgD</w:t>
      </w:r>
      <w:proofErr w:type="spellEnd"/>
      <w:r w:rsidR="00405B37">
        <w:t xml:space="preserve"> PE,</w:t>
      </w:r>
      <w:r w:rsidRPr="004F41F4">
        <w:t xml:space="preserve"> CD20 </w:t>
      </w:r>
      <w:r w:rsidR="007C57C5">
        <w:t xml:space="preserve">Cy5.5 </w:t>
      </w:r>
      <w:proofErr w:type="spellStart"/>
      <w:r w:rsidR="007C57C5">
        <w:t>PerCP</w:t>
      </w:r>
      <w:proofErr w:type="spellEnd"/>
      <w:r w:rsidR="007C57C5">
        <w:t>, CD38 Pe-Cy7, CD19 A</w:t>
      </w:r>
      <w:r w:rsidRPr="004F41F4">
        <w:t xml:space="preserve">lexa 700 (BD Biosciences, Breda, </w:t>
      </w:r>
      <w:r w:rsidR="00D30463">
        <w:t>t</w:t>
      </w:r>
      <w:r w:rsidRPr="004F41F4">
        <w:t>he Netherlands) and the activati</w:t>
      </w:r>
      <w:r w:rsidR="007C57C5">
        <w:t>on status of B cells : CD19 FITC</w:t>
      </w:r>
      <w:r w:rsidRPr="004F41F4">
        <w:t>, CD40 PE (</w:t>
      </w:r>
      <w:proofErr w:type="spellStart"/>
      <w:r w:rsidR="007C57C5">
        <w:t>eBioscience</w:t>
      </w:r>
      <w:proofErr w:type="spellEnd"/>
      <w:r w:rsidR="007C57C5">
        <w:t xml:space="preserve">), CD25 APC  CD69 </w:t>
      </w:r>
      <w:proofErr w:type="spellStart"/>
      <w:r w:rsidR="007C57C5">
        <w:t>Per</w:t>
      </w:r>
      <w:r w:rsidRPr="004F41F4">
        <w:t>CP</w:t>
      </w:r>
      <w:proofErr w:type="spellEnd"/>
      <w:r w:rsidRPr="004F41F4">
        <w:t xml:space="preserve"> (BD), C</w:t>
      </w:r>
      <w:r w:rsidR="007C57C5">
        <w:t>D80 Pe-Cy7, CD5 APC-H7, HLA-DR A</w:t>
      </w:r>
      <w:r w:rsidRPr="004F41F4">
        <w:t>lexa 700 (</w:t>
      </w:r>
      <w:proofErr w:type="spellStart"/>
      <w:r w:rsidRPr="004F41F4">
        <w:t>eBioscience</w:t>
      </w:r>
      <w:proofErr w:type="spellEnd"/>
      <w:r w:rsidRPr="004F41F4">
        <w:t>).  After incubation</w:t>
      </w:r>
      <w:r w:rsidR="000A4817">
        <w:t>,</w:t>
      </w:r>
      <w:r w:rsidRPr="004F41F4">
        <w:t xml:space="preserve"> the cells were washed and analysed using a FACS CA</w:t>
      </w:r>
      <w:r w:rsidR="004F41F4">
        <w:t>NTO II (BD Biosciences, Breda, t</w:t>
      </w:r>
      <w:r w:rsidRPr="004F41F4">
        <w:t xml:space="preserve">he Netherlands). Data were analysed using </w:t>
      </w:r>
      <w:proofErr w:type="spellStart"/>
      <w:r w:rsidRPr="004F41F4">
        <w:t>FlowJo</w:t>
      </w:r>
      <w:proofErr w:type="spellEnd"/>
      <w:r w:rsidRPr="004F41F4">
        <w:t xml:space="preserve"> software (</w:t>
      </w:r>
      <w:proofErr w:type="spellStart"/>
      <w:r w:rsidRPr="004F41F4">
        <w:t>Treestar</w:t>
      </w:r>
      <w:proofErr w:type="spellEnd"/>
      <w:r w:rsidRPr="004F41F4">
        <w:t xml:space="preserve"> Inc., Ashland, OR). Complete depletion of B cells was defined as a B cell count of &lt; 0·0001x10</w:t>
      </w:r>
      <w:r w:rsidRPr="004F41F4">
        <w:rPr>
          <w:vertAlign w:val="superscript"/>
        </w:rPr>
        <w:t>9</w:t>
      </w:r>
      <w:r w:rsidRPr="004F41F4">
        <w:t>/L.</w:t>
      </w:r>
      <w:r w:rsidRPr="004F41F4">
        <w:rPr>
          <w:lang w:val="en-US"/>
        </w:rPr>
        <w:t xml:space="preserve"> </w:t>
      </w:r>
    </w:p>
    <w:p w14:paraId="47917B33" w14:textId="77777777" w:rsidR="008C3714" w:rsidRDefault="008C3714" w:rsidP="008C3714">
      <w:pPr>
        <w:rPr>
          <w:b/>
          <w:i/>
        </w:rPr>
      </w:pPr>
    </w:p>
    <w:p w14:paraId="085B5DF3" w14:textId="2DD460C7" w:rsidR="00853247" w:rsidRPr="006B6426" w:rsidRDefault="00853247" w:rsidP="008C3714">
      <w:pPr>
        <w:rPr>
          <w:b/>
          <w:i/>
        </w:rPr>
      </w:pPr>
      <w:r w:rsidRPr="006B6426">
        <w:rPr>
          <w:b/>
          <w:i/>
        </w:rPr>
        <w:t>Statistical analysis</w:t>
      </w:r>
    </w:p>
    <w:p w14:paraId="342FDD3D" w14:textId="77777777" w:rsidR="00853247" w:rsidRPr="004F41F4" w:rsidRDefault="00853247" w:rsidP="00853247">
      <w:pPr>
        <w:spacing w:after="0" w:line="480" w:lineRule="auto"/>
        <w:rPr>
          <w:i/>
          <w:lang w:val="en-US" w:eastAsia="en-GB"/>
        </w:rPr>
      </w:pPr>
      <w:r w:rsidRPr="004F41F4">
        <w:rPr>
          <w:i/>
          <w:lang w:val="en-US" w:eastAsia="en-GB"/>
        </w:rPr>
        <w:t>Power</w:t>
      </w:r>
      <w:r w:rsidR="00C974E1" w:rsidRPr="004F41F4">
        <w:rPr>
          <w:i/>
          <w:lang w:val="en-US" w:eastAsia="en-GB"/>
        </w:rPr>
        <w:t xml:space="preserve"> analysis</w:t>
      </w:r>
      <w:r w:rsidR="004F41F4" w:rsidRPr="004F41F4">
        <w:rPr>
          <w:i/>
          <w:lang w:val="en-US" w:eastAsia="en-GB"/>
        </w:rPr>
        <w:t xml:space="preserve"> to determine the number of subjects</w:t>
      </w:r>
    </w:p>
    <w:p w14:paraId="2B473C36" w14:textId="43B2AC33" w:rsidR="00853247" w:rsidRPr="004F41F4" w:rsidRDefault="00853247" w:rsidP="00D311BB">
      <w:pPr>
        <w:rPr>
          <w:lang w:val="en-US" w:eastAsia="en-GB"/>
        </w:rPr>
      </w:pPr>
      <w:r w:rsidRPr="004F41F4">
        <w:rPr>
          <w:lang w:val="en-US" w:eastAsia="en-GB"/>
        </w:rPr>
        <w:t>Time-dependent hazard info for log-rank survival test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992"/>
        <w:gridCol w:w="992"/>
        <w:gridCol w:w="993"/>
        <w:gridCol w:w="992"/>
      </w:tblGrid>
      <w:tr w:rsidR="00853247" w:rsidRPr="009F021C" w14:paraId="2CE0BB7B" w14:textId="77777777" w:rsidTr="00853247">
        <w:tc>
          <w:tcPr>
            <w:tcW w:w="4395" w:type="dxa"/>
          </w:tcPr>
          <w:p w14:paraId="66DDAF4B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 xml:space="preserve">  End of period, time t</w:t>
            </w:r>
            <w:r>
              <w:rPr>
                <w:lang w:val="en-US" w:eastAsia="en-GB"/>
              </w:rPr>
              <w:t xml:space="preserve"> (years)</w:t>
            </w:r>
          </w:p>
        </w:tc>
        <w:tc>
          <w:tcPr>
            <w:tcW w:w="992" w:type="dxa"/>
          </w:tcPr>
          <w:p w14:paraId="619ABB9E" w14:textId="77777777" w:rsidR="00853247" w:rsidRPr="009F021C" w:rsidRDefault="000A4817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0</w:t>
            </w:r>
            <w:r w:rsidR="00280C6D">
              <w:rPr>
                <w:lang w:val="en-US" w:eastAsia="en-GB"/>
              </w:rPr>
              <w:t>·</w:t>
            </w:r>
            <w:r w:rsidR="00853247"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081C8168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1·</w:t>
            </w:r>
            <w:r w:rsidR="00853247"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489D2090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2·</w:t>
            </w:r>
            <w:r w:rsidR="00853247" w:rsidRPr="009F021C">
              <w:rPr>
                <w:lang w:val="en-US" w:eastAsia="en-GB"/>
              </w:rPr>
              <w:t>0</w:t>
            </w:r>
          </w:p>
        </w:tc>
        <w:tc>
          <w:tcPr>
            <w:tcW w:w="993" w:type="dxa"/>
          </w:tcPr>
          <w:p w14:paraId="4EF70D7A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3·</w:t>
            </w:r>
            <w:r w:rsidR="00853247"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76CCE100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4·</w:t>
            </w:r>
            <w:r w:rsidR="00853247" w:rsidRPr="009F021C">
              <w:rPr>
                <w:lang w:val="en-US" w:eastAsia="en-GB"/>
              </w:rPr>
              <w:t>0</w:t>
            </w:r>
          </w:p>
        </w:tc>
      </w:tr>
      <w:tr w:rsidR="00853247" w:rsidRPr="009F021C" w14:paraId="125A3571" w14:textId="77777777" w:rsidTr="00853247">
        <w:tc>
          <w:tcPr>
            <w:tcW w:w="4395" w:type="dxa"/>
          </w:tcPr>
          <w:p w14:paraId="44852889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 xml:space="preserve">  Accrual (% of total)</w:t>
            </w:r>
          </w:p>
        </w:tc>
        <w:tc>
          <w:tcPr>
            <w:tcW w:w="992" w:type="dxa"/>
          </w:tcPr>
          <w:p w14:paraId="4370FB38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606258F3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>75</w:t>
            </w:r>
          </w:p>
        </w:tc>
        <w:tc>
          <w:tcPr>
            <w:tcW w:w="992" w:type="dxa"/>
          </w:tcPr>
          <w:p w14:paraId="37FB58AA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>25</w:t>
            </w:r>
          </w:p>
        </w:tc>
        <w:tc>
          <w:tcPr>
            <w:tcW w:w="993" w:type="dxa"/>
          </w:tcPr>
          <w:p w14:paraId="40854B4C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54A67EC5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>0</w:t>
            </w:r>
          </w:p>
        </w:tc>
      </w:tr>
      <w:tr w:rsidR="00853247" w:rsidRPr="009F021C" w14:paraId="4E9384E3" w14:textId="77777777" w:rsidTr="00853247">
        <w:tc>
          <w:tcPr>
            <w:tcW w:w="4395" w:type="dxa"/>
          </w:tcPr>
          <w:p w14:paraId="29C0FCC7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 xml:space="preserve">  Gr</w:t>
            </w:r>
            <w:r w:rsidR="00280C6D">
              <w:rPr>
                <w:lang w:val="en-US" w:eastAsia="en-GB"/>
              </w:rPr>
              <w:t xml:space="preserve">oup 1 exponential hazard rate, </w:t>
            </w:r>
            <w:r w:rsidR="00280C6D">
              <w:rPr>
                <w:rFonts w:cstheme="minorHAnsi"/>
                <w:lang w:val="en-US" w:eastAsia="en-GB"/>
              </w:rPr>
              <w:t>λ</w:t>
            </w:r>
            <w:r w:rsidRPr="009F021C">
              <w:rPr>
                <w:lang w:val="en-US" w:eastAsia="en-GB"/>
              </w:rPr>
              <w:t>1</w:t>
            </w:r>
          </w:p>
        </w:tc>
        <w:tc>
          <w:tcPr>
            <w:tcW w:w="992" w:type="dxa"/>
          </w:tcPr>
          <w:p w14:paraId="6BAE3821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0·</w:t>
            </w:r>
            <w:r w:rsidR="00853247" w:rsidRPr="009F021C">
              <w:rPr>
                <w:lang w:val="en-US" w:eastAsia="en-GB"/>
              </w:rPr>
              <w:t>0000</w:t>
            </w:r>
          </w:p>
        </w:tc>
        <w:tc>
          <w:tcPr>
            <w:tcW w:w="992" w:type="dxa"/>
          </w:tcPr>
          <w:p w14:paraId="15AC4207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0·</w:t>
            </w:r>
            <w:r w:rsidR="00853247" w:rsidRPr="009F021C">
              <w:rPr>
                <w:lang w:val="en-US" w:eastAsia="en-GB"/>
              </w:rPr>
              <w:t>0513</w:t>
            </w:r>
          </w:p>
        </w:tc>
        <w:tc>
          <w:tcPr>
            <w:tcW w:w="992" w:type="dxa"/>
          </w:tcPr>
          <w:p w14:paraId="0C6DB9B9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0·</w:t>
            </w:r>
            <w:r w:rsidR="00853247" w:rsidRPr="009F021C">
              <w:rPr>
                <w:lang w:val="en-US" w:eastAsia="en-GB"/>
              </w:rPr>
              <w:t>1231</w:t>
            </w:r>
          </w:p>
        </w:tc>
        <w:tc>
          <w:tcPr>
            <w:tcW w:w="993" w:type="dxa"/>
          </w:tcPr>
          <w:p w14:paraId="687AA401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0·</w:t>
            </w:r>
            <w:r w:rsidR="00853247" w:rsidRPr="009F021C">
              <w:rPr>
                <w:lang w:val="en-US" w:eastAsia="en-GB"/>
              </w:rPr>
              <w:t>1542</w:t>
            </w:r>
          </w:p>
        </w:tc>
        <w:tc>
          <w:tcPr>
            <w:tcW w:w="992" w:type="dxa"/>
          </w:tcPr>
          <w:p w14:paraId="43F2A43D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0·</w:t>
            </w:r>
            <w:r w:rsidR="00853247" w:rsidRPr="009F021C">
              <w:rPr>
                <w:lang w:val="en-US" w:eastAsia="en-GB"/>
              </w:rPr>
              <w:t>1823</w:t>
            </w:r>
          </w:p>
        </w:tc>
      </w:tr>
      <w:tr w:rsidR="00853247" w:rsidRPr="009F021C" w14:paraId="0661F1DE" w14:textId="77777777" w:rsidTr="00853247">
        <w:tc>
          <w:tcPr>
            <w:tcW w:w="4395" w:type="dxa"/>
          </w:tcPr>
          <w:p w14:paraId="0C5DD24F" w14:textId="77777777" w:rsidR="00853247" w:rsidRPr="009F021C" w:rsidRDefault="00853247" w:rsidP="00280C6D">
            <w:pPr>
              <w:autoSpaceDE w:val="0"/>
              <w:autoSpaceDN w:val="0"/>
              <w:adjustRightInd w:val="0"/>
              <w:spacing w:after="0" w:line="480" w:lineRule="auto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 xml:space="preserve">  Group 2 exponential hazard rate,</w:t>
            </w:r>
            <w:r w:rsidR="00280C6D">
              <w:rPr>
                <w:lang w:val="en-US" w:eastAsia="en-GB"/>
              </w:rPr>
              <w:t xml:space="preserve"> </w:t>
            </w:r>
            <w:r w:rsidR="00280C6D">
              <w:rPr>
                <w:rFonts w:cstheme="minorHAnsi"/>
                <w:lang w:val="en-US" w:eastAsia="en-GB"/>
              </w:rPr>
              <w:t>λ</w:t>
            </w:r>
            <w:r w:rsidRPr="009F021C">
              <w:rPr>
                <w:lang w:val="en-US" w:eastAsia="en-GB"/>
              </w:rPr>
              <w:t>2</w:t>
            </w:r>
          </w:p>
        </w:tc>
        <w:tc>
          <w:tcPr>
            <w:tcW w:w="992" w:type="dxa"/>
          </w:tcPr>
          <w:p w14:paraId="0659CC03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0·</w:t>
            </w:r>
            <w:r w:rsidR="00853247" w:rsidRPr="009F021C">
              <w:rPr>
                <w:lang w:val="en-US" w:eastAsia="en-GB"/>
              </w:rPr>
              <w:t>0000</w:t>
            </w:r>
          </w:p>
        </w:tc>
        <w:tc>
          <w:tcPr>
            <w:tcW w:w="992" w:type="dxa"/>
          </w:tcPr>
          <w:p w14:paraId="3DF4421E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0·</w:t>
            </w:r>
            <w:r w:rsidR="00853247" w:rsidRPr="009F021C">
              <w:rPr>
                <w:lang w:val="en-US" w:eastAsia="en-GB"/>
              </w:rPr>
              <w:t>0202</w:t>
            </w:r>
          </w:p>
        </w:tc>
        <w:tc>
          <w:tcPr>
            <w:tcW w:w="992" w:type="dxa"/>
          </w:tcPr>
          <w:p w14:paraId="5E99471F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0·</w:t>
            </w:r>
            <w:r w:rsidR="00853247" w:rsidRPr="009F021C">
              <w:rPr>
                <w:lang w:val="en-US" w:eastAsia="en-GB"/>
              </w:rPr>
              <w:t>0206</w:t>
            </w:r>
          </w:p>
        </w:tc>
        <w:tc>
          <w:tcPr>
            <w:tcW w:w="993" w:type="dxa"/>
          </w:tcPr>
          <w:p w14:paraId="394A6261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0·</w:t>
            </w:r>
            <w:r w:rsidR="00853247" w:rsidRPr="009F021C">
              <w:rPr>
                <w:lang w:val="en-US" w:eastAsia="en-GB"/>
              </w:rPr>
              <w:t>0317</w:t>
            </w:r>
          </w:p>
        </w:tc>
        <w:tc>
          <w:tcPr>
            <w:tcW w:w="992" w:type="dxa"/>
          </w:tcPr>
          <w:p w14:paraId="75ACEF36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0·</w:t>
            </w:r>
            <w:r w:rsidR="00853247" w:rsidRPr="009F021C">
              <w:rPr>
                <w:lang w:val="en-US" w:eastAsia="en-GB"/>
              </w:rPr>
              <w:t>0328</w:t>
            </w:r>
          </w:p>
        </w:tc>
      </w:tr>
      <w:tr w:rsidR="00853247" w:rsidRPr="009F021C" w14:paraId="1ED837A8" w14:textId="77777777" w:rsidTr="00853247">
        <w:tc>
          <w:tcPr>
            <w:tcW w:w="4395" w:type="dxa"/>
          </w:tcPr>
          <w:p w14:paraId="76887FE0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 xml:space="preserve">  Group 1 expected % surviving time t</w:t>
            </w:r>
          </w:p>
        </w:tc>
        <w:tc>
          <w:tcPr>
            <w:tcW w:w="992" w:type="dxa"/>
          </w:tcPr>
          <w:p w14:paraId="6D9EB759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100·</w:t>
            </w:r>
            <w:r w:rsidR="00853247"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7CECBEA6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95·</w:t>
            </w:r>
            <w:r w:rsidR="00853247"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215AE71C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84·</w:t>
            </w:r>
            <w:r w:rsidR="00853247" w:rsidRPr="009F021C">
              <w:rPr>
                <w:lang w:val="en-US" w:eastAsia="en-GB"/>
              </w:rPr>
              <w:t>0</w:t>
            </w:r>
          </w:p>
        </w:tc>
        <w:tc>
          <w:tcPr>
            <w:tcW w:w="993" w:type="dxa"/>
          </w:tcPr>
          <w:p w14:paraId="3760D9F1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72·</w:t>
            </w:r>
            <w:r w:rsidR="00853247"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1995B1F1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60·</w:t>
            </w:r>
            <w:r w:rsidR="00853247" w:rsidRPr="009F021C">
              <w:rPr>
                <w:lang w:val="en-US" w:eastAsia="en-GB"/>
              </w:rPr>
              <w:t>0</w:t>
            </w:r>
          </w:p>
        </w:tc>
      </w:tr>
      <w:tr w:rsidR="00853247" w:rsidRPr="009F021C" w14:paraId="02F87117" w14:textId="77777777" w:rsidTr="00853247">
        <w:tc>
          <w:tcPr>
            <w:tcW w:w="4395" w:type="dxa"/>
          </w:tcPr>
          <w:p w14:paraId="67DBD7FC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 xml:space="preserve">  Group 2 expected % surviving time t</w:t>
            </w:r>
          </w:p>
        </w:tc>
        <w:tc>
          <w:tcPr>
            <w:tcW w:w="992" w:type="dxa"/>
          </w:tcPr>
          <w:p w14:paraId="77F9C1F9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100·</w:t>
            </w:r>
            <w:r w:rsidR="00853247"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43936F15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98·</w:t>
            </w:r>
            <w:r w:rsidR="00853247"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0A195BC3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96·</w:t>
            </w:r>
            <w:r w:rsidR="00853247" w:rsidRPr="009F021C">
              <w:rPr>
                <w:lang w:val="en-US" w:eastAsia="en-GB"/>
              </w:rPr>
              <w:t>0</w:t>
            </w:r>
          </w:p>
        </w:tc>
        <w:tc>
          <w:tcPr>
            <w:tcW w:w="993" w:type="dxa"/>
          </w:tcPr>
          <w:p w14:paraId="09E2073C" w14:textId="77777777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93·</w:t>
            </w:r>
            <w:r w:rsidR="00853247"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3F3C2F89" w14:textId="58BB176D" w:rsidR="00853247" w:rsidRPr="009F021C" w:rsidRDefault="00280C6D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9</w:t>
            </w:r>
            <w:r w:rsidR="0064669D">
              <w:rPr>
                <w:lang w:val="en-US" w:eastAsia="en-GB"/>
              </w:rPr>
              <w:t>0</w:t>
            </w:r>
            <w:r>
              <w:rPr>
                <w:lang w:val="en-US" w:eastAsia="en-GB"/>
              </w:rPr>
              <w:t>·</w:t>
            </w:r>
            <w:r w:rsidR="00853247" w:rsidRPr="009F021C">
              <w:rPr>
                <w:lang w:val="en-US" w:eastAsia="en-GB"/>
              </w:rPr>
              <w:t>0</w:t>
            </w:r>
          </w:p>
        </w:tc>
      </w:tr>
      <w:tr w:rsidR="00853247" w:rsidRPr="009F021C" w14:paraId="394F6919" w14:textId="77777777" w:rsidTr="00853247">
        <w:tc>
          <w:tcPr>
            <w:tcW w:w="4395" w:type="dxa"/>
          </w:tcPr>
          <w:p w14:paraId="10173C6D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 xml:space="preserve">  Common exponential dropout rate, d</w:t>
            </w:r>
          </w:p>
        </w:tc>
        <w:tc>
          <w:tcPr>
            <w:tcW w:w="992" w:type="dxa"/>
          </w:tcPr>
          <w:p w14:paraId="6675D67F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51B2C01F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51813403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>0</w:t>
            </w:r>
          </w:p>
        </w:tc>
        <w:tc>
          <w:tcPr>
            <w:tcW w:w="993" w:type="dxa"/>
          </w:tcPr>
          <w:p w14:paraId="64B52D41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>0</w:t>
            </w:r>
          </w:p>
        </w:tc>
        <w:tc>
          <w:tcPr>
            <w:tcW w:w="992" w:type="dxa"/>
          </w:tcPr>
          <w:p w14:paraId="15961279" w14:textId="77777777" w:rsidR="00853247" w:rsidRPr="009F021C" w:rsidRDefault="00853247" w:rsidP="000D7AC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lang w:val="en-US" w:eastAsia="en-GB"/>
              </w:rPr>
            </w:pPr>
            <w:r w:rsidRPr="009F021C">
              <w:rPr>
                <w:lang w:val="en-US" w:eastAsia="en-GB"/>
              </w:rPr>
              <w:t>0</w:t>
            </w:r>
          </w:p>
        </w:tc>
      </w:tr>
    </w:tbl>
    <w:p w14:paraId="503D5E02" w14:textId="7CFF5A45" w:rsidR="009D00C7" w:rsidRPr="008C3714" w:rsidRDefault="00853247" w:rsidP="008C3714">
      <w:pPr>
        <w:spacing w:line="240" w:lineRule="auto"/>
        <w:rPr>
          <w:b/>
          <w:lang w:val="en-US" w:eastAsia="en-GB"/>
        </w:rPr>
      </w:pPr>
      <w:r w:rsidRPr="000F62B6">
        <w:rPr>
          <w:rFonts w:eastAsia="Times New Roman" w:cs="Times New Roman"/>
          <w:b/>
          <w:bCs/>
          <w:i/>
          <w:color w:val="000000"/>
          <w:lang w:eastAsia="nl-NL"/>
        </w:rPr>
        <w:t>Supplementary table 1</w:t>
      </w:r>
      <w:r w:rsidRPr="00853247">
        <w:rPr>
          <w:lang w:val="en-US" w:eastAsia="en-GB"/>
        </w:rPr>
        <w:t xml:space="preserve"> </w:t>
      </w:r>
      <w:r w:rsidRPr="00D97166">
        <w:rPr>
          <w:b/>
          <w:lang w:val="en-US" w:eastAsia="en-GB"/>
        </w:rPr>
        <w:t xml:space="preserve">Determination of sample size using the log-rank test for equality of survival curves with a </w:t>
      </w:r>
      <w:r w:rsidR="00405B37">
        <w:rPr>
          <w:b/>
          <w:lang w:val="en-US" w:eastAsia="en-GB"/>
        </w:rPr>
        <w:t>p=</w:t>
      </w:r>
      <w:r w:rsidR="00280C6D">
        <w:rPr>
          <w:b/>
          <w:lang w:val="en-US" w:eastAsia="en-GB"/>
        </w:rPr>
        <w:t>0·</w:t>
      </w:r>
      <w:r w:rsidR="005E2043">
        <w:rPr>
          <w:b/>
          <w:lang w:val="en-US" w:eastAsia="en-GB"/>
        </w:rPr>
        <w:t>050</w:t>
      </w:r>
      <w:r w:rsidRPr="00D97166">
        <w:rPr>
          <w:b/>
          <w:lang w:val="en-US" w:eastAsia="en-GB"/>
        </w:rPr>
        <w:t xml:space="preserve"> two-sided significance level when an estimated foll</w:t>
      </w:r>
      <w:r w:rsidR="00B52122">
        <w:rPr>
          <w:b/>
          <w:lang w:val="en-US" w:eastAsia="en-GB"/>
        </w:rPr>
        <w:t xml:space="preserve">ow period of </w:t>
      </w:r>
      <w:r w:rsidR="000101C5">
        <w:rPr>
          <w:b/>
          <w:lang w:val="en-US" w:eastAsia="en-GB"/>
        </w:rPr>
        <w:t>4</w:t>
      </w:r>
      <w:r w:rsidR="00B52122">
        <w:rPr>
          <w:b/>
          <w:lang w:val="en-US" w:eastAsia="en-GB"/>
        </w:rPr>
        <w:t xml:space="preserve"> years is applied</w:t>
      </w:r>
    </w:p>
    <w:p w14:paraId="2F89A719" w14:textId="6749180E" w:rsidR="00992CCA" w:rsidRPr="00431133" w:rsidRDefault="008946BF">
      <w:pPr>
        <w:rPr>
          <w:b/>
          <w:i/>
        </w:rPr>
      </w:pPr>
      <w:r>
        <w:rPr>
          <w:b/>
          <w:i/>
        </w:rPr>
        <w:t xml:space="preserve">Additional information to </w:t>
      </w:r>
      <w:r w:rsidR="009D00C7">
        <w:rPr>
          <w:b/>
          <w:i/>
        </w:rPr>
        <w:t>Result</w:t>
      </w:r>
      <w:r w:rsidR="009D00C7" w:rsidRPr="006B6426">
        <w:rPr>
          <w:b/>
          <w:i/>
        </w:rPr>
        <w:t>s</w:t>
      </w:r>
      <w:r w:rsidR="00992CCA">
        <w:br w:type="page"/>
      </w:r>
    </w:p>
    <w:p w14:paraId="3537253B" w14:textId="77777777" w:rsidR="00593CB7" w:rsidRPr="009D00C7" w:rsidRDefault="00593CB7" w:rsidP="009D00C7">
      <w:pPr>
        <w:pStyle w:val="PlainText"/>
        <w:spacing w:line="480" w:lineRule="auto"/>
        <w:rPr>
          <w:rFonts w:asciiTheme="minorHAnsi" w:hAnsiTheme="minorHAnsi"/>
        </w:rPr>
      </w:pPr>
    </w:p>
    <w:bookmarkStart w:id="1" w:name="_MON_1551180362"/>
    <w:bookmarkEnd w:id="1"/>
    <w:p w14:paraId="4050DF34" w14:textId="75E83644" w:rsidR="003D789C" w:rsidRDefault="00B0182E" w:rsidP="003D789C">
      <w:r>
        <w:object w:dxaOrig="9360" w:dyaOrig="13067" w14:anchorId="048306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3.25pt" o:ole="">
            <v:imagedata r:id="rId5" o:title=""/>
          </v:shape>
          <o:OLEObject Type="Embed" ProgID="Word.Document.12" ShapeID="_x0000_i1025" DrawAspect="Content" ObjectID="_1597302479" r:id="rId6">
            <o:FieldCodes>\s</o:FieldCodes>
          </o:OLEObject>
        </w:object>
      </w:r>
    </w:p>
    <w:p w14:paraId="56A5E149" w14:textId="77777777" w:rsidR="00F84D35" w:rsidRPr="009879B7" w:rsidRDefault="00F84D35" w:rsidP="009A5C04">
      <w:pPr>
        <w:spacing w:line="480" w:lineRule="auto"/>
        <w:rPr>
          <w:rFonts w:ascii="Calibri" w:eastAsia="Calibri" w:hAnsi="Calibri" w:cs="Times New Roman"/>
          <w:i/>
        </w:rPr>
      </w:pPr>
      <w:r w:rsidRPr="009879B7">
        <w:rPr>
          <w:rFonts w:ascii="Calibri" w:eastAsia="Calibri" w:hAnsi="Calibri" w:cs="Times New Roman"/>
          <w:i/>
        </w:rPr>
        <w:lastRenderedPageBreak/>
        <w:t>B cell subset analyses</w:t>
      </w:r>
    </w:p>
    <w:p w14:paraId="5E3A0254" w14:textId="66C7591E" w:rsidR="009A5C04" w:rsidRDefault="00063144" w:rsidP="009A5C04">
      <w:pPr>
        <w:spacing w:line="480" w:lineRule="auto"/>
        <w:rPr>
          <w:i/>
        </w:rPr>
      </w:pPr>
      <w:r w:rsidRPr="00063144">
        <w:rPr>
          <w:rFonts w:ascii="Calibri" w:eastAsia="Calibri" w:hAnsi="Calibri" w:cs="Times New Roman"/>
        </w:rPr>
        <w:t>A more detailed analysis of subsets of B-cell populations could be performed in 45 patients (n=18 rituximab, n=27 placebo) using FACS analysis, based on availability of samples.</w:t>
      </w:r>
      <w:r w:rsidR="009A5C04" w:rsidRPr="009A5C04">
        <w:t xml:space="preserve"> </w:t>
      </w:r>
      <w:r w:rsidR="009A5C04">
        <w:t>There was a statistically significant decrease in the frequencies of CD19</w:t>
      </w:r>
      <w:r w:rsidR="009A5C04">
        <w:rPr>
          <w:vertAlign w:val="superscript"/>
        </w:rPr>
        <w:t>positive</w:t>
      </w:r>
      <w:r w:rsidR="009A5C04">
        <w:t xml:space="preserve"> B cells, most pronounced after 6 months, returning to near baseline levels at 12 months after treatment in the rituximab group</w:t>
      </w:r>
      <w:r w:rsidR="009A5C04">
        <w:rPr>
          <w:i/>
        </w:rPr>
        <w:t>.</w:t>
      </w:r>
      <w:r w:rsidR="009A5C04">
        <w:t xml:space="preserve"> The percentages of naïve and </w:t>
      </w:r>
      <w:proofErr w:type="spellStart"/>
      <w:r w:rsidR="009A5C04">
        <w:t>unswitched</w:t>
      </w:r>
      <w:proofErr w:type="spellEnd"/>
      <w:r w:rsidR="009A5C04">
        <w:t xml:space="preserve"> memory B cells decreased significantly. The </w:t>
      </w:r>
      <w:proofErr w:type="spellStart"/>
      <w:r w:rsidR="009A5C04">
        <w:t>plasmablast</w:t>
      </w:r>
      <w:proofErr w:type="spellEnd"/>
      <w:r w:rsidR="009A5C04">
        <w:t xml:space="preserve"> subsets (CD38 </w:t>
      </w:r>
      <w:r w:rsidR="009A5C04">
        <w:rPr>
          <w:vertAlign w:val="superscript"/>
        </w:rPr>
        <w:t>positive</w:t>
      </w:r>
      <w:r w:rsidR="009A5C04">
        <w:t>), regulatory B-cell containing fractions (defined by CD19</w:t>
      </w:r>
      <w:r w:rsidR="009A5C04">
        <w:rPr>
          <w:vertAlign w:val="superscript"/>
        </w:rPr>
        <w:t>positive</w:t>
      </w:r>
      <w:r w:rsidR="009A5C04">
        <w:t>CD27</w:t>
      </w:r>
      <w:r w:rsidR="009A5C04">
        <w:rPr>
          <w:vertAlign w:val="superscript"/>
        </w:rPr>
        <w:t>positive</w:t>
      </w:r>
      <w:r w:rsidR="009A5C04">
        <w:t xml:space="preserve"> and CD19</w:t>
      </w:r>
      <w:r w:rsidR="009A5C04">
        <w:rPr>
          <w:vertAlign w:val="superscript"/>
        </w:rPr>
        <w:t>positive</w:t>
      </w:r>
      <w:r w:rsidR="009A5C04">
        <w:t>CD5</w:t>
      </w:r>
      <w:r w:rsidR="009A5C04">
        <w:rPr>
          <w:vertAlign w:val="superscript"/>
        </w:rPr>
        <w:t>positive</w:t>
      </w:r>
      <w:r w:rsidR="009A5C04">
        <w:t xml:space="preserve"> populations) and the switched (</w:t>
      </w:r>
      <w:proofErr w:type="spellStart"/>
      <w:r w:rsidR="009A5C04">
        <w:t>IgD</w:t>
      </w:r>
      <w:proofErr w:type="spellEnd"/>
      <w:r w:rsidR="009A5C04">
        <w:rPr>
          <w:vertAlign w:val="superscript"/>
        </w:rPr>
        <w:t xml:space="preserve"> negative</w:t>
      </w:r>
      <w:r w:rsidR="009A5C04">
        <w:t xml:space="preserve">) B cell population, both naïve and memory, were significantly increased 6 months after rituximab treatment when compared to the placebo treated individuals.  The frequencies returned to normal at 12 months after treatment, alongside an observed repopulation of B cell numbers </w:t>
      </w:r>
      <w:r w:rsidR="009A5C04" w:rsidRPr="00431133">
        <w:rPr>
          <w:i/>
        </w:rPr>
        <w:t>Fig.</w:t>
      </w:r>
      <w:r w:rsidR="00B030B8" w:rsidRPr="00431133">
        <w:rPr>
          <w:i/>
        </w:rPr>
        <w:t xml:space="preserve"> S1</w:t>
      </w:r>
      <w:r w:rsidR="009A5C04" w:rsidRPr="00431133">
        <w:rPr>
          <w:i/>
        </w:rPr>
        <w:t xml:space="preserve"> A-G)</w:t>
      </w:r>
      <w:r w:rsidR="009A5C04" w:rsidRPr="00431133">
        <w:t>.</w:t>
      </w:r>
      <w:r w:rsidR="009A5C04">
        <w:t xml:space="preserve"> There was no significant change in the percentages of B and T-cell subsets in subjects treated with placebo, nor were the numbers and percentages of T cells in both treatment groups. In subjects treated with rituximab who developed arthritis during the follow up period, the CD27</w:t>
      </w:r>
      <w:r w:rsidR="009A5C04">
        <w:rPr>
          <w:vertAlign w:val="superscript"/>
        </w:rPr>
        <w:t>positive</w:t>
      </w:r>
      <w:r w:rsidR="009A5C04">
        <w:t>IgD</w:t>
      </w:r>
      <w:r w:rsidR="009A5C04">
        <w:rPr>
          <w:vertAlign w:val="superscript"/>
        </w:rPr>
        <w:t>negative</w:t>
      </w:r>
      <w:r w:rsidR="009A5C04">
        <w:t xml:space="preserve"> (switched memory cell) population showed a significant decrease before the diagnosis of arthritis was established (p&lt; 0·016), whereas the CD27</w:t>
      </w:r>
      <w:r w:rsidR="009A5C04">
        <w:rPr>
          <w:vertAlign w:val="superscript"/>
        </w:rPr>
        <w:t>negative</w:t>
      </w:r>
      <w:r w:rsidR="009A5C04">
        <w:t>IgD</w:t>
      </w:r>
      <w:r w:rsidR="009A5C04">
        <w:rPr>
          <w:vertAlign w:val="superscript"/>
        </w:rPr>
        <w:t>positive</w:t>
      </w:r>
      <w:r w:rsidR="009A5C04">
        <w:t xml:space="preserve"> naive B cell population tended to be increased at the same time point (p=0·11). These changes were not observed in the individuals who developed arthritis and in the placebo </w:t>
      </w:r>
      <w:r w:rsidR="009A5C04" w:rsidRPr="00431133">
        <w:t xml:space="preserve">group </w:t>
      </w:r>
      <w:r w:rsidR="009A5C04" w:rsidRPr="00431133">
        <w:rPr>
          <w:i/>
        </w:rPr>
        <w:t xml:space="preserve">(Fig. </w:t>
      </w:r>
      <w:r w:rsidR="00B030B8" w:rsidRPr="00431133">
        <w:rPr>
          <w:i/>
        </w:rPr>
        <w:t>S2</w:t>
      </w:r>
      <w:r w:rsidR="009A5C04" w:rsidRPr="00431133">
        <w:rPr>
          <w:i/>
        </w:rPr>
        <w:t xml:space="preserve"> A-G).</w:t>
      </w:r>
    </w:p>
    <w:p w14:paraId="15D6578C" w14:textId="142F3277" w:rsidR="00B030B8" w:rsidRDefault="00D35C1B" w:rsidP="00B030B8">
      <w:pPr>
        <w:spacing w:line="480" w:lineRule="auto"/>
        <w:rPr>
          <w:i/>
        </w:rPr>
      </w:pPr>
      <w:r>
        <w:fldChar w:fldCharType="begin"/>
      </w:r>
      <w:r>
        <w:instrText xml:space="preserve"> ADDIN EN.REFLIST </w:instrText>
      </w:r>
      <w:r>
        <w:fldChar w:fldCharType="end"/>
      </w:r>
    </w:p>
    <w:p w14:paraId="654F2D40" w14:textId="77777777" w:rsidR="00B030B8" w:rsidRDefault="00B030B8" w:rsidP="009A5C04">
      <w:pPr>
        <w:spacing w:line="480" w:lineRule="auto"/>
      </w:pPr>
    </w:p>
    <w:p w14:paraId="23D80450" w14:textId="1245AC88" w:rsidR="00B030B8" w:rsidRDefault="00B030B8" w:rsidP="00B030B8">
      <w:pPr>
        <w:spacing w:line="240" w:lineRule="auto"/>
        <w:rPr>
          <w:b/>
          <w:lang w:eastAsia="en-GB"/>
        </w:rPr>
      </w:pPr>
      <w:r>
        <w:rPr>
          <w:b/>
          <w:lang w:eastAsia="en-GB"/>
        </w:rPr>
        <w:t>Figure Legends</w:t>
      </w:r>
      <w:r w:rsidR="00F84D35">
        <w:rPr>
          <w:b/>
          <w:lang w:eastAsia="en-GB"/>
        </w:rPr>
        <w:t xml:space="preserve"> supplemental file</w:t>
      </w:r>
    </w:p>
    <w:p w14:paraId="312A3AF1" w14:textId="77777777" w:rsidR="00B030B8" w:rsidRDefault="00B030B8" w:rsidP="00B030B8">
      <w:pPr>
        <w:spacing w:line="240" w:lineRule="auto"/>
        <w:rPr>
          <w:b/>
          <w:lang w:eastAsia="en-GB"/>
        </w:rPr>
      </w:pPr>
      <w:r>
        <w:rPr>
          <w:b/>
          <w:lang w:eastAsia="en-GB"/>
        </w:rPr>
        <w:t xml:space="preserve">Figure S1 A-G Changes in B cell population subsets over time </w:t>
      </w:r>
      <w:r w:rsidRPr="00646031">
        <w:rPr>
          <w:rFonts w:eastAsia="Calibri"/>
        </w:rPr>
        <w:t>FACS analysis of B-cell population subsets in 45 individuals (n=18 rituximab, n=27 placebo) at baseline, 6 months and 12 months after study treatment (rituximab (green) and placebo (red)).</w:t>
      </w:r>
      <w:r w:rsidRPr="00646031">
        <w:rPr>
          <w:rFonts w:eastAsia="Calibri"/>
          <w:lang w:eastAsia="en-GB"/>
        </w:rPr>
        <w:t xml:space="preserve"> The thin lines represent frequencies measured in individuals, the thick lines represent the mean frequencies for each treatment. Vertical lines represent the 95% confidence intervals (CI). </w:t>
      </w:r>
      <w:r w:rsidRPr="00646031">
        <w:rPr>
          <w:rFonts w:eastAsia="Calibri"/>
        </w:rPr>
        <w:t>Percentages of CD19</w:t>
      </w:r>
      <w:r w:rsidRPr="00405B37">
        <w:rPr>
          <w:rFonts w:eastAsia="Calibri"/>
          <w:vertAlign w:val="superscript"/>
        </w:rPr>
        <w:t xml:space="preserve"> </w:t>
      </w:r>
      <w:r w:rsidRPr="00646031">
        <w:rPr>
          <w:rFonts w:eastAsia="Calibri"/>
          <w:vertAlign w:val="superscript"/>
        </w:rPr>
        <w:t>positive</w:t>
      </w:r>
      <w:r>
        <w:rPr>
          <w:rFonts w:eastAsia="Calibri"/>
        </w:rPr>
        <w:t xml:space="preserve"> CD20</w:t>
      </w:r>
      <w:r w:rsidRPr="00646031">
        <w:rPr>
          <w:rFonts w:eastAsia="Calibri"/>
          <w:vertAlign w:val="superscript"/>
        </w:rPr>
        <w:t>positive</w:t>
      </w:r>
      <w:r w:rsidRPr="00646031">
        <w:rPr>
          <w:rFonts w:eastAsia="Calibri"/>
        </w:rPr>
        <w:t xml:space="preserve"> B cells (</w:t>
      </w:r>
      <w:r w:rsidRPr="00646031">
        <w:rPr>
          <w:rFonts w:eastAsia="Calibri"/>
          <w:b/>
        </w:rPr>
        <w:t>A</w:t>
      </w:r>
      <w:r w:rsidRPr="00646031">
        <w:rPr>
          <w:rFonts w:eastAsia="Calibri"/>
        </w:rPr>
        <w:t xml:space="preserve">), naïve and </w:t>
      </w:r>
      <w:proofErr w:type="spellStart"/>
      <w:r w:rsidRPr="00646031">
        <w:rPr>
          <w:rFonts w:eastAsia="Calibri"/>
        </w:rPr>
        <w:t>unswitched</w:t>
      </w:r>
      <w:proofErr w:type="spellEnd"/>
      <w:r w:rsidRPr="00646031">
        <w:rPr>
          <w:rFonts w:eastAsia="Calibri"/>
        </w:rPr>
        <w:t xml:space="preserve"> memory B cells (</w:t>
      </w:r>
      <w:r w:rsidRPr="00646031">
        <w:rPr>
          <w:rFonts w:eastAsia="Calibri"/>
          <w:b/>
        </w:rPr>
        <w:t xml:space="preserve">B </w:t>
      </w:r>
      <w:r w:rsidRPr="00646031">
        <w:rPr>
          <w:rFonts w:eastAsia="Calibri"/>
        </w:rPr>
        <w:t xml:space="preserve">and </w:t>
      </w:r>
      <w:r w:rsidRPr="00646031">
        <w:rPr>
          <w:rFonts w:eastAsia="Calibri"/>
          <w:b/>
        </w:rPr>
        <w:t>C</w:t>
      </w:r>
      <w:r w:rsidRPr="00646031">
        <w:rPr>
          <w:rFonts w:eastAsia="Calibri"/>
        </w:rPr>
        <w:t xml:space="preserve">, respectively), </w:t>
      </w:r>
      <w:proofErr w:type="spellStart"/>
      <w:r w:rsidRPr="00646031">
        <w:rPr>
          <w:rFonts w:eastAsia="Calibri"/>
        </w:rPr>
        <w:t>plasmablast</w:t>
      </w:r>
      <w:proofErr w:type="spellEnd"/>
      <w:r w:rsidRPr="00646031">
        <w:rPr>
          <w:rFonts w:eastAsia="Calibri"/>
        </w:rPr>
        <w:t xml:space="preserve"> subsets (CD38 </w:t>
      </w:r>
      <w:r w:rsidRPr="00646031">
        <w:rPr>
          <w:rFonts w:eastAsia="Calibri"/>
          <w:vertAlign w:val="superscript"/>
        </w:rPr>
        <w:t>positive</w:t>
      </w:r>
      <w:r w:rsidRPr="00646031">
        <w:rPr>
          <w:rFonts w:eastAsia="Calibri"/>
        </w:rPr>
        <w:t xml:space="preserve">; </w:t>
      </w:r>
      <w:r w:rsidRPr="00646031">
        <w:rPr>
          <w:rFonts w:eastAsia="Calibri"/>
          <w:b/>
        </w:rPr>
        <w:t>D</w:t>
      </w:r>
      <w:r w:rsidRPr="00646031">
        <w:rPr>
          <w:rFonts w:eastAsia="Calibri"/>
        </w:rPr>
        <w:t xml:space="preserve">), </w:t>
      </w:r>
      <w:r w:rsidRPr="00646031">
        <w:rPr>
          <w:rFonts w:eastAsia="Calibri"/>
        </w:rPr>
        <w:lastRenderedPageBreak/>
        <w:t>regulatory B-cells (CD19</w:t>
      </w:r>
      <w:r w:rsidRPr="00646031">
        <w:rPr>
          <w:rFonts w:eastAsia="Calibri"/>
          <w:vertAlign w:val="superscript"/>
        </w:rPr>
        <w:t xml:space="preserve"> positive</w:t>
      </w:r>
      <w:r w:rsidRPr="00646031">
        <w:rPr>
          <w:rFonts w:eastAsia="Calibri"/>
        </w:rPr>
        <w:t xml:space="preserve"> CD27</w:t>
      </w:r>
      <w:r w:rsidRPr="00646031">
        <w:rPr>
          <w:rFonts w:eastAsia="Calibri"/>
          <w:vertAlign w:val="superscript"/>
        </w:rPr>
        <w:t xml:space="preserve"> positive</w:t>
      </w:r>
      <w:r w:rsidRPr="00646031">
        <w:rPr>
          <w:rFonts w:eastAsia="Calibri"/>
        </w:rPr>
        <w:t>, CD19</w:t>
      </w:r>
      <w:r w:rsidRPr="00646031">
        <w:rPr>
          <w:rFonts w:eastAsia="Calibri"/>
          <w:vertAlign w:val="superscript"/>
        </w:rPr>
        <w:t xml:space="preserve"> positive</w:t>
      </w:r>
      <w:r w:rsidRPr="00646031">
        <w:rPr>
          <w:rFonts w:eastAsia="Calibri"/>
        </w:rPr>
        <w:t xml:space="preserve"> CD5 </w:t>
      </w:r>
      <w:r w:rsidRPr="00646031">
        <w:rPr>
          <w:rFonts w:eastAsia="Calibri"/>
          <w:vertAlign w:val="superscript"/>
        </w:rPr>
        <w:t>positive</w:t>
      </w:r>
      <w:r w:rsidRPr="00646031">
        <w:rPr>
          <w:rFonts w:eastAsia="Calibri"/>
        </w:rPr>
        <w:t xml:space="preserve">, </w:t>
      </w:r>
      <w:r w:rsidRPr="00646031">
        <w:rPr>
          <w:rFonts w:eastAsia="Calibri"/>
          <w:b/>
        </w:rPr>
        <w:t>E</w:t>
      </w:r>
      <w:r w:rsidRPr="00646031">
        <w:rPr>
          <w:rFonts w:eastAsia="Calibri"/>
        </w:rPr>
        <w:t xml:space="preserve"> and</w:t>
      </w:r>
      <w:r w:rsidRPr="00646031">
        <w:rPr>
          <w:rFonts w:eastAsia="Calibri"/>
          <w:b/>
        </w:rPr>
        <w:t xml:space="preserve"> F</w:t>
      </w:r>
      <w:r w:rsidRPr="00646031">
        <w:rPr>
          <w:rFonts w:eastAsia="Calibri"/>
        </w:rPr>
        <w:t>, respectively) and the switched (</w:t>
      </w:r>
      <w:proofErr w:type="spellStart"/>
      <w:r w:rsidRPr="00646031">
        <w:rPr>
          <w:rFonts w:eastAsia="Calibri"/>
        </w:rPr>
        <w:t>IgD</w:t>
      </w:r>
      <w:proofErr w:type="spellEnd"/>
      <w:r w:rsidRPr="00646031">
        <w:rPr>
          <w:rFonts w:eastAsia="Calibri"/>
          <w:vertAlign w:val="superscript"/>
        </w:rPr>
        <w:t xml:space="preserve"> negative</w:t>
      </w:r>
      <w:r w:rsidRPr="00646031">
        <w:rPr>
          <w:rFonts w:eastAsia="Calibri"/>
        </w:rPr>
        <w:t>) B cell population (</w:t>
      </w:r>
      <w:r w:rsidRPr="00646031">
        <w:rPr>
          <w:rFonts w:eastAsia="Calibri"/>
          <w:b/>
        </w:rPr>
        <w:t>G</w:t>
      </w:r>
      <w:r w:rsidRPr="00646031">
        <w:rPr>
          <w:rFonts w:eastAsia="Calibri"/>
        </w:rPr>
        <w:t>).</w:t>
      </w:r>
    </w:p>
    <w:p w14:paraId="3C240D23" w14:textId="77777777" w:rsidR="00B030B8" w:rsidRDefault="00B030B8" w:rsidP="00B030B8">
      <w:pPr>
        <w:spacing w:line="240" w:lineRule="auto"/>
        <w:rPr>
          <w:b/>
          <w:lang w:eastAsia="en-GB"/>
        </w:rPr>
      </w:pPr>
    </w:p>
    <w:p w14:paraId="4E18CC88" w14:textId="77777777" w:rsidR="00B030B8" w:rsidRDefault="00B030B8" w:rsidP="00B030B8">
      <w:pPr>
        <w:spacing w:line="240" w:lineRule="auto"/>
        <w:rPr>
          <w:b/>
          <w:lang w:eastAsia="en-GB"/>
        </w:rPr>
      </w:pPr>
      <w:r w:rsidRPr="00810925">
        <w:rPr>
          <w:b/>
          <w:lang w:eastAsia="en-GB"/>
        </w:rPr>
        <w:t>Figure</w:t>
      </w:r>
      <w:r>
        <w:rPr>
          <w:b/>
          <w:lang w:eastAsia="en-GB"/>
        </w:rPr>
        <w:t xml:space="preserve"> S2</w:t>
      </w:r>
      <w:r w:rsidRPr="00810925">
        <w:rPr>
          <w:b/>
          <w:lang w:eastAsia="en-GB"/>
        </w:rPr>
        <w:t xml:space="preserve"> A-G</w:t>
      </w:r>
      <w:r>
        <w:rPr>
          <w:b/>
          <w:lang w:eastAsia="en-GB"/>
        </w:rPr>
        <w:t xml:space="preserve"> Changes B cell population subsets in relationship with arthritis development</w:t>
      </w:r>
    </w:p>
    <w:p w14:paraId="286B6EED" w14:textId="77777777" w:rsidR="00B030B8" w:rsidRDefault="00B030B8" w:rsidP="00B030B8">
      <w:pPr>
        <w:spacing w:line="240" w:lineRule="auto"/>
      </w:pPr>
      <w:r w:rsidRPr="001F5A55">
        <w:t xml:space="preserve"> </w:t>
      </w:r>
      <w:r>
        <w:t>B-cell population subsets in</w:t>
      </w:r>
      <w:r w:rsidRPr="005B6D51">
        <w:t xml:space="preserve"> 45 </w:t>
      </w:r>
      <w:r>
        <w:t>individuals</w:t>
      </w:r>
      <w:r w:rsidRPr="005B6D51">
        <w:t xml:space="preserve"> (n=18 rituximab, n=27 placebo)</w:t>
      </w:r>
      <w:r>
        <w:t xml:space="preserve"> at baseline, 6 months and 12 months after study treatment (rituximab (green) and placebo (red)).</w:t>
      </w:r>
      <w:r w:rsidRPr="006F2A2D">
        <w:rPr>
          <w:lang w:eastAsia="en-GB"/>
        </w:rPr>
        <w:t xml:space="preserve"> </w:t>
      </w:r>
      <w:r w:rsidRPr="00CA6A3E">
        <w:rPr>
          <w:lang w:eastAsia="en-GB"/>
        </w:rPr>
        <w:t>The</w:t>
      </w:r>
      <w:r>
        <w:rPr>
          <w:lang w:eastAsia="en-GB"/>
        </w:rPr>
        <w:t xml:space="preserve"> thin lines represent frequency measured in individuals, </w:t>
      </w:r>
      <w:r w:rsidRPr="00CA6A3E">
        <w:rPr>
          <w:lang w:eastAsia="en-GB"/>
        </w:rPr>
        <w:t xml:space="preserve">the thick lines represent the mean </w:t>
      </w:r>
      <w:r>
        <w:rPr>
          <w:lang w:eastAsia="en-GB"/>
        </w:rPr>
        <w:t>frequencies for each treatment</w:t>
      </w:r>
      <w:r w:rsidRPr="00CA6A3E">
        <w:rPr>
          <w:lang w:eastAsia="en-GB"/>
        </w:rPr>
        <w:t xml:space="preserve">. </w:t>
      </w:r>
      <w:r>
        <w:rPr>
          <w:lang w:eastAsia="en-GB"/>
        </w:rPr>
        <w:t>Vertical lines represent the 95% confidence intervals (CI). In the left panel, percentages of B cell subsets are shown in individuals who did not develop arthritis (x-axes represents months since inclusion), in the right panel results of percentages in individuals who developed arthritis are depicted (x-axes represents month prior to arthritis development).</w:t>
      </w:r>
      <w:r>
        <w:t xml:space="preserve">Percentages of </w:t>
      </w:r>
      <w:r w:rsidRPr="005B6D51">
        <w:t>CD19</w:t>
      </w:r>
      <w:r w:rsidRPr="005B6D51">
        <w:rPr>
          <w:vertAlign w:val="superscript"/>
        </w:rPr>
        <w:t>positive</w:t>
      </w:r>
      <w:r w:rsidRPr="005B6D51">
        <w:t xml:space="preserve"> B cells</w:t>
      </w:r>
      <w:r>
        <w:t xml:space="preserve"> </w:t>
      </w:r>
      <w:r w:rsidRPr="00D52B74">
        <w:t>(</w:t>
      </w:r>
      <w:r w:rsidRPr="00D52B74">
        <w:rPr>
          <w:b/>
        </w:rPr>
        <w:t>A</w:t>
      </w:r>
      <w:r w:rsidRPr="00D52B74">
        <w:t xml:space="preserve">), naïve and </w:t>
      </w:r>
      <w:proofErr w:type="spellStart"/>
      <w:r w:rsidRPr="00D52B74">
        <w:t>unswitched</w:t>
      </w:r>
      <w:proofErr w:type="spellEnd"/>
      <w:r w:rsidRPr="00D52B74">
        <w:t xml:space="preserve"> memory B cells (</w:t>
      </w:r>
      <w:r w:rsidRPr="00D52B74">
        <w:rPr>
          <w:b/>
        </w:rPr>
        <w:t xml:space="preserve">B </w:t>
      </w:r>
      <w:r w:rsidRPr="00D52B74">
        <w:t xml:space="preserve">and </w:t>
      </w:r>
      <w:r w:rsidRPr="00D52B74">
        <w:rPr>
          <w:b/>
        </w:rPr>
        <w:t>C</w:t>
      </w:r>
      <w:r w:rsidRPr="00D52B74">
        <w:t xml:space="preserve">, respectively)., </w:t>
      </w:r>
      <w:proofErr w:type="spellStart"/>
      <w:r w:rsidRPr="00D52B74">
        <w:t>plasmablast</w:t>
      </w:r>
      <w:proofErr w:type="spellEnd"/>
      <w:r w:rsidRPr="00D52B74">
        <w:t xml:space="preserve"> subsets (CD38 </w:t>
      </w:r>
      <w:r w:rsidRPr="00D52B74">
        <w:rPr>
          <w:vertAlign w:val="superscript"/>
        </w:rPr>
        <w:t>positive</w:t>
      </w:r>
      <w:r w:rsidRPr="00D52B74">
        <w:t xml:space="preserve">; </w:t>
      </w:r>
      <w:r w:rsidRPr="00D52B74">
        <w:rPr>
          <w:b/>
        </w:rPr>
        <w:t>D</w:t>
      </w:r>
      <w:r w:rsidRPr="00D52B74">
        <w:t>), regulatory B-cells (CD19</w:t>
      </w:r>
      <w:r w:rsidRPr="00D52B74">
        <w:rPr>
          <w:vertAlign w:val="superscript"/>
        </w:rPr>
        <w:t xml:space="preserve"> positive</w:t>
      </w:r>
      <w:r w:rsidRPr="00D52B74">
        <w:t xml:space="preserve"> CD27</w:t>
      </w:r>
      <w:r w:rsidRPr="00D52B74">
        <w:rPr>
          <w:vertAlign w:val="superscript"/>
        </w:rPr>
        <w:t xml:space="preserve"> positive</w:t>
      </w:r>
      <w:r w:rsidRPr="00D52B74">
        <w:t>, CD19</w:t>
      </w:r>
      <w:r w:rsidRPr="00D52B74">
        <w:rPr>
          <w:vertAlign w:val="superscript"/>
        </w:rPr>
        <w:t xml:space="preserve"> positive</w:t>
      </w:r>
      <w:r w:rsidRPr="00D52B74">
        <w:t xml:space="preserve"> CD5 </w:t>
      </w:r>
      <w:r w:rsidRPr="00D52B74">
        <w:rPr>
          <w:vertAlign w:val="superscript"/>
        </w:rPr>
        <w:t>positive</w:t>
      </w:r>
      <w:r w:rsidRPr="00D52B74">
        <w:t xml:space="preserve">, </w:t>
      </w:r>
      <w:r w:rsidRPr="00D52B74">
        <w:rPr>
          <w:b/>
        </w:rPr>
        <w:t>E</w:t>
      </w:r>
      <w:r w:rsidRPr="00D52B74">
        <w:t xml:space="preserve"> and</w:t>
      </w:r>
      <w:r w:rsidRPr="00D52B74">
        <w:rPr>
          <w:b/>
        </w:rPr>
        <w:t xml:space="preserve"> F</w:t>
      </w:r>
      <w:r w:rsidRPr="00D52B74">
        <w:t>, respectively) and the switched (</w:t>
      </w:r>
      <w:proofErr w:type="spellStart"/>
      <w:r w:rsidRPr="00D52B74">
        <w:t>IgD</w:t>
      </w:r>
      <w:proofErr w:type="spellEnd"/>
      <w:r w:rsidRPr="00D52B74">
        <w:rPr>
          <w:vertAlign w:val="superscript"/>
        </w:rPr>
        <w:t xml:space="preserve"> negative</w:t>
      </w:r>
      <w:r w:rsidRPr="00D52B74">
        <w:t>) B cell population (</w:t>
      </w:r>
      <w:r w:rsidRPr="00D52B74">
        <w:rPr>
          <w:b/>
        </w:rPr>
        <w:t>G</w:t>
      </w:r>
      <w:r w:rsidRPr="00D52B74">
        <w:t>).</w:t>
      </w:r>
    </w:p>
    <w:p w14:paraId="185809F7" w14:textId="1567A938" w:rsidR="00EA75BD" w:rsidRDefault="00EA75BD"/>
    <w:sectPr w:rsidR="00EA75BD" w:rsidSect="009879B7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30BC"/>
    <w:multiLevelType w:val="multilevel"/>
    <w:tmpl w:val="B9047A02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DE50B2D"/>
    <w:multiLevelType w:val="hybridMultilevel"/>
    <w:tmpl w:val="E0920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e95ads0de2pbevxpnp55s7v2wtf9rxape0&quot;&gt;Sample_Library_X7&lt;record-ids&gt;&lt;item&gt;427&lt;/item&gt;&lt;/record-ids&gt;&lt;/item&gt;&lt;/Libraries&gt;"/>
  </w:docVars>
  <w:rsids>
    <w:rsidRoot w:val="00EA75BD"/>
    <w:rsid w:val="000101C5"/>
    <w:rsid w:val="000319D0"/>
    <w:rsid w:val="00054403"/>
    <w:rsid w:val="00063144"/>
    <w:rsid w:val="00066440"/>
    <w:rsid w:val="000800EB"/>
    <w:rsid w:val="00086405"/>
    <w:rsid w:val="000A4817"/>
    <w:rsid w:val="000D27F8"/>
    <w:rsid w:val="000D7ACD"/>
    <w:rsid w:val="00123BBD"/>
    <w:rsid w:val="00123E81"/>
    <w:rsid w:val="00202F0B"/>
    <w:rsid w:val="00224FAB"/>
    <w:rsid w:val="00226CCF"/>
    <w:rsid w:val="00232778"/>
    <w:rsid w:val="00280C6D"/>
    <w:rsid w:val="002A59D1"/>
    <w:rsid w:val="002B286E"/>
    <w:rsid w:val="002E0053"/>
    <w:rsid w:val="003051E8"/>
    <w:rsid w:val="0034681A"/>
    <w:rsid w:val="0035249A"/>
    <w:rsid w:val="003669FA"/>
    <w:rsid w:val="00386C4E"/>
    <w:rsid w:val="003D789C"/>
    <w:rsid w:val="003E1724"/>
    <w:rsid w:val="00405B37"/>
    <w:rsid w:val="00431133"/>
    <w:rsid w:val="00465876"/>
    <w:rsid w:val="00483174"/>
    <w:rsid w:val="004A309B"/>
    <w:rsid w:val="004D2BAF"/>
    <w:rsid w:val="004F41F4"/>
    <w:rsid w:val="00506801"/>
    <w:rsid w:val="00545070"/>
    <w:rsid w:val="00560281"/>
    <w:rsid w:val="00564CAF"/>
    <w:rsid w:val="00593CB7"/>
    <w:rsid w:val="005A483D"/>
    <w:rsid w:val="005B42F1"/>
    <w:rsid w:val="005D1C29"/>
    <w:rsid w:val="005E2043"/>
    <w:rsid w:val="005F1CDB"/>
    <w:rsid w:val="0063441D"/>
    <w:rsid w:val="00646031"/>
    <w:rsid w:val="0064669D"/>
    <w:rsid w:val="006614A6"/>
    <w:rsid w:val="00696BB6"/>
    <w:rsid w:val="006B6426"/>
    <w:rsid w:val="006E5BCD"/>
    <w:rsid w:val="006F312E"/>
    <w:rsid w:val="00707FE1"/>
    <w:rsid w:val="007265FF"/>
    <w:rsid w:val="00744E75"/>
    <w:rsid w:val="00745623"/>
    <w:rsid w:val="00750750"/>
    <w:rsid w:val="00762EB2"/>
    <w:rsid w:val="007C57C5"/>
    <w:rsid w:val="007D5713"/>
    <w:rsid w:val="00817F7C"/>
    <w:rsid w:val="0083296A"/>
    <w:rsid w:val="00853247"/>
    <w:rsid w:val="008933BC"/>
    <w:rsid w:val="008946BF"/>
    <w:rsid w:val="008B4F4A"/>
    <w:rsid w:val="008C3714"/>
    <w:rsid w:val="008D6919"/>
    <w:rsid w:val="00924BC0"/>
    <w:rsid w:val="00962B03"/>
    <w:rsid w:val="009650A4"/>
    <w:rsid w:val="009826EF"/>
    <w:rsid w:val="009879B7"/>
    <w:rsid w:val="00992CCA"/>
    <w:rsid w:val="009A5C04"/>
    <w:rsid w:val="009D00C7"/>
    <w:rsid w:val="009D43E7"/>
    <w:rsid w:val="00A10F57"/>
    <w:rsid w:val="00A30D1F"/>
    <w:rsid w:val="00A438C7"/>
    <w:rsid w:val="00A52B29"/>
    <w:rsid w:val="00A532D8"/>
    <w:rsid w:val="00A62D16"/>
    <w:rsid w:val="00A92F19"/>
    <w:rsid w:val="00A94326"/>
    <w:rsid w:val="00AC54B0"/>
    <w:rsid w:val="00B00EBF"/>
    <w:rsid w:val="00B0182E"/>
    <w:rsid w:val="00B030B8"/>
    <w:rsid w:val="00B07E67"/>
    <w:rsid w:val="00B20327"/>
    <w:rsid w:val="00B52122"/>
    <w:rsid w:val="00B61FF5"/>
    <w:rsid w:val="00B624C3"/>
    <w:rsid w:val="00C020A1"/>
    <w:rsid w:val="00C974E1"/>
    <w:rsid w:val="00CB67AB"/>
    <w:rsid w:val="00D25CE4"/>
    <w:rsid w:val="00D30463"/>
    <w:rsid w:val="00D311BB"/>
    <w:rsid w:val="00D35C1B"/>
    <w:rsid w:val="00D97166"/>
    <w:rsid w:val="00DB76CD"/>
    <w:rsid w:val="00DD3650"/>
    <w:rsid w:val="00E4554D"/>
    <w:rsid w:val="00E46146"/>
    <w:rsid w:val="00E46FF4"/>
    <w:rsid w:val="00EA09AD"/>
    <w:rsid w:val="00EA75BD"/>
    <w:rsid w:val="00ED73C6"/>
    <w:rsid w:val="00EE0302"/>
    <w:rsid w:val="00EF5420"/>
    <w:rsid w:val="00F11078"/>
    <w:rsid w:val="00F542C7"/>
    <w:rsid w:val="00F84D35"/>
    <w:rsid w:val="00FA050D"/>
    <w:rsid w:val="00FB3855"/>
    <w:rsid w:val="00FC06F0"/>
    <w:rsid w:val="00FD333F"/>
    <w:rsid w:val="00FD37E8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1C23"/>
  <w15:docId w15:val="{B2974F07-FF16-4B10-9FCC-A10E4F39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65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B03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A5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2D8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2D8"/>
    <w:rPr>
      <w:rFonts w:ascii="Calibri" w:eastAsia="Calibri" w:hAnsi="Calibri" w:cs="Times New Roman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D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D8"/>
    <w:pPr>
      <w:spacing w:after="160"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D8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B03"/>
    <w:rPr>
      <w:rFonts w:eastAsiaTheme="minorEastAsia"/>
      <w:b/>
      <w:bCs/>
      <w:sz w:val="28"/>
      <w:szCs w:val="28"/>
      <w:lang w:val="nl-NL"/>
    </w:rPr>
  </w:style>
  <w:style w:type="character" w:styleId="Hyperlink">
    <w:name w:val="Hyperlink"/>
    <w:basedOn w:val="DefaultParagraphFont"/>
    <w:uiPriority w:val="99"/>
    <w:semiHidden/>
    <w:unhideWhenUsed/>
    <w:rsid w:val="008933B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33BC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rsid w:val="008933BC"/>
    <w:rPr>
      <w:rFonts w:ascii="Consolas" w:hAnsi="Consolas"/>
    </w:rPr>
  </w:style>
  <w:style w:type="paragraph" w:customStyle="1" w:styleId="EndNoteBibliographyTitle">
    <w:name w:val="EndNote Bibliography Title"/>
    <w:basedOn w:val="Normal"/>
    <w:link w:val="EndNoteBibliographyTitleChar"/>
    <w:rsid w:val="00FC06F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PlainTextChar"/>
    <w:link w:val="EndNoteBibliographyTitle"/>
    <w:rsid w:val="00FC06F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C06F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PlainTextChar"/>
    <w:link w:val="EndNoteBibliography"/>
    <w:rsid w:val="00FC06F0"/>
    <w:rPr>
      <w:rFonts w:ascii="Calibri" w:hAnsi="Calibri" w:cs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2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Gerlag</dc:creator>
  <cp:lastModifiedBy>Danielle Gerlag</cp:lastModifiedBy>
  <cp:revision>3</cp:revision>
  <dcterms:created xsi:type="dcterms:W3CDTF">2018-09-01T09:12:00Z</dcterms:created>
  <dcterms:modified xsi:type="dcterms:W3CDTF">2018-09-01T09:21:00Z</dcterms:modified>
</cp:coreProperties>
</file>