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1DC" w:rsidRDefault="00352429">
      <w:pPr>
        <w:pStyle w:val="Standard"/>
        <w:spacing w:line="480" w:lineRule="auto"/>
      </w:pPr>
      <w:r>
        <w:rPr>
          <w:b/>
        </w:rPr>
        <w:t>SUPPLEMENTAL METHODS</w:t>
      </w:r>
    </w:p>
    <w:p w:rsidR="005F11DC" w:rsidRDefault="00352429">
      <w:pPr>
        <w:pStyle w:val="Standard"/>
        <w:spacing w:line="480" w:lineRule="auto"/>
      </w:pPr>
      <w:r>
        <w:rPr>
          <w:b/>
        </w:rPr>
        <w:t>Subjects and tissue preparation</w:t>
      </w:r>
    </w:p>
    <w:p w:rsidR="005F11DC" w:rsidRDefault="00352429">
      <w:pPr>
        <w:pStyle w:val="Standard"/>
        <w:spacing w:line="480" w:lineRule="auto"/>
      </w:pPr>
      <w:r>
        <w:t xml:space="preserve">The University of Pittsburgh Institutional Review Board approved procedures involving human samples. Normal control lung tissue was </w:t>
      </w:r>
      <w:r>
        <w:t xml:space="preserve">obtained from organ donors, after rejection of the lungs for transplant.  </w:t>
      </w:r>
      <w:proofErr w:type="spellStart"/>
      <w:r>
        <w:t>SSc</w:t>
      </w:r>
      <w:proofErr w:type="spellEnd"/>
      <w:r>
        <w:t xml:space="preserve">-ILD lung tissue was obtained from explanted lungs at the time of lung transplantation.  Following </w:t>
      </w:r>
      <w:proofErr w:type="spellStart"/>
      <w:r>
        <w:t>explantation</w:t>
      </w:r>
      <w:proofErr w:type="spellEnd"/>
      <w:r>
        <w:t xml:space="preserve"> of the lungs, sections from the upper and lower lobe were dissected</w:t>
      </w:r>
      <w:r>
        <w:t xml:space="preserve">, placed in </w:t>
      </w:r>
      <w:proofErr w:type="spellStart"/>
      <w:r>
        <w:t>Perfadex</w:t>
      </w:r>
      <w:proofErr w:type="spellEnd"/>
      <w:r>
        <w:t xml:space="preserve">, and arrived for processing within twenty minutes of removal from the patient.  Sections were allocated for formalin fixation, preservation in RNA Later, and immediate digestion for </w:t>
      </w:r>
      <w:proofErr w:type="spellStart"/>
      <w:r>
        <w:t>scRNA-seq</w:t>
      </w:r>
      <w:proofErr w:type="spellEnd"/>
      <w:r>
        <w:t>.  For the 13 samples included in the primar</w:t>
      </w:r>
      <w:r>
        <w:t xml:space="preserve">y analysis, tissue for </w:t>
      </w:r>
      <w:proofErr w:type="spellStart"/>
      <w:r>
        <w:t>scRNA-seq</w:t>
      </w:r>
      <w:proofErr w:type="spellEnd"/>
      <w:r>
        <w:t xml:space="preserve"> was diced then </w:t>
      </w:r>
      <w:proofErr w:type="spellStart"/>
      <w:r>
        <w:t>enzymatically</w:t>
      </w:r>
      <w:proofErr w:type="spellEnd"/>
      <w:r>
        <w:t xml:space="preserve"> digested in DMEM (Thermo Fisher Scientific) containing 0.7 mg/</w:t>
      </w:r>
      <w:proofErr w:type="spellStart"/>
      <w:r>
        <w:t>mL</w:t>
      </w:r>
      <w:proofErr w:type="spellEnd"/>
      <w:r>
        <w:t xml:space="preserve"> </w:t>
      </w:r>
      <w:proofErr w:type="spellStart"/>
      <w:r>
        <w:t>collagenase</w:t>
      </w:r>
      <w:proofErr w:type="spellEnd"/>
      <w:r>
        <w:t xml:space="preserve"> A (Roche) and 30 </w:t>
      </w:r>
      <w:proofErr w:type="spellStart"/>
      <w:r>
        <w:t>ug</w:t>
      </w:r>
      <w:proofErr w:type="spellEnd"/>
      <w:r>
        <w:t>/</w:t>
      </w:r>
      <w:proofErr w:type="spellStart"/>
      <w:r>
        <w:t>mL</w:t>
      </w:r>
      <w:proofErr w:type="spellEnd"/>
      <w:r>
        <w:t xml:space="preserve"> </w:t>
      </w:r>
      <w:proofErr w:type="spellStart"/>
      <w:r>
        <w:t>DNAase</w:t>
      </w:r>
      <w:proofErr w:type="spellEnd"/>
      <w:r>
        <w:t xml:space="preserve"> I (Roche) for one hour while undergoing further mechanical dispersion with the </w:t>
      </w:r>
      <w:proofErr w:type="spellStart"/>
      <w:r>
        <w:t>gentleMA</w:t>
      </w:r>
      <w:r>
        <w:t>CS</w:t>
      </w:r>
      <w:proofErr w:type="spellEnd"/>
      <w:r>
        <w:t xml:space="preserve"> </w:t>
      </w:r>
      <w:proofErr w:type="spellStart"/>
      <w:r>
        <w:t>OctoDissociator</w:t>
      </w:r>
      <w:proofErr w:type="spellEnd"/>
      <w:r>
        <w:t xml:space="preserve"> (</w:t>
      </w:r>
      <w:proofErr w:type="spellStart"/>
      <w:r>
        <w:t>Miltenyi</w:t>
      </w:r>
      <w:proofErr w:type="spellEnd"/>
      <w:r>
        <w:t xml:space="preserve"> </w:t>
      </w:r>
      <w:proofErr w:type="spellStart"/>
      <w:r>
        <w:t>Biotec</w:t>
      </w:r>
      <w:proofErr w:type="spellEnd"/>
      <w:r>
        <w:t xml:space="preserve">).  The resulting cell suspension was washed with PBS, filtered twice through a 70-micron cell strainer, and underwent RBC </w:t>
      </w:r>
      <w:proofErr w:type="spellStart"/>
      <w:r>
        <w:t>lysis</w:t>
      </w:r>
      <w:proofErr w:type="spellEnd"/>
      <w:r>
        <w:t xml:space="preserve">. Cells were then </w:t>
      </w:r>
      <w:proofErr w:type="spellStart"/>
      <w:r>
        <w:t>resuspended</w:t>
      </w:r>
      <w:proofErr w:type="spellEnd"/>
      <w:r>
        <w:t xml:space="preserve"> in PBS containing 0.04% BSA.  </w:t>
      </w:r>
      <w:proofErr w:type="spellStart"/>
      <w:r>
        <w:t>ScRNA-seq</w:t>
      </w:r>
      <w:proofErr w:type="spellEnd"/>
      <w:r>
        <w:t xml:space="preserve"> library preparation was</w:t>
      </w:r>
      <w:r>
        <w:t xml:space="preserve"> performed using the 10X Genomics Chromium System and its associated V2 chemistry reagents per the manufacturer’s protocol.  </w:t>
      </w:r>
    </w:p>
    <w:p w:rsidR="005F11DC" w:rsidRDefault="005F11DC">
      <w:pPr>
        <w:pStyle w:val="Standard"/>
        <w:spacing w:line="480" w:lineRule="auto"/>
      </w:pPr>
    </w:p>
    <w:p w:rsidR="005F11DC" w:rsidRDefault="00352429">
      <w:pPr>
        <w:pStyle w:val="Standard"/>
        <w:spacing w:line="480" w:lineRule="auto"/>
      </w:pPr>
      <w:r>
        <w:rPr>
          <w:b/>
        </w:rPr>
        <w:t>Single-cell RNA library preparation and sequencing</w:t>
      </w:r>
    </w:p>
    <w:p w:rsidR="005F11DC" w:rsidRDefault="00352429">
      <w:pPr>
        <w:pStyle w:val="Standard"/>
        <w:spacing w:line="480" w:lineRule="auto"/>
      </w:pPr>
      <w:r>
        <w:t>Using the 10X Genomics Chromium System, cells were mixed with reverse transcri</w:t>
      </w:r>
      <w:r>
        <w:t xml:space="preserve">ption reagents, loaded into a Single-cell A chip, followed by 3’ gel beads and partitioning oil.  Cells were separated into oil micro-droplet partitions containing a cell and gel-bead scaffold for an </w:t>
      </w:r>
      <w:proofErr w:type="spellStart"/>
      <w:r>
        <w:t>oligonucleotide</w:t>
      </w:r>
      <w:proofErr w:type="spellEnd"/>
      <w:r>
        <w:t xml:space="preserve"> composed of </w:t>
      </w:r>
      <w:proofErr w:type="spellStart"/>
      <w:r>
        <w:t>oligo</w:t>
      </w:r>
      <w:proofErr w:type="spellEnd"/>
      <w:r>
        <w:t>-DT, 10X and UMI barcod</w:t>
      </w:r>
      <w:r>
        <w:t xml:space="preserve">es, and reverse transcription reagents as described.[1]  Reverse Transcription was performed, the emulsion broken, and </w:t>
      </w:r>
      <w:proofErr w:type="gramStart"/>
      <w:r>
        <w:lastRenderedPageBreak/>
        <w:t>pooled</w:t>
      </w:r>
      <w:proofErr w:type="gramEnd"/>
      <w:r>
        <w:t xml:space="preserve"> fractions obtained using a recovery agent.  </w:t>
      </w:r>
      <w:proofErr w:type="spellStart"/>
      <w:proofErr w:type="gramStart"/>
      <w:r>
        <w:t>cDNAs</w:t>
      </w:r>
      <w:proofErr w:type="spellEnd"/>
      <w:proofErr w:type="gramEnd"/>
      <w:r>
        <w:t xml:space="preserve"> were amplified by 11 cycles of PCR (C1000, Bio-Rad), </w:t>
      </w:r>
      <w:proofErr w:type="spellStart"/>
      <w:r>
        <w:t>enzymatically</w:t>
      </w:r>
      <w:proofErr w:type="spellEnd"/>
      <w:r>
        <w:t xml:space="preserve"> sheared and D</w:t>
      </w:r>
      <w:r>
        <w:t xml:space="preserve">NA fragment ends were repaired, A-tailed and adaptors </w:t>
      </w:r>
      <w:proofErr w:type="spellStart"/>
      <w:r>
        <w:t>ligated</w:t>
      </w:r>
      <w:proofErr w:type="spellEnd"/>
      <w:r>
        <w:t xml:space="preserve">.  The library was quantified with the KAPA Universal Library Quantification Kit KK4824 (KAPA </w:t>
      </w:r>
      <w:proofErr w:type="spellStart"/>
      <w:r>
        <w:t>Biosystems</w:t>
      </w:r>
      <w:proofErr w:type="spellEnd"/>
      <w:r>
        <w:t xml:space="preserve">) and evaluated for </w:t>
      </w:r>
      <w:proofErr w:type="spellStart"/>
      <w:r>
        <w:t>cDNA</w:t>
      </w:r>
      <w:proofErr w:type="spellEnd"/>
      <w:r>
        <w:t xml:space="preserve"> length on a </w:t>
      </w:r>
      <w:proofErr w:type="spellStart"/>
      <w:r>
        <w:t>bioanalyzer</w:t>
      </w:r>
      <w:proofErr w:type="spellEnd"/>
      <w:r>
        <w:t xml:space="preserve"> using a High Sensitivity DNA kit (Agilent)</w:t>
      </w:r>
      <w:r>
        <w:t xml:space="preserve">.  </w:t>
      </w:r>
      <w:proofErr w:type="spellStart"/>
      <w:r>
        <w:t>ScRNA-seq</w:t>
      </w:r>
      <w:proofErr w:type="spellEnd"/>
      <w:r>
        <w:t xml:space="preserve"> libraries for the 13 samples in the primary analysis were sequenced on an </w:t>
      </w:r>
      <w:proofErr w:type="spellStart"/>
      <w:r>
        <w:t>Illumina</w:t>
      </w:r>
      <w:proofErr w:type="spellEnd"/>
      <w:r>
        <w:t xml:space="preserve"> NextSeq-500 through the University of Pittsburgh Genomics Core Sequencing Facility. Raw sequencing reads were examined by quality metrics and mapped </w:t>
      </w:r>
      <w:proofErr w:type="gramStart"/>
      <w:r>
        <w:t>to</w:t>
      </w:r>
      <w:proofErr w:type="gramEnd"/>
      <w:r>
        <w:t xml:space="preserve"> human re</w:t>
      </w:r>
      <w:r>
        <w:t>ference genome GRCh38 using the Cell Ranger pipeline (10X Genomics).  To ensure PCR amplified transcripts were counted only once, only single UMIs were counted for gene expression level</w:t>
      </w:r>
      <w:proofErr w:type="gramStart"/>
      <w:r>
        <w:t>.[</w:t>
      </w:r>
      <w:proofErr w:type="gramEnd"/>
      <w:r>
        <w:t>2]  In this way, cell x UMI count matrices were generated for downstr</w:t>
      </w:r>
      <w:r>
        <w:t>eam analysis.</w:t>
      </w:r>
    </w:p>
    <w:p w:rsidR="005F11DC" w:rsidRDefault="00352429">
      <w:pPr>
        <w:pStyle w:val="Standard"/>
        <w:spacing w:line="480" w:lineRule="auto"/>
      </w:pPr>
      <w:r>
        <w:rPr>
          <w:b/>
        </w:rPr>
        <w:t>CITE-</w:t>
      </w:r>
      <w:proofErr w:type="spellStart"/>
      <w:r>
        <w:rPr>
          <w:b/>
        </w:rPr>
        <w:t>Seq</w:t>
      </w:r>
      <w:proofErr w:type="spellEnd"/>
      <w:r>
        <w:rPr>
          <w:b/>
        </w:rPr>
        <w:t xml:space="preserve"> and Cell </w:t>
      </w:r>
      <w:proofErr w:type="gramStart"/>
      <w:r>
        <w:rPr>
          <w:b/>
        </w:rPr>
        <w:t>Hashing</w:t>
      </w:r>
      <w:proofErr w:type="gramEnd"/>
      <w:r>
        <w:rPr>
          <w:b/>
        </w:rPr>
        <w:t xml:space="preserve"> with 10X Genomics single cell RNA-</w:t>
      </w:r>
      <w:proofErr w:type="spellStart"/>
      <w:r>
        <w:rPr>
          <w:b/>
        </w:rPr>
        <w:t>seq</w:t>
      </w:r>
      <w:proofErr w:type="spellEnd"/>
      <w:r>
        <w:rPr>
          <w:b/>
        </w:rPr>
        <w:t xml:space="preserve"> 3 Prime v3 chemistry</w:t>
      </w:r>
    </w:p>
    <w:p w:rsidR="005F11DC" w:rsidRDefault="00352429">
      <w:pPr>
        <w:pStyle w:val="Standard"/>
        <w:spacing w:line="480" w:lineRule="auto"/>
      </w:pPr>
      <w:r>
        <w:t>For the three lung samples used for CITE-</w:t>
      </w:r>
      <w:proofErr w:type="spellStart"/>
      <w:r>
        <w:t>seq</w:t>
      </w:r>
      <w:proofErr w:type="spellEnd"/>
      <w:r>
        <w:t xml:space="preserve">, after allocating sections for formalin fixation, the remaining tissue was diced then </w:t>
      </w:r>
      <w:proofErr w:type="spellStart"/>
      <w:r>
        <w:t>enzymatically</w:t>
      </w:r>
      <w:proofErr w:type="spellEnd"/>
      <w:r>
        <w:t xml:space="preserve"> digested per</w:t>
      </w:r>
      <w:r>
        <w:t xml:space="preserve"> below. Single cell gene expression (GEX) with associated cell hashing (HTO) and CITE-</w:t>
      </w:r>
      <w:proofErr w:type="spellStart"/>
      <w:r>
        <w:t>seq</w:t>
      </w:r>
      <w:proofErr w:type="spellEnd"/>
      <w:r>
        <w:t xml:space="preserve"> (ADT) libraries were generated using 10X Genomics’ 3 Prime v3 chemistry and </w:t>
      </w:r>
      <w:proofErr w:type="spellStart"/>
      <w:r>
        <w:t>BioLegend</w:t>
      </w:r>
      <w:proofErr w:type="spellEnd"/>
      <w:r>
        <w:t xml:space="preserve"> </w:t>
      </w:r>
      <w:proofErr w:type="spellStart"/>
      <w:r>
        <w:t>TotalSeq</w:t>
      </w:r>
      <w:proofErr w:type="spellEnd"/>
      <w:r>
        <w:t>-</w:t>
      </w:r>
      <w:proofErr w:type="gramStart"/>
      <w:r>
        <w:t>A</w:t>
      </w:r>
      <w:proofErr w:type="gramEnd"/>
      <w:r>
        <w:t xml:space="preserve"> antibodies.  Gene expression libraries were constructed according to </w:t>
      </w:r>
      <w:r>
        <w:t xml:space="preserve">10X Genomics’ manufacturer protocol while HTO and ADT libraries were generated using a modified version of the protocol developed by the Technology Innovation lab at the New York Genome Center[3, 4].  In brief, lungs were diced and digested in 3 </w:t>
      </w:r>
      <w:proofErr w:type="spellStart"/>
      <w:r>
        <w:t>mL</w:t>
      </w:r>
      <w:proofErr w:type="spellEnd"/>
      <w:r>
        <w:t xml:space="preserve"> of 1mg/</w:t>
      </w:r>
      <w:proofErr w:type="spellStart"/>
      <w:r>
        <w:t>mL</w:t>
      </w:r>
      <w:proofErr w:type="spellEnd"/>
      <w:r>
        <w:t xml:space="preserve"> </w:t>
      </w:r>
      <w:proofErr w:type="spellStart"/>
      <w:r>
        <w:t>Liberase</w:t>
      </w:r>
      <w:proofErr w:type="spellEnd"/>
      <w:r>
        <w:t xml:space="preserve"> DL (Roche) supplemented with 200 U/</w:t>
      </w:r>
      <w:proofErr w:type="spellStart"/>
      <w:r>
        <w:t>mL</w:t>
      </w:r>
      <w:proofErr w:type="spellEnd"/>
      <w:r>
        <w:t xml:space="preserve"> </w:t>
      </w:r>
      <w:proofErr w:type="spellStart"/>
      <w:r>
        <w:t>DNase</w:t>
      </w:r>
      <w:proofErr w:type="spellEnd"/>
      <w:r>
        <w:t xml:space="preserve"> I, Type IV (Sigma-Aldrich) for 35 minutes at 37</w:t>
      </w:r>
      <w:r>
        <w:rPr>
          <w:rFonts w:ascii="Symbol" w:eastAsia="Symbol" w:hAnsi="Symbol" w:cs="Symbol"/>
        </w:rPr>
        <w:t></w:t>
      </w:r>
      <w:r>
        <w:t>C.  For scleroderma lungs, upper and lower lobe sections were separately digested.  Dissociated/digested tissue was then washed with cold PBS containing</w:t>
      </w:r>
      <w:r>
        <w:t xml:space="preserve"> 2%FBS and filtered through 70 micron strainers twice. Approximately 1 million cells </w:t>
      </w:r>
      <w:r>
        <w:lastRenderedPageBreak/>
        <w:t xml:space="preserve">were then </w:t>
      </w:r>
      <w:proofErr w:type="spellStart"/>
      <w:r>
        <w:t>resuspended</w:t>
      </w:r>
      <w:proofErr w:type="spellEnd"/>
      <w:r>
        <w:t xml:space="preserve"> in 100 </w:t>
      </w:r>
      <w:proofErr w:type="spellStart"/>
      <w:r>
        <w:t>microliters</w:t>
      </w:r>
      <w:proofErr w:type="spellEnd"/>
      <w:r>
        <w:t xml:space="preserve"> of cold PBS containing 2% FBS.  Ten </w:t>
      </w:r>
      <w:proofErr w:type="spellStart"/>
      <w:r>
        <w:t>microliters</w:t>
      </w:r>
      <w:proofErr w:type="spellEnd"/>
      <w:r>
        <w:t xml:space="preserve"> of </w:t>
      </w:r>
      <w:proofErr w:type="spellStart"/>
      <w:r>
        <w:t>Fc</w:t>
      </w:r>
      <w:proofErr w:type="spellEnd"/>
      <w:r>
        <w:t xml:space="preserve"> receptor block (</w:t>
      </w:r>
      <w:proofErr w:type="spellStart"/>
      <w:r>
        <w:t>TruStain</w:t>
      </w:r>
      <w:proofErr w:type="spellEnd"/>
      <w:r>
        <w:t xml:space="preserve"> </w:t>
      </w:r>
      <w:proofErr w:type="spellStart"/>
      <w:r>
        <w:t>FcX</w:t>
      </w:r>
      <w:proofErr w:type="spellEnd"/>
      <w:r>
        <w:t xml:space="preserve">, </w:t>
      </w:r>
      <w:proofErr w:type="spellStart"/>
      <w:r>
        <w:t>BioLegend</w:t>
      </w:r>
      <w:proofErr w:type="spellEnd"/>
      <w:r>
        <w:t>, USA) was added and cells were incub</w:t>
      </w:r>
      <w:r>
        <w:t xml:space="preserve">ated for 20 minutes to block nonspecific antibody binding. Subsequently, cells were incubated with 0.5 </w:t>
      </w:r>
      <w:proofErr w:type="spellStart"/>
      <w:r>
        <w:t>μg</w:t>
      </w:r>
      <w:proofErr w:type="spellEnd"/>
      <w:r>
        <w:t xml:space="preserve"> of </w:t>
      </w:r>
      <w:proofErr w:type="spellStart"/>
      <w:r>
        <w:t>barcoded</w:t>
      </w:r>
      <w:proofErr w:type="spellEnd"/>
      <w:r>
        <w:t xml:space="preserve"> antibodies for 30 min at 4 °C. For scleroderma lungs, the upper and lower lobe sections were also incubated with separate </w:t>
      </w:r>
      <w:proofErr w:type="spellStart"/>
      <w:r>
        <w:t>TotalSeq</w:t>
      </w:r>
      <w:proofErr w:type="spellEnd"/>
      <w:r>
        <w:t>-A human</w:t>
      </w:r>
      <w:r>
        <w:t xml:space="preserve"> cell hashing antibodies.  Cells were washed 3× with cold PBS containing 0.04% BSA (centrifuged at</w:t>
      </w:r>
      <w:r>
        <w:rPr>
          <w:rFonts w:ascii="Cambria Math" w:hAnsi="Cambria Math" w:cs="Cambria Math"/>
        </w:rPr>
        <w:t xml:space="preserve"> </w:t>
      </w:r>
      <w:r>
        <w:t xml:space="preserve">400g 5 min at 4 °C). After the final wash, cells were </w:t>
      </w:r>
      <w:proofErr w:type="spellStart"/>
      <w:r>
        <w:t>resuspended</w:t>
      </w:r>
      <w:proofErr w:type="spellEnd"/>
      <w:r>
        <w:t xml:space="preserve"> in a final volume of 600 </w:t>
      </w:r>
      <w:proofErr w:type="spellStart"/>
      <w:r>
        <w:t>microliters</w:t>
      </w:r>
      <w:proofErr w:type="spellEnd"/>
      <w:r>
        <w:t xml:space="preserve"> of PBS containing 0.04% BSA, filtered through a 40-mic</w:t>
      </w:r>
      <w:r>
        <w:t>ron strainer, and counted.   The 10x single-cell run was performed according to the manufacturer's instructions (10x Genomics, USA) with approximately</w:t>
      </w:r>
      <w:r>
        <w:rPr>
          <w:rFonts w:ascii="Cambria Math" w:hAnsi="Cambria Math" w:cs="Cambria Math"/>
        </w:rPr>
        <w:t xml:space="preserve"> </w:t>
      </w:r>
      <w:r>
        <w:t xml:space="preserve">6,400 cells loaded per lung section to obtain a yield of </w:t>
      </w:r>
      <w:r>
        <w:rPr>
          <w:rFonts w:ascii="Cambria Math" w:hAnsi="Cambria Math" w:cs="Cambria Math"/>
        </w:rPr>
        <w:t>∼</w:t>
      </w:r>
      <w:r>
        <w:t>4,000 cells per lung section. Upper and lower l</w:t>
      </w:r>
      <w:r>
        <w:t xml:space="preserve">obe lung cells were pooled into the same well for a total of ~12,800 cells loaded.  The </w:t>
      </w:r>
      <w:proofErr w:type="spellStart"/>
      <w:r>
        <w:t>cDNA</w:t>
      </w:r>
      <w:proofErr w:type="spellEnd"/>
      <w:r>
        <w:t xml:space="preserve"> was amplified for eleven cycles and following amplification products were subsequently size separated with </w:t>
      </w:r>
      <w:proofErr w:type="spellStart"/>
      <w:r>
        <w:t>SPRIselect</w:t>
      </w:r>
      <w:proofErr w:type="spellEnd"/>
      <w:r>
        <w:t xml:space="preserve"> (Beckman Coulter, USA) into &lt;300 </w:t>
      </w:r>
      <w:proofErr w:type="spellStart"/>
      <w:r>
        <w:t>nt</w:t>
      </w:r>
      <w:proofErr w:type="spellEnd"/>
      <w:r>
        <w:t xml:space="preserve"> fragments</w:t>
      </w:r>
      <w:r>
        <w:t xml:space="preserve"> containing antibody-derived tags (ADTs) and </w:t>
      </w:r>
      <w:proofErr w:type="spellStart"/>
      <w:r>
        <w:t>hashtag-oligos</w:t>
      </w:r>
      <w:proofErr w:type="spellEnd"/>
      <w:r>
        <w:t xml:space="preserve"> (HTOs) and &gt;300 </w:t>
      </w:r>
      <w:proofErr w:type="spellStart"/>
      <w:r>
        <w:t>nt</w:t>
      </w:r>
      <w:proofErr w:type="spellEnd"/>
      <w:r>
        <w:t xml:space="preserve"> fragments containing </w:t>
      </w:r>
      <w:proofErr w:type="spellStart"/>
      <w:r>
        <w:t>cDNAs</w:t>
      </w:r>
      <w:proofErr w:type="spellEnd"/>
      <w:r>
        <w:t xml:space="preserve"> derived from cellular mRNA. The ADTs and HTOs were amplified for ten and twelve additional cycles, respectively, using specific primers that added P5 </w:t>
      </w:r>
      <w:r>
        <w:t xml:space="preserve">and P7 sequences.  The gene expression library was constructed according to the manufacturer’s instructions.  For sequencing, libraries were pooled at a ratio of 85% GEX to 10% ADT to 5% HTO.  The pooled libraries were sequenced twice: once on an </w:t>
      </w:r>
      <w:proofErr w:type="spellStart"/>
      <w:r>
        <w:t>Illumina</w:t>
      </w:r>
      <w:proofErr w:type="spellEnd"/>
      <w:r>
        <w:t xml:space="preserve"> </w:t>
      </w:r>
      <w:proofErr w:type="spellStart"/>
      <w:r>
        <w:t>NovaSeq</w:t>
      </w:r>
      <w:proofErr w:type="spellEnd"/>
      <w:r>
        <w:t xml:space="preserve"> 6000 instrument through the UPMC Genome Center and again using an </w:t>
      </w:r>
      <w:proofErr w:type="spellStart"/>
      <w:r>
        <w:t>Illumina</w:t>
      </w:r>
      <w:proofErr w:type="spellEnd"/>
      <w:r>
        <w:t xml:space="preserve"> NextSeq-500 through the University of Pittsburgh Genomics Core Sequencing Facility.  Raw data was </w:t>
      </w:r>
      <w:proofErr w:type="spellStart"/>
      <w:r>
        <w:t>demultiplexed</w:t>
      </w:r>
      <w:proofErr w:type="spellEnd"/>
      <w:r>
        <w:t xml:space="preserve"> using Cell Ranger 3.0.2’s </w:t>
      </w:r>
      <w:proofErr w:type="spellStart"/>
      <w:r>
        <w:t>mkfastq</w:t>
      </w:r>
      <w:proofErr w:type="spellEnd"/>
      <w:r>
        <w:t xml:space="preserve"> function and aligned to 10X</w:t>
      </w:r>
      <w:r>
        <w:t xml:space="preserve"> Genomics’ human reference genome GRCh38 3.0.0 using </w:t>
      </w:r>
      <w:proofErr w:type="spellStart"/>
      <w:r>
        <w:t>cellranger</w:t>
      </w:r>
      <w:proofErr w:type="spellEnd"/>
      <w:r>
        <w:t xml:space="preserve"> count.  Further analysis was performed in R using Seurat 2.3.4.</w:t>
      </w:r>
    </w:p>
    <w:p w:rsidR="005F11DC" w:rsidRDefault="005F11DC">
      <w:pPr>
        <w:pStyle w:val="Standard"/>
        <w:spacing w:line="480" w:lineRule="auto"/>
        <w:rPr>
          <w:b/>
        </w:rPr>
      </w:pPr>
    </w:p>
    <w:p w:rsidR="005F11DC" w:rsidRDefault="00352429">
      <w:pPr>
        <w:pStyle w:val="Standard"/>
        <w:spacing w:line="480" w:lineRule="auto"/>
      </w:pPr>
      <w:r>
        <w:rPr>
          <w:b/>
        </w:rPr>
        <w:t>Combined analysis of multiple samples</w:t>
      </w:r>
    </w:p>
    <w:p w:rsidR="005F11DC" w:rsidRDefault="00352429">
      <w:pPr>
        <w:pStyle w:val="Standard"/>
        <w:spacing w:line="480" w:lineRule="auto"/>
      </w:pPr>
      <w:r>
        <w:t>To minimize batch effects in combining multiple samples for integrated analysis, an indiv</w:t>
      </w:r>
      <w:r>
        <w:t xml:space="preserve">idual object was created for each sample then aligned using Seurat’s </w:t>
      </w:r>
      <w:proofErr w:type="spellStart"/>
      <w:r>
        <w:t>RunMultiCCA</w:t>
      </w:r>
      <w:proofErr w:type="spellEnd"/>
      <w:r>
        <w:t xml:space="preserve"> function.[5] Canonical correlation vectors were chosen for downstream analysis, canonical correlation analysis (CCA) subspaces aligned, and a single integrated analysis perfor</w:t>
      </w:r>
      <w:r>
        <w:t xml:space="preserve">med for </w:t>
      </w:r>
      <w:proofErr w:type="spellStart"/>
      <w:r>
        <w:t>tSNE</w:t>
      </w:r>
      <w:proofErr w:type="spellEnd"/>
      <w:r>
        <w:t xml:space="preserve"> visualization and clustering.  The CCA method for combining multiple samples was compared with a principal component analysis (PCA) of this dataset as well.  For the original clustering of all lung cells, PCA resulted in significantly more sep</w:t>
      </w:r>
      <w:r>
        <w:t xml:space="preserve">aration by sample, in particular amongst cell types with larger numbers of cells.  However, when </w:t>
      </w:r>
      <w:proofErr w:type="spellStart"/>
      <w:r>
        <w:t>reclustering</w:t>
      </w:r>
      <w:proofErr w:type="spellEnd"/>
      <w:r>
        <w:t xml:space="preserve"> the combined </w:t>
      </w:r>
      <w:proofErr w:type="spellStart"/>
      <w:r>
        <w:t>SSc</w:t>
      </w:r>
      <w:proofErr w:type="spellEnd"/>
      <w:r>
        <w:t xml:space="preserve">-ILD and control </w:t>
      </w:r>
      <w:proofErr w:type="spellStart"/>
      <w:r>
        <w:t>mesenchymal</w:t>
      </w:r>
      <w:proofErr w:type="spellEnd"/>
      <w:r>
        <w:t xml:space="preserve"> cells, CCA analysis separated cell types less accurately, likely due to the large differences in numb</w:t>
      </w:r>
      <w:r>
        <w:t xml:space="preserve">ers of certain cell types present in </w:t>
      </w:r>
      <w:proofErr w:type="spellStart"/>
      <w:r>
        <w:t>SSc</w:t>
      </w:r>
      <w:proofErr w:type="spellEnd"/>
      <w:r>
        <w:t xml:space="preserve">-ILD versus control samples.  PCA analysis resulted in more accurate separation of cell types and was thus used for the included </w:t>
      </w:r>
      <w:proofErr w:type="spellStart"/>
      <w:r>
        <w:t>mesenchymal</w:t>
      </w:r>
      <w:proofErr w:type="spellEnd"/>
      <w:r>
        <w:t xml:space="preserve"> cell analysis. After clustering and visualization with </w:t>
      </w:r>
      <w:proofErr w:type="spellStart"/>
      <w:r>
        <w:t>tSNE</w:t>
      </w:r>
      <w:proofErr w:type="spellEnd"/>
      <w:r>
        <w:t>, cell populatio</w:t>
      </w:r>
      <w:r>
        <w:t xml:space="preserve">ns were identified through examination of gene markers in the associated </w:t>
      </w:r>
      <w:proofErr w:type="spellStart"/>
      <w:r>
        <w:t>transcriptome</w:t>
      </w:r>
      <w:proofErr w:type="spellEnd"/>
      <w:r>
        <w:t xml:space="preserve">.  Cell phase was predicted using </w:t>
      </w:r>
      <w:proofErr w:type="spellStart"/>
      <w:r>
        <w:t>CellCycleScoring</w:t>
      </w:r>
      <w:proofErr w:type="spellEnd"/>
      <w:r>
        <w:t xml:space="preserve"> in Seurat.  </w:t>
      </w:r>
    </w:p>
    <w:p w:rsidR="005F11DC" w:rsidRDefault="005F11DC">
      <w:pPr>
        <w:pStyle w:val="Standard"/>
        <w:spacing w:line="480" w:lineRule="auto"/>
        <w:rPr>
          <w:u w:val="single"/>
        </w:rPr>
      </w:pPr>
    </w:p>
    <w:p w:rsidR="005F11DC" w:rsidRDefault="00352429">
      <w:pPr>
        <w:pStyle w:val="Standard"/>
        <w:spacing w:line="480" w:lineRule="auto"/>
      </w:pPr>
      <w:r>
        <w:t xml:space="preserve">When </w:t>
      </w:r>
      <w:proofErr w:type="spellStart"/>
      <w:r>
        <w:t>reclustering</w:t>
      </w:r>
      <w:proofErr w:type="spellEnd"/>
      <w:r>
        <w:t xml:space="preserve"> limited cell types, a distinct group of cells emerged with only low-expression of a sma</w:t>
      </w:r>
      <w:r>
        <w:t xml:space="preserve">ller number of genes and low average UMIs compared to the other clusters. Many of these cells also had low expression of markers of multiple cell types and many mitochondrial genes.  These low expression clusters most likely represented poor quality cells </w:t>
      </w:r>
      <w:r>
        <w:t>that are a mix of empty droplets, damaged, and dying cells, and were removed from further analysis</w:t>
      </w:r>
      <w:proofErr w:type="gramStart"/>
      <w:r>
        <w:t>.[</w:t>
      </w:r>
      <w:proofErr w:type="gramEnd"/>
      <w:r>
        <w:t>6]</w:t>
      </w:r>
    </w:p>
    <w:p w:rsidR="005F11DC" w:rsidRDefault="005F11DC">
      <w:pPr>
        <w:pStyle w:val="Standard"/>
        <w:spacing w:line="480" w:lineRule="auto"/>
      </w:pPr>
    </w:p>
    <w:p w:rsidR="005F11DC" w:rsidRDefault="00352429">
      <w:pPr>
        <w:pStyle w:val="Standard"/>
        <w:spacing w:line="480" w:lineRule="auto"/>
      </w:pPr>
      <w:r>
        <w:rPr>
          <w:b/>
        </w:rPr>
        <w:lastRenderedPageBreak/>
        <w:t>Gene ontology analysis</w:t>
      </w:r>
    </w:p>
    <w:p w:rsidR="005F11DC" w:rsidRDefault="00352429">
      <w:pPr>
        <w:pStyle w:val="Standard"/>
        <w:spacing w:line="480" w:lineRule="auto"/>
      </w:pPr>
      <w:r>
        <w:t>Functional enrichment with Gene Ontology biological processes was performed using DAVID Bioinformatics Resources functional anno</w:t>
      </w:r>
      <w:r>
        <w:t>tation version 6.8.[7, 8] All differentially expressed genes with adjusted p-value less than 0.05 and absolute value average log2 fold change greater</w:t>
      </w:r>
    </w:p>
    <w:p w:rsidR="005F11DC" w:rsidRDefault="005F11DC">
      <w:pPr>
        <w:pStyle w:val="Standard"/>
        <w:spacing w:line="480" w:lineRule="auto"/>
      </w:pPr>
    </w:p>
    <w:p w:rsidR="005F11DC" w:rsidRDefault="00352429">
      <w:pPr>
        <w:pStyle w:val="Standard"/>
        <w:spacing w:line="480" w:lineRule="auto"/>
      </w:pPr>
      <w:proofErr w:type="spellStart"/>
      <w:r>
        <w:rPr>
          <w:b/>
        </w:rPr>
        <w:t>Immunofluorescence</w:t>
      </w:r>
      <w:proofErr w:type="spellEnd"/>
      <w:r>
        <w:rPr>
          <w:b/>
        </w:rPr>
        <w:t xml:space="preserve"> imaging methods</w:t>
      </w:r>
    </w:p>
    <w:p w:rsidR="005F11DC" w:rsidRDefault="00352429">
      <w:pPr>
        <w:pStyle w:val="Standard"/>
        <w:spacing w:line="480" w:lineRule="auto"/>
      </w:pPr>
      <w:r>
        <w:rPr>
          <w:color w:val="000000"/>
        </w:rPr>
        <w:t xml:space="preserve"> Serial sections of formalin-fixed, paraffin-embedded human lung expl</w:t>
      </w:r>
      <w:r>
        <w:rPr>
          <w:color w:val="000000"/>
        </w:rPr>
        <w:t xml:space="preserve">ants were </w:t>
      </w:r>
      <w:proofErr w:type="spellStart"/>
      <w:r>
        <w:rPr>
          <w:color w:val="000000"/>
        </w:rPr>
        <w:t>deparaffinized</w:t>
      </w:r>
      <w:proofErr w:type="spellEnd"/>
      <w:r>
        <w:rPr>
          <w:color w:val="000000"/>
        </w:rPr>
        <w:t xml:space="preserve"> and rehydrated for antibody staining. Slides were placed in citrate buffer pH 6, steamed for 20 minutes and cooled 20 minutes at room temperature for antigen retrieval before washing in phosphate buffered saline. For </w:t>
      </w:r>
      <w:proofErr w:type="spellStart"/>
      <w:r>
        <w:rPr>
          <w:color w:val="000000"/>
        </w:rPr>
        <w:t>immunofluoresc</w:t>
      </w:r>
      <w:r>
        <w:rPr>
          <w:color w:val="000000"/>
        </w:rPr>
        <w:t>ent</w:t>
      </w:r>
      <w:proofErr w:type="spellEnd"/>
      <w:r>
        <w:rPr>
          <w:color w:val="000000"/>
        </w:rPr>
        <w:t xml:space="preserve"> staining (IF), the </w:t>
      </w:r>
      <w:proofErr w:type="spellStart"/>
      <w:r>
        <w:t>Tyramide</w:t>
      </w:r>
      <w:proofErr w:type="spellEnd"/>
      <w:r>
        <w:t xml:space="preserve"> </w:t>
      </w:r>
      <w:proofErr w:type="spellStart"/>
      <w:r>
        <w:t>SuperBoost</w:t>
      </w:r>
      <w:proofErr w:type="spellEnd"/>
      <w:r>
        <w:t xml:space="preserve"> kit (</w:t>
      </w:r>
      <w:proofErr w:type="spellStart"/>
      <w:r>
        <w:t>Invitrogen</w:t>
      </w:r>
      <w:proofErr w:type="spellEnd"/>
      <w:r>
        <w:t xml:space="preserve">, USA) was used to amplify signals in co-stained tissues as per </w:t>
      </w:r>
      <w:proofErr w:type="gramStart"/>
      <w:r>
        <w:t>manufacturers</w:t>
      </w:r>
      <w:proofErr w:type="gramEnd"/>
      <w:r>
        <w:t xml:space="preserve"> protocol. </w:t>
      </w:r>
      <w:r>
        <w:rPr>
          <w:color w:val="000000"/>
        </w:rPr>
        <w:t>Monoclonal mouse a</w:t>
      </w:r>
      <w:r>
        <w:t xml:space="preserve">nti-SMA </w:t>
      </w:r>
      <w:r>
        <w:rPr>
          <w:color w:val="000000"/>
        </w:rPr>
        <w:t xml:space="preserve">(1:1000; M0851; Clone14A; </w:t>
      </w:r>
      <w:proofErr w:type="spellStart"/>
      <w:r>
        <w:rPr>
          <w:color w:val="000000"/>
        </w:rPr>
        <w:t>Dako</w:t>
      </w:r>
      <w:proofErr w:type="spellEnd"/>
      <w:r>
        <w:rPr>
          <w:color w:val="000000"/>
        </w:rPr>
        <w:t xml:space="preserve"> Denmark AS, Denmark) </w:t>
      </w:r>
      <w:r>
        <w:t xml:space="preserve">was labeled with </w:t>
      </w:r>
      <w:proofErr w:type="spellStart"/>
      <w:r>
        <w:t>Alexa</w:t>
      </w:r>
      <w:proofErr w:type="spellEnd"/>
      <w:r>
        <w:t xml:space="preserve"> Fluor 488</w:t>
      </w:r>
      <w:r>
        <w:t xml:space="preserve"> and </w:t>
      </w:r>
      <w:r>
        <w:rPr>
          <w:color w:val="000000"/>
        </w:rPr>
        <w:t>polyclonal rabbit a</w:t>
      </w:r>
      <w:r>
        <w:t>nti-CTHRC1 (1:200</w:t>
      </w:r>
      <w:r>
        <w:rPr>
          <w:color w:val="000000"/>
        </w:rPr>
        <w:t xml:space="preserve"> ab85739; </w:t>
      </w:r>
      <w:proofErr w:type="spellStart"/>
      <w:r>
        <w:rPr>
          <w:color w:val="000000"/>
        </w:rPr>
        <w:t>Abcam</w:t>
      </w:r>
      <w:proofErr w:type="spellEnd"/>
      <w:r>
        <w:rPr>
          <w:color w:val="000000"/>
        </w:rPr>
        <w:t>, USA)</w:t>
      </w:r>
      <w:r>
        <w:t xml:space="preserve"> was labeled with </w:t>
      </w:r>
      <w:proofErr w:type="spellStart"/>
      <w:r>
        <w:t>Alexa</w:t>
      </w:r>
      <w:proofErr w:type="spellEnd"/>
      <w:r>
        <w:t xml:space="preserve"> Fluor 568.   All slides were counterstained with nuclear stain Hoechst 33342 (</w:t>
      </w:r>
      <w:proofErr w:type="spellStart"/>
      <w:r>
        <w:t>Invitrogen</w:t>
      </w:r>
      <w:proofErr w:type="spellEnd"/>
      <w:r>
        <w:t xml:space="preserve">, USA). Masson’s </w:t>
      </w:r>
      <w:proofErr w:type="spellStart"/>
      <w:r>
        <w:t>trichrome</w:t>
      </w:r>
      <w:proofErr w:type="spellEnd"/>
      <w:r>
        <w:t xml:space="preserve"> staining was performed on serial sections by the Univer</w:t>
      </w:r>
      <w:r>
        <w:t>sity of Pittsburgh McGowan Institute Histology Core.</w:t>
      </w:r>
      <w:bookmarkStart w:id="0" w:name="_GoBack"/>
      <w:bookmarkEnd w:id="0"/>
    </w:p>
    <w:p w:rsidR="005F11DC" w:rsidRDefault="005F11DC">
      <w:pPr>
        <w:pStyle w:val="Standard"/>
        <w:spacing w:line="480" w:lineRule="auto"/>
      </w:pPr>
    </w:p>
    <w:p w:rsidR="005F11DC" w:rsidRDefault="005F11DC">
      <w:pPr>
        <w:pStyle w:val="Standard"/>
        <w:spacing w:line="480" w:lineRule="auto"/>
        <w:rPr>
          <w:color w:val="000000"/>
        </w:rPr>
      </w:pPr>
    </w:p>
    <w:tbl>
      <w:tblPr>
        <w:tblW w:w="9355" w:type="dxa"/>
        <w:tblLayout w:type="fixed"/>
        <w:tblCellMar>
          <w:left w:w="10" w:type="dxa"/>
          <w:right w:w="10" w:type="dxa"/>
        </w:tblCellMar>
        <w:tblLook w:val="0000"/>
      </w:tblPr>
      <w:tblGrid>
        <w:gridCol w:w="1346"/>
        <w:gridCol w:w="1350"/>
        <w:gridCol w:w="1350"/>
        <w:gridCol w:w="1530"/>
        <w:gridCol w:w="1710"/>
        <w:gridCol w:w="990"/>
        <w:gridCol w:w="1079"/>
      </w:tblGrid>
      <w:tr w:rsidR="005F11DC" w:rsidTr="005F11DC">
        <w:tblPrEx>
          <w:tblCellMar>
            <w:top w:w="0" w:type="dxa"/>
            <w:bottom w:w="0" w:type="dxa"/>
          </w:tblCellMar>
        </w:tblPrEx>
        <w:trPr>
          <w:trHeight w:val="1008"/>
        </w:trPr>
        <w:tc>
          <w:tcPr>
            <w:tcW w:w="1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58" w:type="dxa"/>
              <w:bottom w:w="0" w:type="dxa"/>
              <w:right w:w="58" w:type="dxa"/>
            </w:tcMar>
          </w:tcPr>
          <w:p w:rsidR="005F11DC" w:rsidRDefault="00352429">
            <w:pPr>
              <w:pStyle w:val="Standard"/>
              <w:spacing w:line="480" w:lineRule="auto"/>
            </w:pPr>
            <w:r>
              <w:rPr>
                <w:sz w:val="20"/>
                <w:szCs w:val="20"/>
              </w:rPr>
              <w:t>Sample ID</w:t>
            </w:r>
          </w:p>
        </w:tc>
        <w:tc>
          <w:tcPr>
            <w:tcW w:w="135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proofErr w:type="spellStart"/>
            <w:r>
              <w:rPr>
                <w:sz w:val="20"/>
                <w:szCs w:val="20"/>
              </w:rPr>
              <w:t>Myofibroblasts</w:t>
            </w:r>
            <w:proofErr w:type="spellEnd"/>
            <w:r>
              <w:rPr>
                <w:sz w:val="20"/>
                <w:szCs w:val="20"/>
              </w:rPr>
              <w:t xml:space="preserve"> (% of Total Fibroblasts)</w:t>
            </w:r>
          </w:p>
        </w:tc>
        <w:tc>
          <w:tcPr>
            <w:tcW w:w="135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Proliferating</w:t>
            </w:r>
          </w:p>
          <w:p w:rsidR="005F11DC" w:rsidRDefault="00352429">
            <w:pPr>
              <w:pStyle w:val="Standard"/>
              <w:spacing w:line="480" w:lineRule="auto"/>
            </w:pPr>
            <w:proofErr w:type="spellStart"/>
            <w:r>
              <w:rPr>
                <w:sz w:val="20"/>
                <w:szCs w:val="20"/>
              </w:rPr>
              <w:t>Myofibroblasts</w:t>
            </w:r>
            <w:proofErr w:type="spellEnd"/>
          </w:p>
          <w:p w:rsidR="005F11DC" w:rsidRDefault="00352429">
            <w:pPr>
              <w:pStyle w:val="Standard"/>
              <w:spacing w:line="480" w:lineRule="auto"/>
            </w:pPr>
            <w:r>
              <w:rPr>
                <w:sz w:val="20"/>
                <w:szCs w:val="20"/>
              </w:rPr>
              <w:t>(% of Total Fibroblasts)</w:t>
            </w:r>
          </w:p>
        </w:tc>
        <w:tc>
          <w:tcPr>
            <w:tcW w:w="153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MFAP5 Fibroblasts</w:t>
            </w:r>
          </w:p>
          <w:p w:rsidR="005F11DC" w:rsidRDefault="00352429">
            <w:pPr>
              <w:pStyle w:val="Standard"/>
              <w:spacing w:line="480" w:lineRule="auto"/>
            </w:pPr>
            <w:r>
              <w:rPr>
                <w:sz w:val="20"/>
                <w:szCs w:val="20"/>
              </w:rPr>
              <w:t>(% of Total Fibroblasts)</w:t>
            </w:r>
          </w:p>
          <w:p w:rsidR="005F11DC" w:rsidRDefault="005F11DC">
            <w:pPr>
              <w:pStyle w:val="Standard"/>
              <w:spacing w:line="480" w:lineRule="auto"/>
              <w:rPr>
                <w:sz w:val="20"/>
                <w:szCs w:val="20"/>
              </w:rPr>
            </w:pPr>
          </w:p>
        </w:tc>
        <w:tc>
          <w:tcPr>
            <w:tcW w:w="171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SPINT2 Fibroblasts</w:t>
            </w:r>
          </w:p>
          <w:p w:rsidR="005F11DC" w:rsidRDefault="00352429">
            <w:pPr>
              <w:pStyle w:val="Standard"/>
              <w:spacing w:line="480" w:lineRule="auto"/>
            </w:pPr>
            <w:r>
              <w:rPr>
                <w:sz w:val="20"/>
                <w:szCs w:val="20"/>
              </w:rPr>
              <w:t xml:space="preserve"> (% of Total Fibroblasts)</w:t>
            </w:r>
          </w:p>
        </w:tc>
        <w:tc>
          <w:tcPr>
            <w:tcW w:w="99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proofErr w:type="spellStart"/>
            <w:r>
              <w:rPr>
                <w:sz w:val="20"/>
                <w:szCs w:val="20"/>
              </w:rPr>
              <w:t>Pericytes</w:t>
            </w:r>
            <w:proofErr w:type="spellEnd"/>
          </w:p>
        </w:tc>
        <w:tc>
          <w:tcPr>
            <w:tcW w:w="107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Smooth Muscle</w:t>
            </w:r>
          </w:p>
        </w:tc>
      </w:tr>
      <w:tr w:rsidR="005F11DC" w:rsidTr="005F11DC">
        <w:tblPrEx>
          <w:tblCellMar>
            <w:top w:w="0" w:type="dxa"/>
            <w:bottom w:w="0" w:type="dxa"/>
          </w:tblCellMar>
        </w:tblPrEx>
        <w:trPr>
          <w:trHeight w:val="260"/>
        </w:trPr>
        <w:tc>
          <w:tcPr>
            <w:tcW w:w="1345"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CONTROL 1</w:t>
            </w:r>
          </w:p>
        </w:tc>
        <w:tc>
          <w:tcPr>
            <w:tcW w:w="135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1 (3.45)</w:t>
            </w:r>
          </w:p>
        </w:tc>
        <w:tc>
          <w:tcPr>
            <w:tcW w:w="135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1 (3.45)</w:t>
            </w:r>
          </w:p>
        </w:tc>
        <w:tc>
          <w:tcPr>
            <w:tcW w:w="153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21 (72.41)</w:t>
            </w:r>
          </w:p>
        </w:tc>
        <w:tc>
          <w:tcPr>
            <w:tcW w:w="171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6 (20.69)</w:t>
            </w:r>
          </w:p>
        </w:tc>
        <w:tc>
          <w:tcPr>
            <w:tcW w:w="99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0</w:t>
            </w:r>
          </w:p>
        </w:tc>
        <w:tc>
          <w:tcPr>
            <w:tcW w:w="107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1</w:t>
            </w:r>
          </w:p>
        </w:tc>
      </w:tr>
      <w:tr w:rsidR="005F11DC" w:rsidTr="005F11DC">
        <w:tblPrEx>
          <w:tblCellMar>
            <w:top w:w="0" w:type="dxa"/>
            <w:bottom w:w="0" w:type="dxa"/>
          </w:tblCellMar>
        </w:tblPrEx>
        <w:trPr>
          <w:trHeight w:val="251"/>
        </w:trPr>
        <w:tc>
          <w:tcPr>
            <w:tcW w:w="1345"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lastRenderedPageBreak/>
              <w:t>CONTROL 2</w:t>
            </w:r>
          </w:p>
        </w:tc>
        <w:tc>
          <w:tcPr>
            <w:tcW w:w="135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2 (4.26)</w:t>
            </w:r>
          </w:p>
        </w:tc>
        <w:tc>
          <w:tcPr>
            <w:tcW w:w="135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1 (2.13)</w:t>
            </w:r>
          </w:p>
        </w:tc>
        <w:tc>
          <w:tcPr>
            <w:tcW w:w="153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7 (14.89)</w:t>
            </w:r>
          </w:p>
        </w:tc>
        <w:tc>
          <w:tcPr>
            <w:tcW w:w="171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37 (78.72)</w:t>
            </w:r>
          </w:p>
        </w:tc>
        <w:tc>
          <w:tcPr>
            <w:tcW w:w="99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12</w:t>
            </w:r>
          </w:p>
        </w:tc>
        <w:tc>
          <w:tcPr>
            <w:tcW w:w="107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25</w:t>
            </w:r>
          </w:p>
        </w:tc>
      </w:tr>
      <w:tr w:rsidR="005F11DC" w:rsidTr="005F11DC">
        <w:tblPrEx>
          <w:tblCellMar>
            <w:top w:w="0" w:type="dxa"/>
            <w:bottom w:w="0" w:type="dxa"/>
          </w:tblCellMar>
        </w:tblPrEx>
        <w:trPr>
          <w:trHeight w:val="251"/>
        </w:trPr>
        <w:tc>
          <w:tcPr>
            <w:tcW w:w="1345"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CONTROL 3</w:t>
            </w:r>
          </w:p>
        </w:tc>
        <w:tc>
          <w:tcPr>
            <w:tcW w:w="135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6 (11.11)</w:t>
            </w:r>
          </w:p>
        </w:tc>
        <w:tc>
          <w:tcPr>
            <w:tcW w:w="135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0 (0)</w:t>
            </w:r>
          </w:p>
        </w:tc>
        <w:tc>
          <w:tcPr>
            <w:tcW w:w="153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28 (51.85)</w:t>
            </w:r>
          </w:p>
        </w:tc>
        <w:tc>
          <w:tcPr>
            <w:tcW w:w="171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20 (37.04)</w:t>
            </w:r>
          </w:p>
        </w:tc>
        <w:tc>
          <w:tcPr>
            <w:tcW w:w="99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1</w:t>
            </w:r>
          </w:p>
        </w:tc>
        <w:tc>
          <w:tcPr>
            <w:tcW w:w="107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8</w:t>
            </w:r>
          </w:p>
        </w:tc>
      </w:tr>
      <w:tr w:rsidR="005F11DC" w:rsidTr="005F11DC">
        <w:tblPrEx>
          <w:tblCellMar>
            <w:top w:w="0" w:type="dxa"/>
            <w:bottom w:w="0" w:type="dxa"/>
          </w:tblCellMar>
        </w:tblPrEx>
        <w:trPr>
          <w:trHeight w:val="161"/>
        </w:trPr>
        <w:tc>
          <w:tcPr>
            <w:tcW w:w="1345"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CONTROL 4</w:t>
            </w:r>
          </w:p>
        </w:tc>
        <w:tc>
          <w:tcPr>
            <w:tcW w:w="135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41 (15.02)</w:t>
            </w:r>
          </w:p>
        </w:tc>
        <w:tc>
          <w:tcPr>
            <w:tcW w:w="135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1 (0.37)</w:t>
            </w:r>
          </w:p>
        </w:tc>
        <w:tc>
          <w:tcPr>
            <w:tcW w:w="153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96 (35.16)</w:t>
            </w:r>
          </w:p>
        </w:tc>
        <w:tc>
          <w:tcPr>
            <w:tcW w:w="171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135 (49.45)</w:t>
            </w:r>
          </w:p>
        </w:tc>
        <w:tc>
          <w:tcPr>
            <w:tcW w:w="99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3</w:t>
            </w:r>
          </w:p>
        </w:tc>
        <w:tc>
          <w:tcPr>
            <w:tcW w:w="107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14</w:t>
            </w:r>
          </w:p>
        </w:tc>
      </w:tr>
      <w:tr w:rsidR="005F11DC" w:rsidTr="005F11DC">
        <w:tblPrEx>
          <w:tblCellMar>
            <w:top w:w="0" w:type="dxa"/>
            <w:bottom w:w="0" w:type="dxa"/>
          </w:tblCellMar>
        </w:tblPrEx>
        <w:trPr>
          <w:trHeight w:val="251"/>
        </w:trPr>
        <w:tc>
          <w:tcPr>
            <w:tcW w:w="1345"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CONTROL 5</w:t>
            </w:r>
          </w:p>
        </w:tc>
        <w:tc>
          <w:tcPr>
            <w:tcW w:w="135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8 (10.81)</w:t>
            </w:r>
          </w:p>
        </w:tc>
        <w:tc>
          <w:tcPr>
            <w:tcW w:w="135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2 (2.70)</w:t>
            </w:r>
          </w:p>
        </w:tc>
        <w:tc>
          <w:tcPr>
            <w:tcW w:w="153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35 (47.30)</w:t>
            </w:r>
          </w:p>
        </w:tc>
        <w:tc>
          <w:tcPr>
            <w:tcW w:w="171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29 (39.19)</w:t>
            </w:r>
          </w:p>
        </w:tc>
        <w:tc>
          <w:tcPr>
            <w:tcW w:w="99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8</w:t>
            </w:r>
          </w:p>
        </w:tc>
        <w:tc>
          <w:tcPr>
            <w:tcW w:w="107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6</w:t>
            </w:r>
          </w:p>
        </w:tc>
      </w:tr>
      <w:tr w:rsidR="005F11DC" w:rsidTr="005F11DC">
        <w:tblPrEx>
          <w:tblCellMar>
            <w:top w:w="0" w:type="dxa"/>
            <w:bottom w:w="0" w:type="dxa"/>
          </w:tblCellMar>
        </w:tblPrEx>
        <w:trPr>
          <w:trHeight w:val="242"/>
        </w:trPr>
        <w:tc>
          <w:tcPr>
            <w:tcW w:w="1345"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SSC 1</w:t>
            </w:r>
          </w:p>
        </w:tc>
        <w:tc>
          <w:tcPr>
            <w:tcW w:w="135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33 (47.83)</w:t>
            </w:r>
          </w:p>
        </w:tc>
        <w:tc>
          <w:tcPr>
            <w:tcW w:w="135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2 (2.90)</w:t>
            </w:r>
          </w:p>
        </w:tc>
        <w:tc>
          <w:tcPr>
            <w:tcW w:w="153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29 (42.03)</w:t>
            </w:r>
          </w:p>
        </w:tc>
        <w:tc>
          <w:tcPr>
            <w:tcW w:w="171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5 (7.25)</w:t>
            </w:r>
          </w:p>
        </w:tc>
        <w:tc>
          <w:tcPr>
            <w:tcW w:w="99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21</w:t>
            </w:r>
          </w:p>
        </w:tc>
        <w:tc>
          <w:tcPr>
            <w:tcW w:w="107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75</w:t>
            </w:r>
          </w:p>
        </w:tc>
      </w:tr>
      <w:tr w:rsidR="005F11DC" w:rsidTr="005F11DC">
        <w:tblPrEx>
          <w:tblCellMar>
            <w:top w:w="0" w:type="dxa"/>
            <w:bottom w:w="0" w:type="dxa"/>
          </w:tblCellMar>
        </w:tblPrEx>
        <w:trPr>
          <w:trHeight w:val="233"/>
        </w:trPr>
        <w:tc>
          <w:tcPr>
            <w:tcW w:w="1345"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SSC 2</w:t>
            </w:r>
          </w:p>
        </w:tc>
        <w:tc>
          <w:tcPr>
            <w:tcW w:w="135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25 (40.32)</w:t>
            </w:r>
          </w:p>
        </w:tc>
        <w:tc>
          <w:tcPr>
            <w:tcW w:w="135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0 (0)</w:t>
            </w:r>
          </w:p>
        </w:tc>
        <w:tc>
          <w:tcPr>
            <w:tcW w:w="153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35 (56.45)</w:t>
            </w:r>
          </w:p>
        </w:tc>
        <w:tc>
          <w:tcPr>
            <w:tcW w:w="171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2 (3.23)</w:t>
            </w:r>
          </w:p>
        </w:tc>
        <w:tc>
          <w:tcPr>
            <w:tcW w:w="99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9</w:t>
            </w:r>
          </w:p>
        </w:tc>
        <w:tc>
          <w:tcPr>
            <w:tcW w:w="107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25</w:t>
            </w:r>
          </w:p>
        </w:tc>
      </w:tr>
      <w:tr w:rsidR="005F11DC" w:rsidTr="005F11DC">
        <w:tblPrEx>
          <w:tblCellMar>
            <w:top w:w="0" w:type="dxa"/>
            <w:bottom w:w="0" w:type="dxa"/>
          </w:tblCellMar>
        </w:tblPrEx>
        <w:trPr>
          <w:trHeight w:val="224"/>
        </w:trPr>
        <w:tc>
          <w:tcPr>
            <w:tcW w:w="1345"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SSC 3</w:t>
            </w:r>
          </w:p>
        </w:tc>
        <w:tc>
          <w:tcPr>
            <w:tcW w:w="135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145 (81.92)</w:t>
            </w:r>
          </w:p>
        </w:tc>
        <w:tc>
          <w:tcPr>
            <w:tcW w:w="135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28 (15.82)</w:t>
            </w:r>
          </w:p>
        </w:tc>
        <w:tc>
          <w:tcPr>
            <w:tcW w:w="153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4 (2.26)</w:t>
            </w:r>
          </w:p>
        </w:tc>
        <w:tc>
          <w:tcPr>
            <w:tcW w:w="171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0 (0)</w:t>
            </w:r>
          </w:p>
        </w:tc>
        <w:tc>
          <w:tcPr>
            <w:tcW w:w="99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76</w:t>
            </w:r>
          </w:p>
        </w:tc>
        <w:tc>
          <w:tcPr>
            <w:tcW w:w="107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2</w:t>
            </w:r>
          </w:p>
        </w:tc>
      </w:tr>
      <w:tr w:rsidR="005F11DC" w:rsidTr="005F11DC">
        <w:tblPrEx>
          <w:tblCellMar>
            <w:top w:w="0" w:type="dxa"/>
            <w:bottom w:w="0" w:type="dxa"/>
          </w:tblCellMar>
        </w:tblPrEx>
        <w:trPr>
          <w:trHeight w:val="134"/>
        </w:trPr>
        <w:tc>
          <w:tcPr>
            <w:tcW w:w="1345"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SSC 4</w:t>
            </w:r>
          </w:p>
        </w:tc>
        <w:tc>
          <w:tcPr>
            <w:tcW w:w="135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101 (71.63)</w:t>
            </w:r>
          </w:p>
        </w:tc>
        <w:tc>
          <w:tcPr>
            <w:tcW w:w="135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22 (15.61)</w:t>
            </w:r>
          </w:p>
        </w:tc>
        <w:tc>
          <w:tcPr>
            <w:tcW w:w="153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17 (12.06)</w:t>
            </w:r>
          </w:p>
        </w:tc>
        <w:tc>
          <w:tcPr>
            <w:tcW w:w="171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1 (0.71)</w:t>
            </w:r>
          </w:p>
        </w:tc>
        <w:tc>
          <w:tcPr>
            <w:tcW w:w="99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120</w:t>
            </w:r>
          </w:p>
        </w:tc>
        <w:tc>
          <w:tcPr>
            <w:tcW w:w="107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36</w:t>
            </w:r>
          </w:p>
        </w:tc>
      </w:tr>
      <w:tr w:rsidR="005F11DC" w:rsidTr="005F11DC">
        <w:tblPrEx>
          <w:tblCellMar>
            <w:top w:w="0" w:type="dxa"/>
            <w:bottom w:w="0" w:type="dxa"/>
          </w:tblCellMar>
        </w:tblPrEx>
        <w:trPr>
          <w:trHeight w:val="305"/>
        </w:trPr>
        <w:tc>
          <w:tcPr>
            <w:tcW w:w="1345"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SSC 5</w:t>
            </w:r>
          </w:p>
        </w:tc>
        <w:tc>
          <w:tcPr>
            <w:tcW w:w="135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230 (92.74)</w:t>
            </w:r>
          </w:p>
        </w:tc>
        <w:tc>
          <w:tcPr>
            <w:tcW w:w="135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9 (3.63)</w:t>
            </w:r>
          </w:p>
        </w:tc>
        <w:tc>
          <w:tcPr>
            <w:tcW w:w="153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8 (3.23)</w:t>
            </w:r>
          </w:p>
        </w:tc>
        <w:tc>
          <w:tcPr>
            <w:tcW w:w="171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1 (0.40)</w:t>
            </w:r>
          </w:p>
        </w:tc>
        <w:tc>
          <w:tcPr>
            <w:tcW w:w="99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57</w:t>
            </w:r>
          </w:p>
        </w:tc>
        <w:tc>
          <w:tcPr>
            <w:tcW w:w="107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51</w:t>
            </w:r>
          </w:p>
        </w:tc>
      </w:tr>
      <w:tr w:rsidR="005F11DC" w:rsidTr="005F11DC">
        <w:tblPrEx>
          <w:tblCellMar>
            <w:top w:w="0" w:type="dxa"/>
            <w:bottom w:w="0" w:type="dxa"/>
          </w:tblCellMar>
        </w:tblPrEx>
        <w:trPr>
          <w:trHeight w:val="314"/>
        </w:trPr>
        <w:tc>
          <w:tcPr>
            <w:tcW w:w="1345"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SSC 6</w:t>
            </w:r>
          </w:p>
        </w:tc>
        <w:tc>
          <w:tcPr>
            <w:tcW w:w="135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57 (98.28)</w:t>
            </w:r>
          </w:p>
        </w:tc>
        <w:tc>
          <w:tcPr>
            <w:tcW w:w="135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0 (0)</w:t>
            </w:r>
          </w:p>
        </w:tc>
        <w:tc>
          <w:tcPr>
            <w:tcW w:w="153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1 (1.72)</w:t>
            </w:r>
          </w:p>
        </w:tc>
        <w:tc>
          <w:tcPr>
            <w:tcW w:w="171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0 (0)</w:t>
            </w:r>
          </w:p>
        </w:tc>
        <w:tc>
          <w:tcPr>
            <w:tcW w:w="99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10</w:t>
            </w:r>
          </w:p>
        </w:tc>
        <w:tc>
          <w:tcPr>
            <w:tcW w:w="107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40</w:t>
            </w:r>
          </w:p>
        </w:tc>
      </w:tr>
      <w:tr w:rsidR="005F11DC" w:rsidTr="005F11DC">
        <w:tblPrEx>
          <w:tblCellMar>
            <w:top w:w="0" w:type="dxa"/>
            <w:bottom w:w="0" w:type="dxa"/>
          </w:tblCellMar>
        </w:tblPrEx>
        <w:trPr>
          <w:trHeight w:val="215"/>
        </w:trPr>
        <w:tc>
          <w:tcPr>
            <w:tcW w:w="1345"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SSC 7</w:t>
            </w:r>
          </w:p>
        </w:tc>
        <w:tc>
          <w:tcPr>
            <w:tcW w:w="135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18 (17.48)</w:t>
            </w:r>
          </w:p>
        </w:tc>
        <w:tc>
          <w:tcPr>
            <w:tcW w:w="135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0 (0)</w:t>
            </w:r>
          </w:p>
        </w:tc>
        <w:tc>
          <w:tcPr>
            <w:tcW w:w="153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18 (17.48)</w:t>
            </w:r>
          </w:p>
        </w:tc>
        <w:tc>
          <w:tcPr>
            <w:tcW w:w="171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67 (65.05)</w:t>
            </w:r>
          </w:p>
        </w:tc>
        <w:tc>
          <w:tcPr>
            <w:tcW w:w="99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49</w:t>
            </w:r>
          </w:p>
        </w:tc>
        <w:tc>
          <w:tcPr>
            <w:tcW w:w="107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71</w:t>
            </w:r>
          </w:p>
        </w:tc>
      </w:tr>
      <w:tr w:rsidR="005F11DC" w:rsidTr="005F11DC">
        <w:tblPrEx>
          <w:tblCellMar>
            <w:top w:w="0" w:type="dxa"/>
            <w:bottom w:w="0" w:type="dxa"/>
          </w:tblCellMar>
        </w:tblPrEx>
        <w:trPr>
          <w:trHeight w:val="206"/>
        </w:trPr>
        <w:tc>
          <w:tcPr>
            <w:tcW w:w="1345"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SSC 8</w:t>
            </w:r>
          </w:p>
        </w:tc>
        <w:tc>
          <w:tcPr>
            <w:tcW w:w="135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14 (13.86)</w:t>
            </w:r>
          </w:p>
        </w:tc>
        <w:tc>
          <w:tcPr>
            <w:tcW w:w="135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0 (0 )</w:t>
            </w:r>
          </w:p>
        </w:tc>
        <w:tc>
          <w:tcPr>
            <w:tcW w:w="153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78 (77.23)</w:t>
            </w:r>
          </w:p>
        </w:tc>
        <w:tc>
          <w:tcPr>
            <w:tcW w:w="171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9 (8.91)</w:t>
            </w:r>
          </w:p>
        </w:tc>
        <w:tc>
          <w:tcPr>
            <w:tcW w:w="99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16</w:t>
            </w:r>
          </w:p>
        </w:tc>
        <w:tc>
          <w:tcPr>
            <w:tcW w:w="107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line="480" w:lineRule="auto"/>
            </w:pPr>
            <w:r>
              <w:rPr>
                <w:sz w:val="20"/>
                <w:szCs w:val="20"/>
              </w:rPr>
              <w:t>60</w:t>
            </w:r>
          </w:p>
        </w:tc>
      </w:tr>
    </w:tbl>
    <w:p w:rsidR="005F11DC" w:rsidRDefault="005F11DC">
      <w:pPr>
        <w:pStyle w:val="Standard"/>
        <w:rPr>
          <w:b/>
        </w:rPr>
      </w:pPr>
    </w:p>
    <w:p w:rsidR="005F11DC" w:rsidRDefault="005F11DC">
      <w:pPr>
        <w:pStyle w:val="Standard"/>
        <w:rPr>
          <w:b/>
        </w:rPr>
      </w:pPr>
    </w:p>
    <w:p w:rsidR="005F11DC" w:rsidRDefault="00352429">
      <w:pPr>
        <w:pStyle w:val="Standard"/>
      </w:pPr>
      <w:proofErr w:type="gramStart"/>
      <w:r>
        <w:rPr>
          <w:b/>
        </w:rPr>
        <w:t>Table 2.</w:t>
      </w:r>
      <w:proofErr w:type="gramEnd"/>
      <w:r>
        <w:rPr>
          <w:b/>
        </w:rPr>
        <w:t xml:space="preserve"> </w:t>
      </w:r>
      <w:proofErr w:type="spellStart"/>
      <w:proofErr w:type="gramStart"/>
      <w:r>
        <w:rPr>
          <w:b/>
        </w:rPr>
        <w:t>Mesenchymal</w:t>
      </w:r>
      <w:proofErr w:type="spellEnd"/>
      <w:r>
        <w:rPr>
          <w:b/>
        </w:rPr>
        <w:t xml:space="preserve"> Populations Cell Numbers and </w:t>
      </w:r>
      <w:r>
        <w:rPr>
          <w:b/>
        </w:rPr>
        <w:t>Proportions by Sample.</w:t>
      </w:r>
      <w:proofErr w:type="gramEnd"/>
      <w:r>
        <w:rPr>
          <w:b/>
        </w:rPr>
        <w:t xml:space="preserve">  </w:t>
      </w:r>
    </w:p>
    <w:p w:rsidR="005F11DC" w:rsidRDefault="00352429">
      <w:pPr>
        <w:pStyle w:val="Standard"/>
      </w:pPr>
      <w:proofErr w:type="gramStart"/>
      <w:r>
        <w:t xml:space="preserve">Number of cells present from each sample in each </w:t>
      </w:r>
      <w:proofErr w:type="spellStart"/>
      <w:r>
        <w:t>mesenchymal</w:t>
      </w:r>
      <w:proofErr w:type="spellEnd"/>
      <w:r>
        <w:t xml:space="preserve"> cell population.</w:t>
      </w:r>
      <w:proofErr w:type="gramEnd"/>
      <w:r>
        <w:t xml:space="preserve">  For </w:t>
      </w:r>
      <w:proofErr w:type="spellStart"/>
      <w:r>
        <w:t>myofibroblasts</w:t>
      </w:r>
      <w:proofErr w:type="spellEnd"/>
      <w:r>
        <w:t xml:space="preserve">, proliferating </w:t>
      </w:r>
      <w:proofErr w:type="spellStart"/>
      <w:r>
        <w:t>myofibroblasts</w:t>
      </w:r>
      <w:proofErr w:type="spellEnd"/>
      <w:r>
        <w:t xml:space="preserve">, </w:t>
      </w:r>
      <w:r>
        <w:rPr>
          <w:i/>
        </w:rPr>
        <w:t>MFA5</w:t>
      </w:r>
      <w:r>
        <w:rPr>
          <w:vertAlign w:val="superscript"/>
        </w:rPr>
        <w:t>hi</w:t>
      </w:r>
      <w:r>
        <w:t xml:space="preserve"> fibroblasts and </w:t>
      </w:r>
      <w:r>
        <w:rPr>
          <w:i/>
        </w:rPr>
        <w:t>SPINT2</w:t>
      </w:r>
      <w:r>
        <w:rPr>
          <w:vertAlign w:val="superscript"/>
        </w:rPr>
        <w:t>hi</w:t>
      </w:r>
      <w:r>
        <w:t xml:space="preserve"> fibroblasts the proportion of total fibroblasts from each sample that the particular subpopulation comprises is listed in parentheses.</w:t>
      </w:r>
    </w:p>
    <w:p w:rsidR="005F11DC" w:rsidRDefault="005F11DC">
      <w:pPr>
        <w:pStyle w:val="Standard"/>
      </w:pPr>
    </w:p>
    <w:p w:rsidR="005F11DC" w:rsidRDefault="005F11DC">
      <w:pPr>
        <w:pStyle w:val="Standard"/>
        <w:rPr>
          <w:b/>
        </w:rPr>
      </w:pPr>
    </w:p>
    <w:p w:rsidR="005F11DC" w:rsidRDefault="005F11DC">
      <w:pPr>
        <w:pStyle w:val="Standard"/>
        <w:rPr>
          <w:b/>
        </w:rPr>
      </w:pPr>
    </w:p>
    <w:p w:rsidR="005F11DC" w:rsidRDefault="005F11DC">
      <w:pPr>
        <w:pStyle w:val="Standard"/>
        <w:rPr>
          <w:b/>
        </w:rPr>
      </w:pPr>
    </w:p>
    <w:p w:rsidR="005F11DC" w:rsidRDefault="005F11DC">
      <w:pPr>
        <w:pStyle w:val="Standard"/>
        <w:rPr>
          <w:b/>
        </w:rPr>
      </w:pPr>
    </w:p>
    <w:p w:rsidR="005F11DC" w:rsidRDefault="005F11DC">
      <w:pPr>
        <w:pStyle w:val="Standard"/>
        <w:rPr>
          <w:b/>
        </w:rPr>
      </w:pPr>
    </w:p>
    <w:p w:rsidR="005F11DC" w:rsidRDefault="005F11DC">
      <w:pPr>
        <w:pStyle w:val="Standard"/>
        <w:rPr>
          <w:b/>
        </w:rPr>
      </w:pPr>
    </w:p>
    <w:p w:rsidR="005F11DC" w:rsidRDefault="005F11DC">
      <w:pPr>
        <w:pStyle w:val="Standard"/>
        <w:rPr>
          <w:b/>
        </w:rPr>
      </w:pPr>
    </w:p>
    <w:p w:rsidR="005F11DC" w:rsidRDefault="005F11DC">
      <w:pPr>
        <w:pStyle w:val="Standard"/>
        <w:rPr>
          <w:b/>
        </w:rPr>
      </w:pPr>
    </w:p>
    <w:p w:rsidR="005F11DC" w:rsidRDefault="005F11DC">
      <w:pPr>
        <w:pStyle w:val="Standard"/>
        <w:rPr>
          <w:b/>
        </w:rPr>
      </w:pPr>
    </w:p>
    <w:tbl>
      <w:tblPr>
        <w:tblW w:w="9237" w:type="dxa"/>
        <w:tblLayout w:type="fixed"/>
        <w:tblCellMar>
          <w:left w:w="10" w:type="dxa"/>
          <w:right w:w="10" w:type="dxa"/>
        </w:tblCellMar>
        <w:tblLook w:val="0000"/>
      </w:tblPr>
      <w:tblGrid>
        <w:gridCol w:w="921"/>
        <w:gridCol w:w="760"/>
        <w:gridCol w:w="510"/>
        <w:gridCol w:w="925"/>
        <w:gridCol w:w="1919"/>
        <w:gridCol w:w="1098"/>
        <w:gridCol w:w="1242"/>
        <w:gridCol w:w="1862"/>
      </w:tblGrid>
      <w:tr w:rsidR="005F11DC" w:rsidTr="005F11DC">
        <w:tblPrEx>
          <w:tblCellMar>
            <w:top w:w="0" w:type="dxa"/>
            <w:bottom w:w="0" w:type="dxa"/>
          </w:tblCellMar>
        </w:tblPrEx>
        <w:tc>
          <w:tcPr>
            <w:tcW w:w="92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b/>
                <w:bCs/>
                <w:sz w:val="19"/>
                <w:szCs w:val="19"/>
              </w:rPr>
              <w:t>Sample</w:t>
            </w:r>
          </w:p>
        </w:tc>
        <w:tc>
          <w:tcPr>
            <w:tcW w:w="76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b/>
                <w:bCs/>
                <w:sz w:val="19"/>
                <w:szCs w:val="19"/>
              </w:rPr>
              <w:t>Sex</w:t>
            </w:r>
          </w:p>
        </w:tc>
        <w:tc>
          <w:tcPr>
            <w:tcW w:w="51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b/>
                <w:bCs/>
                <w:sz w:val="19"/>
                <w:szCs w:val="19"/>
              </w:rPr>
              <w:t>Age</w:t>
            </w:r>
          </w:p>
        </w:tc>
        <w:tc>
          <w:tcPr>
            <w:tcW w:w="925"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b/>
                <w:bCs/>
                <w:sz w:val="19"/>
                <w:szCs w:val="19"/>
              </w:rPr>
              <w:t>Tissue Type</w:t>
            </w:r>
          </w:p>
          <w:p w:rsidR="005F11DC" w:rsidRDefault="005F11DC">
            <w:pPr>
              <w:pStyle w:val="Standard"/>
              <w:spacing w:before="2" w:after="2"/>
              <w:rPr>
                <w:b/>
                <w:bCs/>
                <w:sz w:val="19"/>
                <w:szCs w:val="19"/>
              </w:rPr>
            </w:pPr>
          </w:p>
        </w:tc>
        <w:tc>
          <w:tcPr>
            <w:tcW w:w="191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b/>
                <w:bCs/>
                <w:sz w:val="19"/>
                <w:szCs w:val="19"/>
              </w:rPr>
              <w:t>Pathology</w:t>
            </w:r>
          </w:p>
        </w:tc>
        <w:tc>
          <w:tcPr>
            <w:tcW w:w="1098"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proofErr w:type="spellStart"/>
            <w:r>
              <w:rPr>
                <w:b/>
                <w:bCs/>
                <w:sz w:val="19"/>
                <w:szCs w:val="19"/>
              </w:rPr>
              <w:t>mPAP</w:t>
            </w:r>
            <w:proofErr w:type="spellEnd"/>
            <w:r>
              <w:rPr>
                <w:b/>
                <w:bCs/>
                <w:sz w:val="19"/>
                <w:szCs w:val="19"/>
              </w:rPr>
              <w:t xml:space="preserve"> (mmHg)</w:t>
            </w:r>
          </w:p>
        </w:tc>
        <w:tc>
          <w:tcPr>
            <w:tcW w:w="1242"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b/>
                <w:bCs/>
                <w:sz w:val="19"/>
                <w:szCs w:val="19"/>
              </w:rPr>
              <w:t>PVR (Woods units)</w:t>
            </w:r>
          </w:p>
        </w:tc>
        <w:tc>
          <w:tcPr>
            <w:tcW w:w="1862"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proofErr w:type="spellStart"/>
            <w:r>
              <w:rPr>
                <w:b/>
                <w:bCs/>
                <w:sz w:val="19"/>
                <w:szCs w:val="19"/>
              </w:rPr>
              <w:t>Immunosuppression</w:t>
            </w:r>
            <w:proofErr w:type="spellEnd"/>
          </w:p>
        </w:tc>
      </w:tr>
      <w:tr w:rsidR="005F11DC" w:rsidTr="005F11DC">
        <w:tblPrEx>
          <w:tblCellMar>
            <w:top w:w="0" w:type="dxa"/>
            <w:bottom w:w="0" w:type="dxa"/>
          </w:tblCellMar>
        </w:tblPrEx>
        <w:trPr>
          <w:trHeight w:val="864"/>
        </w:trPr>
        <w:tc>
          <w:tcPr>
            <w:tcW w:w="92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sz w:val="19"/>
                <w:szCs w:val="19"/>
              </w:rPr>
              <w:t>Control 6</w:t>
            </w:r>
          </w:p>
        </w:tc>
        <w:tc>
          <w:tcPr>
            <w:tcW w:w="76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5F11DC">
            <w:pPr>
              <w:pStyle w:val="Standard"/>
              <w:spacing w:before="2" w:after="2"/>
              <w:rPr>
                <w:sz w:val="19"/>
                <w:szCs w:val="19"/>
              </w:rPr>
            </w:pPr>
          </w:p>
        </w:tc>
        <w:tc>
          <w:tcPr>
            <w:tcW w:w="51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5F11DC">
            <w:pPr>
              <w:pStyle w:val="Standard"/>
              <w:spacing w:before="2" w:after="2"/>
              <w:rPr>
                <w:sz w:val="19"/>
                <w:szCs w:val="19"/>
              </w:rPr>
            </w:pPr>
          </w:p>
        </w:tc>
        <w:tc>
          <w:tcPr>
            <w:tcW w:w="925"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sz w:val="19"/>
                <w:szCs w:val="19"/>
              </w:rPr>
              <w:t>Control</w:t>
            </w:r>
          </w:p>
        </w:tc>
        <w:tc>
          <w:tcPr>
            <w:tcW w:w="191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sz w:val="19"/>
                <w:szCs w:val="19"/>
              </w:rPr>
              <w:t>No</w:t>
            </w:r>
            <w:r>
              <w:rPr>
                <w:sz w:val="19"/>
                <w:szCs w:val="19"/>
              </w:rPr>
              <w:t xml:space="preserve"> abnormal tissue</w:t>
            </w:r>
          </w:p>
        </w:tc>
        <w:tc>
          <w:tcPr>
            <w:tcW w:w="1098"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5F11DC">
            <w:pPr>
              <w:pStyle w:val="Standard"/>
              <w:spacing w:before="2" w:after="2"/>
              <w:rPr>
                <w:sz w:val="19"/>
                <w:szCs w:val="19"/>
              </w:rPr>
            </w:pPr>
          </w:p>
        </w:tc>
        <w:tc>
          <w:tcPr>
            <w:tcW w:w="1242"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5F11DC">
            <w:pPr>
              <w:pStyle w:val="Standard"/>
              <w:spacing w:before="2" w:after="2"/>
              <w:rPr>
                <w:sz w:val="19"/>
                <w:szCs w:val="19"/>
              </w:rPr>
            </w:pPr>
          </w:p>
        </w:tc>
        <w:tc>
          <w:tcPr>
            <w:tcW w:w="1862"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5F11DC">
            <w:pPr>
              <w:pStyle w:val="Standard"/>
              <w:spacing w:before="2" w:after="2"/>
              <w:rPr>
                <w:sz w:val="19"/>
                <w:szCs w:val="19"/>
              </w:rPr>
            </w:pPr>
          </w:p>
        </w:tc>
      </w:tr>
      <w:tr w:rsidR="005F11DC" w:rsidTr="005F11DC">
        <w:tblPrEx>
          <w:tblCellMar>
            <w:top w:w="0" w:type="dxa"/>
            <w:bottom w:w="0" w:type="dxa"/>
          </w:tblCellMar>
        </w:tblPrEx>
        <w:trPr>
          <w:trHeight w:val="864"/>
        </w:trPr>
        <w:tc>
          <w:tcPr>
            <w:tcW w:w="92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sz w:val="19"/>
                <w:szCs w:val="19"/>
              </w:rPr>
              <w:t>SSC 9</w:t>
            </w:r>
          </w:p>
        </w:tc>
        <w:tc>
          <w:tcPr>
            <w:tcW w:w="76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sz w:val="19"/>
                <w:szCs w:val="19"/>
              </w:rPr>
              <w:t>Female</w:t>
            </w:r>
          </w:p>
        </w:tc>
        <w:tc>
          <w:tcPr>
            <w:tcW w:w="51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sz w:val="19"/>
                <w:szCs w:val="19"/>
              </w:rPr>
              <w:t>41</w:t>
            </w:r>
          </w:p>
        </w:tc>
        <w:tc>
          <w:tcPr>
            <w:tcW w:w="925"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proofErr w:type="spellStart"/>
            <w:r>
              <w:rPr>
                <w:sz w:val="19"/>
                <w:szCs w:val="19"/>
              </w:rPr>
              <w:t>SSc</w:t>
            </w:r>
            <w:proofErr w:type="spellEnd"/>
            <w:r>
              <w:rPr>
                <w:sz w:val="19"/>
                <w:szCs w:val="19"/>
              </w:rPr>
              <w:t xml:space="preserve"> upper lobe</w:t>
            </w:r>
          </w:p>
        </w:tc>
        <w:tc>
          <w:tcPr>
            <w:tcW w:w="191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sz w:val="19"/>
                <w:szCs w:val="19"/>
              </w:rPr>
              <w:t xml:space="preserve">Unclassifiable chronic </w:t>
            </w:r>
            <w:proofErr w:type="spellStart"/>
            <w:r>
              <w:rPr>
                <w:sz w:val="19"/>
                <w:szCs w:val="19"/>
              </w:rPr>
              <w:t>fibrosing</w:t>
            </w:r>
            <w:proofErr w:type="spellEnd"/>
            <w:r>
              <w:rPr>
                <w:sz w:val="19"/>
                <w:szCs w:val="19"/>
              </w:rPr>
              <w:t xml:space="preserve"> interstitial pneumonia with prominent chronic </w:t>
            </w:r>
            <w:r>
              <w:rPr>
                <w:sz w:val="19"/>
                <w:szCs w:val="19"/>
              </w:rPr>
              <w:lastRenderedPageBreak/>
              <w:t>lymphocytic inflammation</w:t>
            </w:r>
          </w:p>
        </w:tc>
        <w:tc>
          <w:tcPr>
            <w:tcW w:w="1098"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sz w:val="19"/>
                <w:szCs w:val="19"/>
              </w:rPr>
              <w:lastRenderedPageBreak/>
              <w:t>49</w:t>
            </w:r>
          </w:p>
        </w:tc>
        <w:tc>
          <w:tcPr>
            <w:tcW w:w="1242"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sz w:val="19"/>
                <w:szCs w:val="19"/>
              </w:rPr>
              <w:t>Not measured</w:t>
            </w:r>
          </w:p>
        </w:tc>
        <w:tc>
          <w:tcPr>
            <w:tcW w:w="1862"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proofErr w:type="spellStart"/>
            <w:r>
              <w:rPr>
                <w:sz w:val="19"/>
                <w:szCs w:val="19"/>
              </w:rPr>
              <w:t>azathioprine</w:t>
            </w:r>
            <w:proofErr w:type="spellEnd"/>
            <w:r>
              <w:rPr>
                <w:sz w:val="19"/>
                <w:szCs w:val="19"/>
              </w:rPr>
              <w:t xml:space="preserve">, </w:t>
            </w:r>
            <w:proofErr w:type="spellStart"/>
            <w:r>
              <w:rPr>
                <w:sz w:val="19"/>
                <w:szCs w:val="19"/>
              </w:rPr>
              <w:t>hydroxychloroquine</w:t>
            </w:r>
            <w:proofErr w:type="spellEnd"/>
            <w:r>
              <w:rPr>
                <w:sz w:val="19"/>
                <w:szCs w:val="19"/>
              </w:rPr>
              <w:t>, prednisone</w:t>
            </w:r>
          </w:p>
        </w:tc>
      </w:tr>
      <w:tr w:rsidR="005F11DC" w:rsidTr="005F11DC">
        <w:tblPrEx>
          <w:tblCellMar>
            <w:top w:w="0" w:type="dxa"/>
            <w:bottom w:w="0" w:type="dxa"/>
          </w:tblCellMar>
        </w:tblPrEx>
        <w:trPr>
          <w:trHeight w:val="864"/>
        </w:trPr>
        <w:tc>
          <w:tcPr>
            <w:tcW w:w="92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sz w:val="19"/>
                <w:szCs w:val="19"/>
              </w:rPr>
              <w:lastRenderedPageBreak/>
              <w:t>SSC 10</w:t>
            </w:r>
          </w:p>
        </w:tc>
        <w:tc>
          <w:tcPr>
            <w:tcW w:w="76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sz w:val="19"/>
                <w:szCs w:val="19"/>
              </w:rPr>
              <w:t>Female</w:t>
            </w:r>
          </w:p>
        </w:tc>
        <w:tc>
          <w:tcPr>
            <w:tcW w:w="51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sz w:val="19"/>
                <w:szCs w:val="19"/>
              </w:rPr>
              <w:t>41</w:t>
            </w:r>
          </w:p>
        </w:tc>
        <w:tc>
          <w:tcPr>
            <w:tcW w:w="925"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proofErr w:type="spellStart"/>
            <w:r>
              <w:rPr>
                <w:sz w:val="19"/>
                <w:szCs w:val="19"/>
              </w:rPr>
              <w:t>SSc</w:t>
            </w:r>
            <w:proofErr w:type="spellEnd"/>
            <w:r>
              <w:rPr>
                <w:sz w:val="19"/>
                <w:szCs w:val="19"/>
              </w:rPr>
              <w:t xml:space="preserve"> lower lobe</w:t>
            </w:r>
          </w:p>
        </w:tc>
        <w:tc>
          <w:tcPr>
            <w:tcW w:w="191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sz w:val="19"/>
                <w:szCs w:val="19"/>
              </w:rPr>
              <w:t xml:space="preserve">Unclassifiable chronic </w:t>
            </w:r>
            <w:proofErr w:type="spellStart"/>
            <w:r>
              <w:rPr>
                <w:sz w:val="19"/>
                <w:szCs w:val="19"/>
              </w:rPr>
              <w:t>fibrosing</w:t>
            </w:r>
            <w:proofErr w:type="spellEnd"/>
            <w:r>
              <w:rPr>
                <w:sz w:val="19"/>
                <w:szCs w:val="19"/>
              </w:rPr>
              <w:t xml:space="preserve"> interstitial pneumonia with prominent chronic lymphocytic inflammation</w:t>
            </w:r>
          </w:p>
        </w:tc>
        <w:tc>
          <w:tcPr>
            <w:tcW w:w="1098"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sz w:val="19"/>
                <w:szCs w:val="19"/>
              </w:rPr>
              <w:t>49</w:t>
            </w:r>
          </w:p>
        </w:tc>
        <w:tc>
          <w:tcPr>
            <w:tcW w:w="1242"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sz w:val="19"/>
                <w:szCs w:val="19"/>
              </w:rPr>
              <w:t>Not measured</w:t>
            </w:r>
          </w:p>
        </w:tc>
        <w:tc>
          <w:tcPr>
            <w:tcW w:w="1862"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proofErr w:type="spellStart"/>
            <w:r>
              <w:rPr>
                <w:sz w:val="19"/>
                <w:szCs w:val="19"/>
              </w:rPr>
              <w:t>azathioprine</w:t>
            </w:r>
            <w:proofErr w:type="spellEnd"/>
            <w:r>
              <w:rPr>
                <w:sz w:val="19"/>
                <w:szCs w:val="19"/>
              </w:rPr>
              <w:t xml:space="preserve">, </w:t>
            </w:r>
            <w:proofErr w:type="spellStart"/>
            <w:r>
              <w:rPr>
                <w:sz w:val="19"/>
                <w:szCs w:val="19"/>
              </w:rPr>
              <w:t>hydroxychloroquine</w:t>
            </w:r>
            <w:proofErr w:type="spellEnd"/>
            <w:r>
              <w:rPr>
                <w:sz w:val="19"/>
                <w:szCs w:val="19"/>
              </w:rPr>
              <w:t>, prednisone</w:t>
            </w:r>
          </w:p>
        </w:tc>
      </w:tr>
      <w:tr w:rsidR="005F11DC" w:rsidTr="005F11DC">
        <w:tblPrEx>
          <w:tblCellMar>
            <w:top w:w="0" w:type="dxa"/>
            <w:bottom w:w="0" w:type="dxa"/>
          </w:tblCellMar>
        </w:tblPrEx>
        <w:trPr>
          <w:trHeight w:val="864"/>
        </w:trPr>
        <w:tc>
          <w:tcPr>
            <w:tcW w:w="92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sz w:val="19"/>
                <w:szCs w:val="19"/>
              </w:rPr>
              <w:t>SSC 11</w:t>
            </w:r>
          </w:p>
        </w:tc>
        <w:tc>
          <w:tcPr>
            <w:tcW w:w="76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sz w:val="19"/>
                <w:szCs w:val="19"/>
              </w:rPr>
              <w:t>Male</w:t>
            </w:r>
          </w:p>
        </w:tc>
        <w:tc>
          <w:tcPr>
            <w:tcW w:w="51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sz w:val="19"/>
                <w:szCs w:val="19"/>
              </w:rPr>
              <w:t>33</w:t>
            </w:r>
          </w:p>
        </w:tc>
        <w:tc>
          <w:tcPr>
            <w:tcW w:w="925"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proofErr w:type="spellStart"/>
            <w:r>
              <w:rPr>
                <w:sz w:val="19"/>
                <w:szCs w:val="19"/>
              </w:rPr>
              <w:t>SSc</w:t>
            </w:r>
            <w:proofErr w:type="spellEnd"/>
            <w:r>
              <w:rPr>
                <w:sz w:val="19"/>
                <w:szCs w:val="19"/>
              </w:rPr>
              <w:t xml:space="preserve"> upper lobe</w:t>
            </w:r>
          </w:p>
        </w:tc>
        <w:tc>
          <w:tcPr>
            <w:tcW w:w="191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sz w:val="19"/>
                <w:szCs w:val="19"/>
              </w:rPr>
              <w:t>Predominately UIP with sections of NSIP</w:t>
            </w:r>
          </w:p>
        </w:tc>
        <w:tc>
          <w:tcPr>
            <w:tcW w:w="1098"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sz w:val="19"/>
                <w:szCs w:val="19"/>
              </w:rPr>
              <w:t>Not measured</w:t>
            </w:r>
          </w:p>
        </w:tc>
        <w:tc>
          <w:tcPr>
            <w:tcW w:w="1242"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sz w:val="19"/>
                <w:szCs w:val="19"/>
              </w:rPr>
              <w:t xml:space="preserve">Not </w:t>
            </w:r>
            <w:r>
              <w:rPr>
                <w:sz w:val="19"/>
                <w:szCs w:val="19"/>
              </w:rPr>
              <w:t>measured</w:t>
            </w:r>
          </w:p>
        </w:tc>
        <w:tc>
          <w:tcPr>
            <w:tcW w:w="1862"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proofErr w:type="spellStart"/>
            <w:r>
              <w:rPr>
                <w:sz w:val="19"/>
                <w:szCs w:val="19"/>
              </w:rPr>
              <w:t>mycophenolate</w:t>
            </w:r>
            <w:proofErr w:type="spellEnd"/>
          </w:p>
        </w:tc>
      </w:tr>
      <w:tr w:rsidR="005F11DC" w:rsidTr="005F11DC">
        <w:tblPrEx>
          <w:tblCellMar>
            <w:top w:w="0" w:type="dxa"/>
            <w:bottom w:w="0" w:type="dxa"/>
          </w:tblCellMar>
        </w:tblPrEx>
        <w:trPr>
          <w:trHeight w:val="864"/>
        </w:trPr>
        <w:tc>
          <w:tcPr>
            <w:tcW w:w="92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sz w:val="19"/>
                <w:szCs w:val="19"/>
              </w:rPr>
              <w:t>SSC 12</w:t>
            </w:r>
          </w:p>
        </w:tc>
        <w:tc>
          <w:tcPr>
            <w:tcW w:w="76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sz w:val="19"/>
                <w:szCs w:val="19"/>
              </w:rPr>
              <w:t>Male</w:t>
            </w:r>
          </w:p>
        </w:tc>
        <w:tc>
          <w:tcPr>
            <w:tcW w:w="51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sz w:val="19"/>
                <w:szCs w:val="19"/>
              </w:rPr>
              <w:t>33</w:t>
            </w:r>
          </w:p>
        </w:tc>
        <w:tc>
          <w:tcPr>
            <w:tcW w:w="925"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proofErr w:type="spellStart"/>
            <w:r>
              <w:rPr>
                <w:sz w:val="19"/>
                <w:szCs w:val="19"/>
              </w:rPr>
              <w:t>SSc</w:t>
            </w:r>
            <w:proofErr w:type="spellEnd"/>
            <w:r>
              <w:rPr>
                <w:sz w:val="19"/>
                <w:szCs w:val="19"/>
              </w:rPr>
              <w:t xml:space="preserve"> lower lobe</w:t>
            </w:r>
          </w:p>
        </w:tc>
        <w:tc>
          <w:tcPr>
            <w:tcW w:w="191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sz w:val="19"/>
                <w:szCs w:val="19"/>
              </w:rPr>
              <w:t>UIP</w:t>
            </w:r>
          </w:p>
        </w:tc>
        <w:tc>
          <w:tcPr>
            <w:tcW w:w="1098"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sz w:val="19"/>
                <w:szCs w:val="19"/>
              </w:rPr>
              <w:t>Not measured</w:t>
            </w:r>
          </w:p>
        </w:tc>
        <w:tc>
          <w:tcPr>
            <w:tcW w:w="1242"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r>
              <w:rPr>
                <w:sz w:val="19"/>
                <w:szCs w:val="19"/>
              </w:rPr>
              <w:t>Not measured</w:t>
            </w:r>
          </w:p>
        </w:tc>
        <w:tc>
          <w:tcPr>
            <w:tcW w:w="1862"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tcPr>
          <w:p w:rsidR="005F11DC" w:rsidRDefault="00352429">
            <w:pPr>
              <w:pStyle w:val="Standard"/>
              <w:spacing w:before="2" w:after="2"/>
            </w:pPr>
            <w:proofErr w:type="spellStart"/>
            <w:r>
              <w:rPr>
                <w:sz w:val="19"/>
                <w:szCs w:val="19"/>
              </w:rPr>
              <w:t>mycophenolate</w:t>
            </w:r>
            <w:proofErr w:type="spellEnd"/>
          </w:p>
        </w:tc>
      </w:tr>
    </w:tbl>
    <w:p w:rsidR="005F11DC" w:rsidRDefault="005F11DC">
      <w:pPr>
        <w:pStyle w:val="Standard"/>
        <w:rPr>
          <w:b/>
        </w:rPr>
      </w:pPr>
    </w:p>
    <w:p w:rsidR="005F11DC" w:rsidRDefault="00352429">
      <w:pPr>
        <w:pStyle w:val="Standard"/>
      </w:pPr>
      <w:proofErr w:type="gramStart"/>
      <w:r>
        <w:rPr>
          <w:b/>
        </w:rPr>
        <w:t>Table 3.</w:t>
      </w:r>
      <w:proofErr w:type="gramEnd"/>
      <w:r>
        <w:rPr>
          <w:b/>
        </w:rPr>
        <w:t xml:space="preserve">  </w:t>
      </w:r>
      <w:proofErr w:type="gramStart"/>
      <w:r>
        <w:rPr>
          <w:b/>
        </w:rPr>
        <w:t>Characteristics of Patient Samples in Replication Cohort.</w:t>
      </w:r>
      <w:proofErr w:type="gramEnd"/>
    </w:p>
    <w:p w:rsidR="005F11DC" w:rsidRDefault="00352429">
      <w:pPr>
        <w:pStyle w:val="Standard"/>
      </w:pPr>
      <w:r>
        <w:t xml:space="preserve">Demographics, pathological review of adjacent tissue, and clinical characteristics of </w:t>
      </w:r>
      <w:r>
        <w:t>the patient samples included.  Mean pulmonary artery pressure (</w:t>
      </w:r>
      <w:proofErr w:type="spellStart"/>
      <w:r>
        <w:t>mPAP</w:t>
      </w:r>
      <w:proofErr w:type="spellEnd"/>
      <w:r>
        <w:t xml:space="preserve">) and pulmonary vascular resistance measurements (PVR) are from the last right heart catheterization preceding lung transplantation.  </w:t>
      </w:r>
      <w:proofErr w:type="spellStart"/>
      <w:r>
        <w:t>Immunosuppression</w:t>
      </w:r>
      <w:proofErr w:type="spellEnd"/>
      <w:r>
        <w:t xml:space="preserve"> listed includes the medications recei</w:t>
      </w:r>
      <w:r>
        <w:t xml:space="preserve">ved in the 90 days preceding lung transplantation.  </w:t>
      </w:r>
      <w:r>
        <w:rPr>
          <w:b/>
        </w:rPr>
        <w:t xml:space="preserve"> </w:t>
      </w:r>
    </w:p>
    <w:p w:rsidR="005F11DC" w:rsidRDefault="005F11DC">
      <w:pPr>
        <w:pStyle w:val="Standard"/>
        <w:rPr>
          <w:b/>
        </w:rPr>
      </w:pPr>
      <w:r w:rsidRPr="005F11DC">
        <w:rPr>
          <w:b/>
        </w:rPr>
        <w:pict>
          <v:shapetype id="_x0000_t202" coordsize="21600,21600" o:spt="202" path="m,l,21600r21600,l21600,xe">
            <v:stroke joinstyle="miter"/>
            <v:path gradientshapeok="t" o:connecttype="rect"/>
          </v:shapetype>
          <v:shape id="Frame1" o:spid="_x0000_s1027" type="#_x0000_t202" style="position:absolute;margin-left:-5.65pt;margin-top:55pt;width:226.3pt;height:0;z-index:251659264;visibility:visible;mso-wrap-style:none;mso-position-horizontal-relative:margin;mso-position-vertical-relative:page;v-text-anchor:top" filled="f" stroked="f">
            <v:textbox style="mso-rotate-with-shape:t;mso-fit-shape-to-text:t" inset="0,0,0,0">
              <w:txbxContent>
                <w:tbl>
                  <w:tblPr>
                    <w:tblW w:w="4526" w:type="dxa"/>
                    <w:tblLayout w:type="fixed"/>
                    <w:tblCellMar>
                      <w:left w:w="10" w:type="dxa"/>
                      <w:right w:w="10" w:type="dxa"/>
                    </w:tblCellMar>
                    <w:tblLook w:val="0000"/>
                  </w:tblPr>
                  <w:tblGrid>
                    <w:gridCol w:w="2264"/>
                    <w:gridCol w:w="2262"/>
                  </w:tblGrid>
                  <w:tr w:rsidR="005F11DC" w:rsidTr="005F11DC">
                    <w:tblPrEx>
                      <w:tblCellMar>
                        <w:top w:w="0" w:type="dxa"/>
                        <w:bottom w:w="0" w:type="dxa"/>
                      </w:tblCellMar>
                    </w:tblPrEx>
                    <w:trPr>
                      <w:trHeight w:val="365"/>
                    </w:trPr>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Sample ID</w:t>
                        </w:r>
                      </w:p>
                    </w:tc>
                    <w:tc>
                      <w:tcPr>
                        <w:tcW w:w="2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GEO Sample</w:t>
                        </w:r>
                      </w:p>
                    </w:tc>
                  </w:tr>
                  <w:tr w:rsidR="005F11DC" w:rsidTr="005F11DC">
                    <w:tblPrEx>
                      <w:tblCellMar>
                        <w:top w:w="0" w:type="dxa"/>
                        <w:bottom w:w="0" w:type="dxa"/>
                      </w:tblCellMar>
                    </w:tblPrEx>
                    <w:trPr>
                      <w:trHeight w:val="365"/>
                    </w:trPr>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CONTROL 1</w:t>
                        </w:r>
                      </w:p>
                    </w:tc>
                    <w:tc>
                      <w:tcPr>
                        <w:tcW w:w="2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SC45</w:t>
                        </w:r>
                      </w:p>
                    </w:tc>
                  </w:tr>
                  <w:tr w:rsidR="005F11DC" w:rsidTr="005F11DC">
                    <w:tblPrEx>
                      <w:tblCellMar>
                        <w:top w:w="0" w:type="dxa"/>
                        <w:bottom w:w="0" w:type="dxa"/>
                      </w:tblCellMar>
                    </w:tblPrEx>
                    <w:trPr>
                      <w:trHeight w:val="348"/>
                    </w:trPr>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CONTROL 2</w:t>
                        </w:r>
                      </w:p>
                    </w:tc>
                    <w:tc>
                      <w:tcPr>
                        <w:tcW w:w="2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SC56</w:t>
                        </w:r>
                      </w:p>
                    </w:tc>
                  </w:tr>
                  <w:tr w:rsidR="005F11DC" w:rsidTr="005F11DC">
                    <w:tblPrEx>
                      <w:tblCellMar>
                        <w:top w:w="0" w:type="dxa"/>
                        <w:bottom w:w="0" w:type="dxa"/>
                      </w:tblCellMar>
                    </w:tblPrEx>
                    <w:trPr>
                      <w:trHeight w:val="365"/>
                    </w:trPr>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CONTROL 3</w:t>
                        </w:r>
                      </w:p>
                    </w:tc>
                    <w:tc>
                      <w:tcPr>
                        <w:tcW w:w="2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SC59</w:t>
                        </w:r>
                      </w:p>
                    </w:tc>
                  </w:tr>
                  <w:tr w:rsidR="005F11DC" w:rsidTr="005F11DC">
                    <w:tblPrEx>
                      <w:tblCellMar>
                        <w:top w:w="0" w:type="dxa"/>
                        <w:bottom w:w="0" w:type="dxa"/>
                      </w:tblCellMar>
                    </w:tblPrEx>
                    <w:trPr>
                      <w:trHeight w:val="365"/>
                    </w:trPr>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CONTROL 4</w:t>
                        </w:r>
                      </w:p>
                    </w:tc>
                    <w:tc>
                      <w:tcPr>
                        <w:tcW w:w="2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SC156</w:t>
                        </w:r>
                      </w:p>
                    </w:tc>
                  </w:tr>
                  <w:tr w:rsidR="005F11DC" w:rsidTr="005F11DC">
                    <w:tblPrEx>
                      <w:tblCellMar>
                        <w:top w:w="0" w:type="dxa"/>
                        <w:bottom w:w="0" w:type="dxa"/>
                      </w:tblCellMar>
                    </w:tblPrEx>
                    <w:trPr>
                      <w:trHeight w:val="365"/>
                    </w:trPr>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CONTROL 5</w:t>
                        </w:r>
                      </w:p>
                    </w:tc>
                    <w:tc>
                      <w:tcPr>
                        <w:tcW w:w="2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SC155</w:t>
                        </w:r>
                      </w:p>
                    </w:tc>
                  </w:tr>
                  <w:tr w:rsidR="005F11DC" w:rsidTr="005F11DC">
                    <w:tblPrEx>
                      <w:tblCellMar>
                        <w:top w:w="0" w:type="dxa"/>
                        <w:bottom w:w="0" w:type="dxa"/>
                      </w:tblCellMar>
                    </w:tblPrEx>
                    <w:trPr>
                      <w:trHeight w:val="365"/>
                    </w:trPr>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CONTROL 6</w:t>
                        </w:r>
                      </w:p>
                    </w:tc>
                    <w:tc>
                      <w:tcPr>
                        <w:tcW w:w="2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SC277</w:t>
                        </w:r>
                      </w:p>
                    </w:tc>
                  </w:tr>
                  <w:tr w:rsidR="005F11DC" w:rsidTr="005F11DC">
                    <w:tblPrEx>
                      <w:tblCellMar>
                        <w:top w:w="0" w:type="dxa"/>
                        <w:bottom w:w="0" w:type="dxa"/>
                      </w:tblCellMar>
                    </w:tblPrEx>
                    <w:trPr>
                      <w:trHeight w:val="365"/>
                    </w:trPr>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SSC 1</w:t>
                        </w:r>
                      </w:p>
                    </w:tc>
                    <w:tc>
                      <w:tcPr>
                        <w:tcW w:w="2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SC52</w:t>
                        </w:r>
                      </w:p>
                    </w:tc>
                  </w:tr>
                  <w:tr w:rsidR="005F11DC" w:rsidTr="005F11DC">
                    <w:tblPrEx>
                      <w:tblCellMar>
                        <w:top w:w="0" w:type="dxa"/>
                        <w:bottom w:w="0" w:type="dxa"/>
                      </w:tblCellMar>
                    </w:tblPrEx>
                    <w:trPr>
                      <w:trHeight w:val="365"/>
                    </w:trPr>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SSC 2</w:t>
                        </w:r>
                      </w:p>
                    </w:tc>
                    <w:tc>
                      <w:tcPr>
                        <w:tcW w:w="2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SC51</w:t>
                        </w:r>
                      </w:p>
                    </w:tc>
                  </w:tr>
                  <w:tr w:rsidR="005F11DC" w:rsidTr="005F11DC">
                    <w:tblPrEx>
                      <w:tblCellMar>
                        <w:top w:w="0" w:type="dxa"/>
                        <w:bottom w:w="0" w:type="dxa"/>
                      </w:tblCellMar>
                    </w:tblPrEx>
                    <w:trPr>
                      <w:trHeight w:val="348"/>
                    </w:trPr>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SSC 3</w:t>
                        </w:r>
                      </w:p>
                    </w:tc>
                    <w:tc>
                      <w:tcPr>
                        <w:tcW w:w="2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SC64</w:t>
                        </w:r>
                      </w:p>
                    </w:tc>
                  </w:tr>
                  <w:tr w:rsidR="005F11DC" w:rsidTr="005F11DC">
                    <w:tblPrEx>
                      <w:tblCellMar>
                        <w:top w:w="0" w:type="dxa"/>
                        <w:bottom w:w="0" w:type="dxa"/>
                      </w:tblCellMar>
                    </w:tblPrEx>
                    <w:trPr>
                      <w:trHeight w:val="365"/>
                    </w:trPr>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SSC 4</w:t>
                        </w:r>
                      </w:p>
                    </w:tc>
                    <w:tc>
                      <w:tcPr>
                        <w:tcW w:w="2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SC63</w:t>
                        </w:r>
                      </w:p>
                    </w:tc>
                  </w:tr>
                  <w:tr w:rsidR="005F11DC" w:rsidTr="005F11DC">
                    <w:tblPrEx>
                      <w:tblCellMar>
                        <w:top w:w="0" w:type="dxa"/>
                        <w:bottom w:w="0" w:type="dxa"/>
                      </w:tblCellMar>
                    </w:tblPrEx>
                    <w:trPr>
                      <w:trHeight w:val="365"/>
                    </w:trPr>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SSC 5</w:t>
                        </w:r>
                      </w:p>
                    </w:tc>
                    <w:tc>
                      <w:tcPr>
                        <w:tcW w:w="2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SC109</w:t>
                        </w:r>
                      </w:p>
                    </w:tc>
                  </w:tr>
                  <w:tr w:rsidR="005F11DC" w:rsidTr="005F11DC">
                    <w:tblPrEx>
                      <w:tblCellMar>
                        <w:top w:w="0" w:type="dxa"/>
                        <w:bottom w:w="0" w:type="dxa"/>
                      </w:tblCellMar>
                    </w:tblPrEx>
                    <w:trPr>
                      <w:trHeight w:val="365"/>
                    </w:trPr>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SSC 6</w:t>
                        </w:r>
                      </w:p>
                    </w:tc>
                    <w:tc>
                      <w:tcPr>
                        <w:tcW w:w="2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SC108</w:t>
                        </w:r>
                      </w:p>
                    </w:tc>
                  </w:tr>
                  <w:tr w:rsidR="005F11DC" w:rsidTr="005F11DC">
                    <w:tblPrEx>
                      <w:tblCellMar>
                        <w:top w:w="0" w:type="dxa"/>
                        <w:bottom w:w="0" w:type="dxa"/>
                      </w:tblCellMar>
                    </w:tblPrEx>
                    <w:trPr>
                      <w:trHeight w:val="365"/>
                    </w:trPr>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SSC</w:t>
                        </w:r>
                        <w:r>
                          <w:t xml:space="preserve"> 7</w:t>
                        </w:r>
                      </w:p>
                    </w:tc>
                    <w:tc>
                      <w:tcPr>
                        <w:tcW w:w="2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SC136</w:t>
                        </w:r>
                      </w:p>
                    </w:tc>
                  </w:tr>
                  <w:tr w:rsidR="005F11DC" w:rsidTr="005F11DC">
                    <w:tblPrEx>
                      <w:tblCellMar>
                        <w:top w:w="0" w:type="dxa"/>
                        <w:bottom w:w="0" w:type="dxa"/>
                      </w:tblCellMar>
                    </w:tblPrEx>
                    <w:trPr>
                      <w:trHeight w:val="365"/>
                    </w:trPr>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SSC 8</w:t>
                        </w:r>
                      </w:p>
                    </w:tc>
                    <w:tc>
                      <w:tcPr>
                        <w:tcW w:w="2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SC135</w:t>
                        </w:r>
                      </w:p>
                    </w:tc>
                  </w:tr>
                  <w:tr w:rsidR="005F11DC" w:rsidTr="005F11DC">
                    <w:tblPrEx>
                      <w:tblCellMar>
                        <w:top w:w="0" w:type="dxa"/>
                        <w:bottom w:w="0" w:type="dxa"/>
                      </w:tblCellMar>
                    </w:tblPrEx>
                    <w:trPr>
                      <w:trHeight w:val="365"/>
                    </w:trPr>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SSC 9/10</w:t>
                        </w:r>
                      </w:p>
                    </w:tc>
                    <w:tc>
                      <w:tcPr>
                        <w:tcW w:w="2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SC281 (HTO 3&amp;4)</w:t>
                        </w:r>
                      </w:p>
                    </w:tc>
                  </w:tr>
                  <w:tr w:rsidR="005F11DC" w:rsidTr="005F11DC">
                    <w:tblPrEx>
                      <w:tblCellMar>
                        <w:top w:w="0" w:type="dxa"/>
                        <w:bottom w:w="0" w:type="dxa"/>
                      </w:tblCellMar>
                    </w:tblPrEx>
                    <w:trPr>
                      <w:trHeight w:val="365"/>
                    </w:trPr>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SSC 11/12</w:t>
                        </w:r>
                      </w:p>
                    </w:tc>
                    <w:tc>
                      <w:tcPr>
                        <w:tcW w:w="2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11DC" w:rsidRDefault="00352429">
                        <w:pPr>
                          <w:pStyle w:val="Standard"/>
                        </w:pPr>
                        <w:r>
                          <w:t>SC284 (HTO  5&amp;6)</w:t>
                        </w:r>
                      </w:p>
                    </w:tc>
                  </w:tr>
                </w:tbl>
                <w:p w:rsidR="005F11DC" w:rsidRDefault="005F11DC"/>
              </w:txbxContent>
            </v:textbox>
            <w10:wrap type="square" anchorx="margin" anchory="page"/>
          </v:shape>
        </w:pict>
      </w:r>
    </w:p>
    <w:p w:rsidR="005F11DC" w:rsidRDefault="005F11DC">
      <w:pPr>
        <w:pStyle w:val="Standard"/>
        <w:rPr>
          <w:b/>
        </w:rPr>
      </w:pPr>
    </w:p>
    <w:p w:rsidR="005F11DC" w:rsidRDefault="005F11DC">
      <w:pPr>
        <w:pStyle w:val="Standard"/>
        <w:rPr>
          <w:b/>
        </w:rPr>
      </w:pPr>
    </w:p>
    <w:p w:rsidR="005F11DC" w:rsidRDefault="005F11DC">
      <w:pPr>
        <w:pStyle w:val="Standard"/>
        <w:rPr>
          <w:b/>
        </w:rPr>
      </w:pPr>
    </w:p>
    <w:p w:rsidR="005F11DC" w:rsidRDefault="005F11DC">
      <w:pPr>
        <w:pStyle w:val="Standard"/>
        <w:rPr>
          <w:b/>
        </w:rPr>
      </w:pPr>
    </w:p>
    <w:p w:rsidR="005F11DC" w:rsidRDefault="005F11DC">
      <w:pPr>
        <w:pStyle w:val="Standard"/>
        <w:rPr>
          <w:b/>
        </w:rPr>
      </w:pPr>
    </w:p>
    <w:p w:rsidR="005F11DC" w:rsidRDefault="005F11DC">
      <w:pPr>
        <w:pStyle w:val="Standard"/>
        <w:rPr>
          <w:b/>
        </w:rPr>
      </w:pPr>
    </w:p>
    <w:p w:rsidR="005F11DC" w:rsidRDefault="005F11DC">
      <w:pPr>
        <w:pStyle w:val="Standard"/>
        <w:rPr>
          <w:b/>
        </w:rPr>
      </w:pPr>
    </w:p>
    <w:p w:rsidR="005F11DC" w:rsidRDefault="005F11DC">
      <w:pPr>
        <w:pStyle w:val="Standard"/>
        <w:rPr>
          <w:b/>
        </w:rPr>
      </w:pPr>
    </w:p>
    <w:p w:rsidR="005F11DC" w:rsidRDefault="005F11DC">
      <w:pPr>
        <w:pStyle w:val="Standard"/>
        <w:rPr>
          <w:b/>
        </w:rPr>
      </w:pPr>
    </w:p>
    <w:p w:rsidR="005F11DC" w:rsidRDefault="005F11DC">
      <w:pPr>
        <w:pStyle w:val="Standard"/>
        <w:rPr>
          <w:b/>
        </w:rPr>
      </w:pPr>
    </w:p>
    <w:p w:rsidR="005F11DC" w:rsidRDefault="005F11DC">
      <w:pPr>
        <w:pStyle w:val="Standard"/>
        <w:rPr>
          <w:b/>
        </w:rPr>
      </w:pPr>
    </w:p>
    <w:p w:rsidR="005F11DC" w:rsidRDefault="005F11DC">
      <w:pPr>
        <w:pStyle w:val="Standard"/>
        <w:rPr>
          <w:b/>
        </w:rPr>
      </w:pPr>
    </w:p>
    <w:p w:rsidR="005F11DC" w:rsidRDefault="005F11DC">
      <w:pPr>
        <w:pStyle w:val="Standard"/>
        <w:rPr>
          <w:b/>
        </w:rPr>
      </w:pPr>
    </w:p>
    <w:p w:rsidR="005F11DC" w:rsidRDefault="005F11DC">
      <w:pPr>
        <w:pStyle w:val="Standard"/>
        <w:rPr>
          <w:b/>
        </w:rPr>
      </w:pPr>
    </w:p>
    <w:p w:rsidR="005F11DC" w:rsidRDefault="005F11DC">
      <w:pPr>
        <w:pStyle w:val="Standard"/>
        <w:rPr>
          <w:b/>
        </w:rPr>
      </w:pPr>
    </w:p>
    <w:p w:rsidR="005F11DC" w:rsidRDefault="005F11DC">
      <w:pPr>
        <w:pStyle w:val="Standard"/>
        <w:rPr>
          <w:b/>
        </w:rPr>
      </w:pPr>
    </w:p>
    <w:p w:rsidR="005F11DC" w:rsidRDefault="005F11DC">
      <w:pPr>
        <w:pStyle w:val="Standard"/>
        <w:rPr>
          <w:b/>
        </w:rPr>
      </w:pPr>
    </w:p>
    <w:p w:rsidR="005F11DC" w:rsidRDefault="005F11DC">
      <w:pPr>
        <w:pStyle w:val="Standard"/>
        <w:rPr>
          <w:b/>
        </w:rPr>
      </w:pPr>
    </w:p>
    <w:p w:rsidR="005F11DC" w:rsidRDefault="005F11DC">
      <w:pPr>
        <w:pStyle w:val="Standard"/>
        <w:rPr>
          <w:b/>
        </w:rPr>
      </w:pPr>
    </w:p>
    <w:p w:rsidR="005F11DC" w:rsidRDefault="005F11DC">
      <w:pPr>
        <w:pStyle w:val="Standard"/>
        <w:rPr>
          <w:b/>
        </w:rPr>
      </w:pPr>
    </w:p>
    <w:p w:rsidR="005F11DC" w:rsidRDefault="005F11DC">
      <w:pPr>
        <w:pStyle w:val="Standard"/>
        <w:rPr>
          <w:b/>
        </w:rPr>
      </w:pPr>
    </w:p>
    <w:p w:rsidR="005F11DC" w:rsidRDefault="005F11DC">
      <w:pPr>
        <w:pStyle w:val="Standard"/>
        <w:rPr>
          <w:b/>
        </w:rPr>
      </w:pPr>
    </w:p>
    <w:p w:rsidR="005F11DC" w:rsidRDefault="00352429">
      <w:pPr>
        <w:pStyle w:val="Standard"/>
      </w:pPr>
      <w:proofErr w:type="gramStart"/>
      <w:r>
        <w:rPr>
          <w:b/>
        </w:rPr>
        <w:t>Table 4.</w:t>
      </w:r>
      <w:proofErr w:type="gramEnd"/>
      <w:r>
        <w:rPr>
          <w:b/>
        </w:rPr>
        <w:t xml:space="preserve">  </w:t>
      </w:r>
      <w:r>
        <w:t>Key for matching sample IDs from manuscript to sample designations in GEO</w:t>
      </w:r>
    </w:p>
    <w:p w:rsidR="005F11DC" w:rsidRDefault="00352429">
      <w:pPr>
        <w:pStyle w:val="Standard"/>
        <w:pageBreakBefore/>
      </w:pPr>
      <w:r>
        <w:rPr>
          <w:b/>
        </w:rPr>
        <w:lastRenderedPageBreak/>
        <w:t>References</w:t>
      </w:r>
    </w:p>
    <w:p w:rsidR="005F11DC" w:rsidRDefault="00352429">
      <w:pPr>
        <w:pStyle w:val="EndNoteBibliography"/>
      </w:pPr>
      <w:r>
        <w:t>1.</w:t>
      </w:r>
      <w:r>
        <w:tab/>
      </w:r>
      <w:proofErr w:type="spellStart"/>
      <w:r>
        <w:t>Zheng</w:t>
      </w:r>
      <w:proofErr w:type="spellEnd"/>
      <w:r>
        <w:t xml:space="preserve"> GX, Terry JM, </w:t>
      </w:r>
      <w:proofErr w:type="spellStart"/>
      <w:r>
        <w:t>Belgrader</w:t>
      </w:r>
      <w:proofErr w:type="spellEnd"/>
      <w:r>
        <w:t xml:space="preserve"> P, </w:t>
      </w:r>
      <w:proofErr w:type="spellStart"/>
      <w:r>
        <w:t>Ryvkin</w:t>
      </w:r>
      <w:proofErr w:type="spellEnd"/>
      <w:r>
        <w:t xml:space="preserve"> P, Bent ZW, </w:t>
      </w:r>
      <w:r>
        <w:t xml:space="preserve">Wilson R, et al. </w:t>
      </w:r>
      <w:proofErr w:type="gramStart"/>
      <w:r>
        <w:t>Massively</w:t>
      </w:r>
      <w:proofErr w:type="gramEnd"/>
      <w:r>
        <w:t xml:space="preserve"> parallel digital transcriptional profiling of single cells. Nat </w:t>
      </w:r>
      <w:proofErr w:type="spellStart"/>
      <w:r>
        <w:t>Commun</w:t>
      </w:r>
      <w:proofErr w:type="spellEnd"/>
      <w:r>
        <w:t>. 2017 Jan 16; 8:14049.</w:t>
      </w:r>
    </w:p>
    <w:p w:rsidR="005F11DC" w:rsidRDefault="00352429">
      <w:pPr>
        <w:pStyle w:val="EndNoteBibliography"/>
      </w:pPr>
      <w:r>
        <w:t>2.</w:t>
      </w:r>
      <w:r>
        <w:tab/>
        <w:t xml:space="preserve">Islam S, </w:t>
      </w:r>
      <w:proofErr w:type="spellStart"/>
      <w:r>
        <w:t>Zeisel</w:t>
      </w:r>
      <w:proofErr w:type="spellEnd"/>
      <w:r>
        <w:t xml:space="preserve"> A, </w:t>
      </w:r>
      <w:proofErr w:type="spellStart"/>
      <w:r>
        <w:t>Joost</w:t>
      </w:r>
      <w:proofErr w:type="spellEnd"/>
      <w:r>
        <w:t xml:space="preserve"> S, La </w:t>
      </w:r>
      <w:proofErr w:type="spellStart"/>
      <w:r>
        <w:t>Manno</w:t>
      </w:r>
      <w:proofErr w:type="spellEnd"/>
      <w:r>
        <w:t xml:space="preserve"> G, </w:t>
      </w:r>
      <w:proofErr w:type="spellStart"/>
      <w:r>
        <w:t>Zajac</w:t>
      </w:r>
      <w:proofErr w:type="spellEnd"/>
      <w:r>
        <w:t xml:space="preserve"> P, Kasper M, et al. Quantitative single-cell RNA-</w:t>
      </w:r>
      <w:proofErr w:type="spellStart"/>
      <w:r>
        <w:t>seq</w:t>
      </w:r>
      <w:proofErr w:type="spellEnd"/>
      <w:r>
        <w:t xml:space="preserve"> with unique molecular identifiers</w:t>
      </w:r>
      <w:r>
        <w:t xml:space="preserve">. </w:t>
      </w:r>
      <w:proofErr w:type="gramStart"/>
      <w:r>
        <w:t>Nat Methods.</w:t>
      </w:r>
      <w:proofErr w:type="gramEnd"/>
      <w:r>
        <w:t xml:space="preserve"> 2014 Feb; 11(2):163-166.</w:t>
      </w:r>
    </w:p>
    <w:p w:rsidR="005F11DC" w:rsidRDefault="00352429">
      <w:pPr>
        <w:pStyle w:val="EndNoteBibliography"/>
      </w:pPr>
      <w:r>
        <w:t>3.</w:t>
      </w:r>
      <w:r>
        <w:tab/>
      </w:r>
      <w:proofErr w:type="spellStart"/>
      <w:r>
        <w:t>Stoeckius</w:t>
      </w:r>
      <w:proofErr w:type="spellEnd"/>
      <w:r>
        <w:t xml:space="preserve"> M, </w:t>
      </w:r>
      <w:proofErr w:type="spellStart"/>
      <w:r>
        <w:t>Hafemeister</w:t>
      </w:r>
      <w:proofErr w:type="spellEnd"/>
      <w:r>
        <w:t xml:space="preserve"> C, Stephenson W, Houck-Loomis B, </w:t>
      </w:r>
      <w:proofErr w:type="spellStart"/>
      <w:r>
        <w:t>Chattopadhyay</w:t>
      </w:r>
      <w:proofErr w:type="spellEnd"/>
      <w:r>
        <w:t xml:space="preserve"> PK, </w:t>
      </w:r>
      <w:proofErr w:type="spellStart"/>
      <w:r>
        <w:t>Swerdlow</w:t>
      </w:r>
      <w:proofErr w:type="spellEnd"/>
      <w:r>
        <w:t xml:space="preserve"> H, et al. Simultaneous </w:t>
      </w:r>
      <w:proofErr w:type="spellStart"/>
      <w:r>
        <w:t>epitope</w:t>
      </w:r>
      <w:proofErr w:type="spellEnd"/>
      <w:r>
        <w:t xml:space="preserve"> and </w:t>
      </w:r>
      <w:proofErr w:type="spellStart"/>
      <w:r>
        <w:t>transcriptome</w:t>
      </w:r>
      <w:proofErr w:type="spellEnd"/>
      <w:r>
        <w:t xml:space="preserve"> measurement in single cells. </w:t>
      </w:r>
      <w:proofErr w:type="gramStart"/>
      <w:r>
        <w:t>Nat Methods.</w:t>
      </w:r>
      <w:proofErr w:type="gramEnd"/>
      <w:r>
        <w:t xml:space="preserve"> 2017 Sep; 14(9):865-868.</w:t>
      </w:r>
    </w:p>
    <w:p w:rsidR="005F11DC" w:rsidRDefault="00352429">
      <w:pPr>
        <w:pStyle w:val="EndNoteBibliography"/>
      </w:pPr>
      <w:r>
        <w:t>4.</w:t>
      </w:r>
      <w:r>
        <w:tab/>
      </w:r>
      <w:proofErr w:type="spellStart"/>
      <w:r>
        <w:t>Stoeckius</w:t>
      </w:r>
      <w:proofErr w:type="spellEnd"/>
      <w:r>
        <w:t xml:space="preserve"> M, </w:t>
      </w:r>
      <w:proofErr w:type="spellStart"/>
      <w:r>
        <w:t>Zheng</w:t>
      </w:r>
      <w:proofErr w:type="spellEnd"/>
      <w:r>
        <w:t xml:space="preserve"> S, Houck-Loomis B, </w:t>
      </w:r>
      <w:proofErr w:type="spellStart"/>
      <w:r>
        <w:t>Hao</w:t>
      </w:r>
      <w:proofErr w:type="spellEnd"/>
      <w:r>
        <w:t xml:space="preserve"> S, </w:t>
      </w:r>
      <w:proofErr w:type="spellStart"/>
      <w:r>
        <w:t>Yeung</w:t>
      </w:r>
      <w:proofErr w:type="spellEnd"/>
      <w:r>
        <w:t xml:space="preserve"> BZ, </w:t>
      </w:r>
      <w:proofErr w:type="spellStart"/>
      <w:r>
        <w:t>Mauck</w:t>
      </w:r>
      <w:proofErr w:type="spellEnd"/>
      <w:r>
        <w:t xml:space="preserve"> WM, 3rd, et al. Cell Hashing with </w:t>
      </w:r>
      <w:proofErr w:type="spellStart"/>
      <w:r>
        <w:t>barcoded</w:t>
      </w:r>
      <w:proofErr w:type="spellEnd"/>
      <w:r>
        <w:t xml:space="preserve"> antibodies enables multiplexing and doublet detection for single cell genomics. Genome Biol. 2018 Dec 19; 19(1):224.</w:t>
      </w:r>
    </w:p>
    <w:p w:rsidR="005F11DC" w:rsidRDefault="00352429">
      <w:pPr>
        <w:pStyle w:val="EndNoteBibliography"/>
      </w:pPr>
      <w:r>
        <w:t>5.</w:t>
      </w:r>
      <w:r>
        <w:tab/>
        <w:t xml:space="preserve">Butler A, Hoffman P, Smibert P, </w:t>
      </w:r>
      <w:proofErr w:type="spellStart"/>
      <w:r>
        <w:t>Papalexi</w:t>
      </w:r>
      <w:proofErr w:type="spellEnd"/>
      <w:r>
        <w:t xml:space="preserve"> </w:t>
      </w:r>
      <w:r>
        <w:t xml:space="preserve">E, </w:t>
      </w:r>
      <w:proofErr w:type="spellStart"/>
      <w:r>
        <w:t>Satija</w:t>
      </w:r>
      <w:proofErr w:type="spellEnd"/>
      <w:r>
        <w:t xml:space="preserve"> R. Integrating single-cell </w:t>
      </w:r>
      <w:proofErr w:type="spellStart"/>
      <w:r>
        <w:t>transcriptomic</w:t>
      </w:r>
      <w:proofErr w:type="spellEnd"/>
      <w:r>
        <w:t xml:space="preserve"> data across different conditions, technologies, and species. Nat </w:t>
      </w:r>
      <w:proofErr w:type="spellStart"/>
      <w:r>
        <w:t>Biotechnol</w:t>
      </w:r>
      <w:proofErr w:type="spellEnd"/>
      <w:r>
        <w:t>. 2018 Jun; 36(5):411-420.</w:t>
      </w:r>
    </w:p>
    <w:p w:rsidR="005F11DC" w:rsidRDefault="00352429">
      <w:pPr>
        <w:pStyle w:val="EndNoteBibliography"/>
      </w:pPr>
      <w:r>
        <w:t>6.</w:t>
      </w:r>
      <w:r>
        <w:tab/>
      </w:r>
      <w:proofErr w:type="spellStart"/>
      <w:r>
        <w:t>Ilicic</w:t>
      </w:r>
      <w:proofErr w:type="spellEnd"/>
      <w:r>
        <w:t xml:space="preserve"> T, Kim JK, </w:t>
      </w:r>
      <w:proofErr w:type="spellStart"/>
      <w:r>
        <w:t>Kolodziejczyk</w:t>
      </w:r>
      <w:proofErr w:type="spellEnd"/>
      <w:r>
        <w:t xml:space="preserve"> AA, Bagger FO, McCarthy DJ, </w:t>
      </w:r>
      <w:proofErr w:type="spellStart"/>
      <w:r>
        <w:t>Marioni</w:t>
      </w:r>
      <w:proofErr w:type="spellEnd"/>
      <w:r>
        <w:t xml:space="preserve"> JC, et al. Classification of lo</w:t>
      </w:r>
      <w:r>
        <w:t>w quality cells from single-cell RNA-</w:t>
      </w:r>
      <w:proofErr w:type="spellStart"/>
      <w:r>
        <w:t>seq</w:t>
      </w:r>
      <w:proofErr w:type="spellEnd"/>
      <w:r>
        <w:t xml:space="preserve"> data. </w:t>
      </w:r>
      <w:proofErr w:type="gramStart"/>
      <w:r>
        <w:t>Genome Biol. 2016 Feb 17; 17:29.</w:t>
      </w:r>
      <w:proofErr w:type="gramEnd"/>
    </w:p>
    <w:p w:rsidR="005F11DC" w:rsidRDefault="00352429">
      <w:pPr>
        <w:pStyle w:val="EndNoteBibliography"/>
      </w:pPr>
      <w:r>
        <w:t>7.</w:t>
      </w:r>
      <w:r>
        <w:tab/>
        <w:t xml:space="preserve">Huang </w:t>
      </w:r>
      <w:proofErr w:type="spellStart"/>
      <w:r>
        <w:t>da</w:t>
      </w:r>
      <w:proofErr w:type="spellEnd"/>
      <w:r>
        <w:t xml:space="preserve"> W, Sherman BT, </w:t>
      </w:r>
      <w:proofErr w:type="spellStart"/>
      <w:r>
        <w:t>Lempicki</w:t>
      </w:r>
      <w:proofErr w:type="spellEnd"/>
      <w:r>
        <w:t xml:space="preserve"> RA. Bioinformatics enrichment tools: paths toward the comprehensive functional analysis of large gene lists. Nucleic Acids Res. 2009 Jan; 37</w:t>
      </w:r>
      <w:r>
        <w:t>(1):1-13.</w:t>
      </w:r>
    </w:p>
    <w:p w:rsidR="005F11DC" w:rsidRDefault="00352429">
      <w:pPr>
        <w:pStyle w:val="EndNoteBibliography"/>
      </w:pPr>
      <w:r>
        <w:t>8.</w:t>
      </w:r>
      <w:r>
        <w:tab/>
        <w:t xml:space="preserve">Huang DW, Sherman BT, Tan Q, </w:t>
      </w:r>
      <w:proofErr w:type="spellStart"/>
      <w:r>
        <w:t>Kir</w:t>
      </w:r>
      <w:proofErr w:type="spellEnd"/>
      <w:r>
        <w:t xml:space="preserve"> J, Liu D, </w:t>
      </w:r>
      <w:proofErr w:type="gramStart"/>
      <w:r>
        <w:t>Bryant</w:t>
      </w:r>
      <w:proofErr w:type="gramEnd"/>
      <w:r>
        <w:t xml:space="preserve"> D, et al. DAVID Bioinformatics Resources: expanded annotation database and novel algorithms to better extract biology from large gene lists. Nucleic Acids Res. 2007 Jul; 35(Web Server issue):W1</w:t>
      </w:r>
      <w:r>
        <w:t>69-175.</w:t>
      </w:r>
    </w:p>
    <w:p w:rsidR="005F11DC" w:rsidRDefault="005F11DC">
      <w:pPr>
        <w:pStyle w:val="Standard"/>
      </w:pPr>
    </w:p>
    <w:p w:rsidR="005F11DC" w:rsidRDefault="005F11DC">
      <w:pPr>
        <w:pStyle w:val="Standard"/>
      </w:pPr>
    </w:p>
    <w:sectPr w:rsidR="005F11DC" w:rsidSect="005F11DC">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1DC" w:rsidRDefault="005F11DC" w:rsidP="005F11DC">
      <w:r>
        <w:separator/>
      </w:r>
    </w:p>
  </w:endnote>
  <w:endnote w:type="continuationSeparator" w:id="0">
    <w:p w:rsidR="005F11DC" w:rsidRDefault="005F11DC" w:rsidP="005F11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F">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00000000" w:usb1="00000000" w:usb2="00000000" w:usb3="00000000" w:csb0="00000000" w:csb1="00000000"/>
  </w:font>
  <w:font w:name="WenQuanYi Micro Hei">
    <w:charset w:val="00"/>
    <w:family w:val="auto"/>
    <w:pitch w:val="variable"/>
    <w:sig w:usb0="00000000" w:usb1="00000000" w:usb2="00000000" w:usb3="00000000" w:csb0="00000000" w:csb1="00000000"/>
  </w:font>
  <w:font w:name="Lohit Devanagari">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1DC" w:rsidRDefault="00352429" w:rsidP="005F11DC">
      <w:r w:rsidRPr="005F11DC">
        <w:rPr>
          <w:color w:val="000000"/>
        </w:rPr>
        <w:separator/>
      </w:r>
    </w:p>
  </w:footnote>
  <w:footnote w:type="continuationSeparator" w:id="0">
    <w:p w:rsidR="005F11DC" w:rsidRDefault="005F11DC" w:rsidP="005F11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824E9"/>
    <w:multiLevelType w:val="multilevel"/>
    <w:tmpl w:val="961C5F70"/>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autoHyphenation/>
  <w:characterSpacingControl w:val="doNotCompress"/>
  <w:footnotePr>
    <w:footnote w:id="-1"/>
    <w:footnote w:id="0"/>
  </w:footnotePr>
  <w:endnotePr>
    <w:endnote w:id="-1"/>
    <w:endnote w:id="0"/>
  </w:endnotePr>
  <w:compat/>
  <w:rsids>
    <w:rsidRoot w:val="005F11DC"/>
    <w:rsid w:val="00352429"/>
    <w:rsid w:val="005F1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F"/>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F11DC"/>
    <w:pPr>
      <w:widowControl/>
    </w:pPr>
    <w:rPr>
      <w:rFonts w:ascii="Times New Roman" w:eastAsia="Times New Roman" w:hAnsi="Times New Roman" w:cs="Times New Roman"/>
    </w:rPr>
  </w:style>
  <w:style w:type="paragraph" w:customStyle="1" w:styleId="Heading">
    <w:name w:val="Heading"/>
    <w:basedOn w:val="Standard"/>
    <w:next w:val="Textbody"/>
    <w:rsid w:val="005F11DC"/>
    <w:pPr>
      <w:keepNext/>
      <w:spacing w:before="240" w:after="120"/>
    </w:pPr>
    <w:rPr>
      <w:rFonts w:ascii="Liberation Sans" w:eastAsia="WenQuanYi Micro Hei" w:hAnsi="Liberation Sans" w:cs="Lohit Devanagari"/>
      <w:sz w:val="28"/>
      <w:szCs w:val="28"/>
    </w:rPr>
  </w:style>
  <w:style w:type="paragraph" w:customStyle="1" w:styleId="Textbody">
    <w:name w:val="Text body"/>
    <w:basedOn w:val="Standard"/>
    <w:rsid w:val="005F11DC"/>
    <w:pPr>
      <w:spacing w:after="140" w:line="288" w:lineRule="auto"/>
    </w:pPr>
  </w:style>
  <w:style w:type="paragraph" w:styleId="List">
    <w:name w:val="List"/>
    <w:basedOn w:val="Textbody"/>
    <w:rsid w:val="005F11DC"/>
    <w:rPr>
      <w:rFonts w:cs="Lohit Devanagari"/>
    </w:rPr>
  </w:style>
  <w:style w:type="paragraph" w:styleId="Caption">
    <w:name w:val="caption"/>
    <w:basedOn w:val="Standard"/>
    <w:rsid w:val="005F11DC"/>
    <w:pPr>
      <w:suppressLineNumbers/>
      <w:spacing w:before="120" w:after="120"/>
    </w:pPr>
    <w:rPr>
      <w:rFonts w:cs="Lohit Devanagari"/>
      <w:i/>
      <w:iCs/>
    </w:rPr>
  </w:style>
  <w:style w:type="paragraph" w:customStyle="1" w:styleId="Index">
    <w:name w:val="Index"/>
    <w:basedOn w:val="Standard"/>
    <w:rsid w:val="005F11DC"/>
    <w:pPr>
      <w:suppressLineNumbers/>
    </w:pPr>
    <w:rPr>
      <w:rFonts w:cs="Lohit Devanagari"/>
    </w:rPr>
  </w:style>
  <w:style w:type="paragraph" w:customStyle="1" w:styleId="EndNoteBibliographyTitle">
    <w:name w:val="EndNote Bibliography Title"/>
    <w:basedOn w:val="Standard"/>
    <w:rsid w:val="005F11DC"/>
    <w:pPr>
      <w:jc w:val="center"/>
    </w:pPr>
  </w:style>
  <w:style w:type="paragraph" w:customStyle="1" w:styleId="EndNoteBibliography">
    <w:name w:val="EndNote Bibliography"/>
    <w:basedOn w:val="Standard"/>
    <w:rsid w:val="005F11DC"/>
  </w:style>
  <w:style w:type="paragraph" w:styleId="BalloonText">
    <w:name w:val="Balloon Text"/>
    <w:basedOn w:val="Standard"/>
    <w:rsid w:val="005F11DC"/>
    <w:rPr>
      <w:sz w:val="18"/>
      <w:szCs w:val="18"/>
    </w:rPr>
  </w:style>
  <w:style w:type="paragraph" w:styleId="Revision">
    <w:name w:val="Revision"/>
    <w:rsid w:val="005F11DC"/>
    <w:pPr>
      <w:widowControl/>
    </w:pPr>
    <w:rPr>
      <w:rFonts w:ascii="Times New Roman" w:eastAsia="Times New Roman" w:hAnsi="Times New Roman" w:cs="Times New Roman"/>
    </w:rPr>
  </w:style>
  <w:style w:type="paragraph" w:customStyle="1" w:styleId="Framecontents">
    <w:name w:val="Frame contents"/>
    <w:basedOn w:val="Standard"/>
    <w:rsid w:val="005F11DC"/>
  </w:style>
  <w:style w:type="character" w:customStyle="1" w:styleId="EndNoteBibliographyTitleChar">
    <w:name w:val="EndNote Bibliography Title Char"/>
    <w:basedOn w:val="DefaultParagraphFont"/>
    <w:rsid w:val="005F11DC"/>
    <w:rPr>
      <w:rFonts w:ascii="Times New Roman" w:eastAsia="Times New Roman" w:hAnsi="Times New Roman" w:cs="Times New Roman"/>
    </w:rPr>
  </w:style>
  <w:style w:type="character" w:customStyle="1" w:styleId="EndNoteBibliographyChar">
    <w:name w:val="EndNote Bibliography Char"/>
    <w:basedOn w:val="DefaultParagraphFont"/>
    <w:rsid w:val="005F11DC"/>
    <w:rPr>
      <w:rFonts w:ascii="Times New Roman" w:eastAsia="Times New Roman" w:hAnsi="Times New Roman" w:cs="Times New Roman"/>
    </w:rPr>
  </w:style>
  <w:style w:type="character" w:customStyle="1" w:styleId="BalloonTextChar">
    <w:name w:val="Balloon Text Char"/>
    <w:basedOn w:val="DefaultParagraphFont"/>
    <w:rsid w:val="005F11DC"/>
    <w:rPr>
      <w:rFonts w:ascii="Times New Roman" w:eastAsia="Times New Roman" w:hAnsi="Times New Roman" w:cs="Times New Roman"/>
      <w:sz w:val="18"/>
      <w:szCs w:val="18"/>
    </w:rPr>
  </w:style>
  <w:style w:type="numbering" w:customStyle="1" w:styleId="NoList1">
    <w:name w:val="No List_1"/>
    <w:basedOn w:val="NoList"/>
    <w:rsid w:val="005F11DC"/>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1959</Words>
  <Characters>11167</Characters>
  <Application>Microsoft Office Word</Application>
  <DocSecurity>0</DocSecurity>
  <Lines>93</Lines>
  <Paragraphs>26</Paragraphs>
  <ScaleCrop>false</ScaleCrop>
  <Company/>
  <LinksUpToDate>false</LinksUpToDate>
  <CharactersWithSpaces>13100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Valenzi, Eleanor</dc:creator>
  <cp:lastModifiedBy>Windows User</cp:lastModifiedBy>
  <cp:revision>1</cp:revision>
  <dcterms:created xsi:type="dcterms:W3CDTF">2019-06-28T14:39:00Z</dcterms:created>
  <dcterms:modified xsi:type="dcterms:W3CDTF">2019-09-12T10:29:00Z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