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5250" w14:textId="77777777" w:rsidR="00BF1BE1" w:rsidRPr="00665E5E" w:rsidRDefault="00665E5E">
      <w:pPr>
        <w:rPr>
          <w:rFonts w:ascii="Arial" w:hAnsi="Arial"/>
        </w:rPr>
      </w:pPr>
      <w:bookmarkStart w:id="0" w:name="_GoBack"/>
      <w:bookmarkEnd w:id="0"/>
      <w:r w:rsidRPr="00665E5E">
        <w:rPr>
          <w:rFonts w:ascii="Arial" w:hAnsi="Arial"/>
        </w:rPr>
        <w:t>Supplementary methods</w:t>
      </w:r>
    </w:p>
    <w:p w14:paraId="1D69C9F7" w14:textId="77777777" w:rsidR="00665E5E" w:rsidRDefault="00665E5E" w:rsidP="00665E5E">
      <w:pPr>
        <w:spacing w:line="360" w:lineRule="auto"/>
        <w:rPr>
          <w:rFonts w:ascii="Arial" w:hAnsi="Arial"/>
        </w:rPr>
      </w:pPr>
    </w:p>
    <w:p w14:paraId="7E75C8CA" w14:textId="77777777" w:rsidR="00665E5E" w:rsidRDefault="00665E5E" w:rsidP="00665E5E">
      <w:pPr>
        <w:spacing w:line="360" w:lineRule="auto"/>
        <w:rPr>
          <w:rFonts w:ascii="Arial" w:hAnsi="Arial"/>
        </w:rPr>
      </w:pPr>
      <w:r w:rsidRPr="00665E5E">
        <w:rPr>
          <w:rFonts w:ascii="Arial" w:hAnsi="Arial"/>
          <w:b/>
        </w:rPr>
        <w:t>Materials:</w:t>
      </w:r>
      <w:r>
        <w:rPr>
          <w:rFonts w:ascii="Arial" w:hAnsi="Arial"/>
        </w:rPr>
        <w:t xml:space="preserve"> </w:t>
      </w:r>
      <w:proofErr w:type="spellStart"/>
      <w:r w:rsidRPr="00392596">
        <w:rPr>
          <w:rFonts w:ascii="Arial" w:hAnsi="Arial"/>
        </w:rPr>
        <w:t>Heparintinase</w:t>
      </w:r>
      <w:proofErr w:type="spellEnd"/>
      <w:r w:rsidRPr="00392596">
        <w:rPr>
          <w:rFonts w:ascii="Arial" w:hAnsi="Arial"/>
        </w:rPr>
        <w:t xml:space="preserve"> I was from </w:t>
      </w:r>
      <w:proofErr w:type="spellStart"/>
      <w:r w:rsidRPr="00392596">
        <w:rPr>
          <w:rFonts w:ascii="Arial" w:hAnsi="Arial"/>
        </w:rPr>
        <w:t>Calbiochem</w:t>
      </w:r>
      <w:proofErr w:type="spellEnd"/>
      <w:r w:rsidRPr="00392596">
        <w:rPr>
          <w:rFonts w:ascii="Arial" w:hAnsi="Arial"/>
        </w:rPr>
        <w:t xml:space="preserve"> and </w:t>
      </w:r>
      <w:proofErr w:type="spellStart"/>
      <w:r w:rsidRPr="00392596">
        <w:rPr>
          <w:rFonts w:ascii="Arial" w:hAnsi="Arial"/>
        </w:rPr>
        <w:t>chondroitinase</w:t>
      </w:r>
      <w:proofErr w:type="spellEnd"/>
      <w:r w:rsidRPr="00392596">
        <w:rPr>
          <w:rFonts w:ascii="Arial" w:hAnsi="Arial"/>
        </w:rPr>
        <w:t xml:space="preserve"> ABC was </w:t>
      </w:r>
      <w:proofErr w:type="spellStart"/>
      <w:r w:rsidRPr="00392596">
        <w:rPr>
          <w:rFonts w:ascii="Arial" w:hAnsi="Arial"/>
        </w:rPr>
        <w:t>Seikagaku</w:t>
      </w:r>
      <w:proofErr w:type="spellEnd"/>
      <w:r w:rsidRPr="00392596">
        <w:rPr>
          <w:rFonts w:ascii="Arial" w:hAnsi="Arial"/>
        </w:rPr>
        <w:t xml:space="preserve"> Corp. Antibodies to </w:t>
      </w:r>
      <w:proofErr w:type="spellStart"/>
      <w:r w:rsidRPr="00392596">
        <w:rPr>
          <w:rFonts w:ascii="Arial" w:hAnsi="Arial"/>
        </w:rPr>
        <w:t>perlecan</w:t>
      </w:r>
      <w:proofErr w:type="spellEnd"/>
      <w:r w:rsidRPr="00392596">
        <w:rPr>
          <w:rFonts w:ascii="Arial" w:hAnsi="Arial"/>
        </w:rPr>
        <w:t xml:space="preserve"> (MAB1948) were from </w:t>
      </w:r>
      <w:proofErr w:type="spellStart"/>
      <w:r w:rsidRPr="00392596">
        <w:rPr>
          <w:rFonts w:ascii="Arial" w:hAnsi="Arial"/>
        </w:rPr>
        <w:t>Chemicon</w:t>
      </w:r>
      <w:proofErr w:type="spellEnd"/>
      <w:proofErr w:type="gramStart"/>
      <w:r w:rsidRPr="00392596">
        <w:rPr>
          <w:rFonts w:ascii="Arial" w:hAnsi="Arial"/>
        </w:rPr>
        <w:t>;  CTGF</w:t>
      </w:r>
      <w:proofErr w:type="gramEnd"/>
      <w:r w:rsidRPr="00392596">
        <w:rPr>
          <w:rFonts w:ascii="Arial" w:hAnsi="Arial"/>
        </w:rPr>
        <w:t xml:space="preserve"> (sc-14939) and LTBP1 (sc-271140) were from Santa Cruz; TGFβ1,2,3 (neutralising) (MAB1835) and LAP1 (AB-246-NA) were from R&amp;D systems; Type VI collagen (ab6588) and </w:t>
      </w:r>
      <w:proofErr w:type="spellStart"/>
      <w:r w:rsidRPr="00392596">
        <w:rPr>
          <w:rFonts w:ascii="Arial" w:hAnsi="Arial"/>
        </w:rPr>
        <w:t>betaglycan</w:t>
      </w:r>
      <w:proofErr w:type="spellEnd"/>
      <w:r w:rsidRPr="00392596">
        <w:rPr>
          <w:rFonts w:ascii="Arial" w:hAnsi="Arial"/>
        </w:rPr>
        <w:t xml:space="preserve"> (ab18885) were from </w:t>
      </w:r>
      <w:proofErr w:type="spellStart"/>
      <w:r w:rsidRPr="00392596">
        <w:rPr>
          <w:rFonts w:ascii="Arial" w:hAnsi="Arial"/>
        </w:rPr>
        <w:t>Abcam</w:t>
      </w:r>
      <w:proofErr w:type="spellEnd"/>
      <w:r w:rsidRPr="00392596">
        <w:rPr>
          <w:rFonts w:ascii="Arial" w:hAnsi="Arial"/>
        </w:rPr>
        <w:t>; integrin β1 (anti-CD29,</w:t>
      </w:r>
      <w:r w:rsidRPr="00392596">
        <w:rPr>
          <w:rFonts w:ascii="Arial" w:hAnsi="Arial" w:cs="Arial"/>
          <w:color w:val="FFFF0B"/>
          <w:sz w:val="48"/>
          <w:szCs w:val="48"/>
          <w:lang w:val="en-US"/>
        </w:rPr>
        <w:t xml:space="preserve"> </w:t>
      </w:r>
      <w:r w:rsidRPr="00392596">
        <w:rPr>
          <w:rFonts w:ascii="Arial" w:hAnsi="Arial"/>
        </w:rPr>
        <w:t xml:space="preserve">102209), β3 (CD61, 104309) and αV (CD 51, 327904) from </w:t>
      </w:r>
      <w:proofErr w:type="spellStart"/>
      <w:r w:rsidRPr="00392596">
        <w:rPr>
          <w:rFonts w:ascii="Arial" w:hAnsi="Arial"/>
        </w:rPr>
        <w:t>Biolegend</w:t>
      </w:r>
      <w:proofErr w:type="spellEnd"/>
      <w:r w:rsidRPr="00392596">
        <w:rPr>
          <w:rFonts w:ascii="Arial" w:hAnsi="Arial"/>
        </w:rPr>
        <w:t xml:space="preserve">; TGFβ1,2,3 (3711), phosphorylated SMAD2 (pSMAD2) (138D4), phosphorylated SMAD1/5 (pSMAD1/5) (41D10) and SMAD2 (86F7) were from cell signalling, All </w:t>
      </w:r>
      <w:proofErr w:type="spellStart"/>
      <w:r w:rsidRPr="00392596">
        <w:rPr>
          <w:rFonts w:ascii="Arial" w:hAnsi="Arial"/>
        </w:rPr>
        <w:t>Alexa</w:t>
      </w:r>
      <w:proofErr w:type="spellEnd"/>
      <w:r w:rsidRPr="00392596">
        <w:rPr>
          <w:rFonts w:ascii="Arial" w:hAnsi="Arial"/>
        </w:rPr>
        <w:t xml:space="preserve"> abs were from Invitrogen. Recombinant human TGFβ1 (112 </w:t>
      </w:r>
      <w:proofErr w:type="spellStart"/>
      <w:r w:rsidRPr="00392596">
        <w:rPr>
          <w:rFonts w:ascii="Arial" w:hAnsi="Arial"/>
        </w:rPr>
        <w:t>aa</w:t>
      </w:r>
      <w:proofErr w:type="spellEnd"/>
      <w:r w:rsidRPr="00392596">
        <w:rPr>
          <w:rFonts w:ascii="Arial" w:hAnsi="Arial"/>
        </w:rPr>
        <w:t xml:space="preserve">) and BMP2 (115aa) were from </w:t>
      </w:r>
      <w:proofErr w:type="spellStart"/>
      <w:r w:rsidRPr="00392596">
        <w:rPr>
          <w:rFonts w:ascii="Arial" w:hAnsi="Arial"/>
        </w:rPr>
        <w:t>Peprotech</w:t>
      </w:r>
      <w:proofErr w:type="spellEnd"/>
      <w:r w:rsidRPr="00392596">
        <w:rPr>
          <w:rFonts w:ascii="Arial" w:hAnsi="Arial"/>
        </w:rPr>
        <w:t xml:space="preserve">.  Recombinant human </w:t>
      </w:r>
      <w:proofErr w:type="spellStart"/>
      <w:r w:rsidRPr="00392596">
        <w:rPr>
          <w:rFonts w:ascii="Arial" w:hAnsi="Arial"/>
        </w:rPr>
        <w:t>activin</w:t>
      </w:r>
      <w:proofErr w:type="spellEnd"/>
      <w:r w:rsidRPr="00392596">
        <w:rPr>
          <w:rFonts w:ascii="Arial" w:hAnsi="Arial"/>
        </w:rPr>
        <w:t xml:space="preserve"> A, ALK4/5 inhibitor (SB431542) and soluble human </w:t>
      </w:r>
      <w:proofErr w:type="spellStart"/>
      <w:r w:rsidRPr="00392596">
        <w:rPr>
          <w:rFonts w:ascii="Arial" w:hAnsi="Arial"/>
        </w:rPr>
        <w:t>betaglycan</w:t>
      </w:r>
      <w:proofErr w:type="spellEnd"/>
      <w:r w:rsidRPr="00392596">
        <w:rPr>
          <w:rFonts w:ascii="Arial" w:hAnsi="Arial"/>
        </w:rPr>
        <w:t xml:space="preserve"> (TGF</w:t>
      </w:r>
      <w:r w:rsidRPr="00392596">
        <w:rPr>
          <w:rFonts w:ascii="Arial" w:hAnsi="Arial"/>
        </w:rPr>
        <w:sym w:font="Symbol" w:char="F062"/>
      </w:r>
      <w:r w:rsidRPr="00392596">
        <w:rPr>
          <w:rFonts w:ascii="Arial" w:hAnsi="Arial"/>
        </w:rPr>
        <w:t xml:space="preserve">R3) were from R&amp;D systems. </w:t>
      </w:r>
      <w:proofErr w:type="spellStart"/>
      <w:r w:rsidRPr="00392596">
        <w:rPr>
          <w:rFonts w:ascii="Arial" w:hAnsi="Arial"/>
        </w:rPr>
        <w:t>Perlecan</w:t>
      </w:r>
      <w:proofErr w:type="spellEnd"/>
      <w:r w:rsidRPr="00392596">
        <w:rPr>
          <w:rFonts w:ascii="Arial" w:hAnsi="Arial"/>
        </w:rPr>
        <w:t xml:space="preserve"> was purified from porcine knee articular cartilage as described p</w:t>
      </w:r>
      <w:r>
        <w:rPr>
          <w:rFonts w:ascii="Arial" w:hAnsi="Arial"/>
        </w:rPr>
        <w:t xml:space="preserve">reviously </w:t>
      </w:r>
      <w:r>
        <w:rPr>
          <w:rFonts w:ascii="Arial" w:hAnsi="Arial"/>
        </w:rPr>
        <w:fldChar w:fldCharType="begin"/>
      </w:r>
      <w:r>
        <w:rPr>
          <w:rFonts w:ascii="Arial" w:hAnsi="Arial"/>
        </w:rPr>
        <w:instrText xml:space="preserve"> ADDIN PAPERS2_CITATIONS &lt;citation&gt;&lt;uuid&gt;A898A247-9C3E-473C-9250-58BB440CCD07&lt;/uuid&gt;&lt;priority&gt;13&lt;/priority&gt;&lt;publications&gt;&lt;publication&gt;&lt;uuid&gt;FE6DBA94-CD1E-4500-A003-42222D41DB9F&lt;/uuid&gt;&lt;volume&gt;15&lt;/volume&gt;&lt;accepted_date&gt;99200701281200000000222000&lt;/accepted_date&gt;&lt;doi&gt;10.1016/j.joca.2007.01.021&lt;/doi&gt;&lt;startpage&gt;752&lt;/startpage&gt;&lt;publication_date&gt;99200707001200000000220000&lt;/publication_date&gt;&lt;url&gt;http://eutils.ncbi.nlm.nih.gov/entrez/eutils/elink.fcgi?dbfrom=pubmed&amp;amp;id=17368052&amp;amp;retmode=ref&amp;amp;cmd=prlinks&lt;/url&gt;&lt;type&gt;400&lt;/type&gt;&lt;title&gt;FGF-2 is bound to perlecan in the pericellular matrix of articular cartilage, where it acts as a chondrocyte mechanotransducer.&lt;/title&gt;&lt;location&gt;200,4,51.5081289,-0.1280050&lt;/location&gt;&lt;submission_date&gt;99200608131200000000222000&lt;/submission_date&gt;&lt;number&gt;7&lt;/number&gt;&lt;institution&gt;The Kennedy Institute of Rheumatology, Faculty of Medicine, Imperial College School of Science, Technology, and Medicine, London, UK. t.vincent@imperial.ac.uk&lt;/institution&gt;&lt;subtype&gt;400&lt;/subtype&gt;&lt;endpage&gt;763&lt;/endpage&gt;&lt;bundle&gt;&lt;publication&gt;&lt;publisher&gt;Elsevier&lt;/publisher&gt;&lt;title&gt;YJOCA&lt;/title&gt;&lt;type&gt;-100&lt;/type&gt;&lt;subtype&gt;-100&lt;/subtype&gt;&lt;uuid&gt;EBD56D48-FC50-4F30-BD10-188CB1925B5E&lt;/uuid&gt;&lt;/publication&gt;&lt;/bundle&gt;&lt;authors&gt;&lt;author&gt;&lt;firstName&gt;T&lt;/firstName&gt;&lt;middleNames&gt;L&lt;/middleNames&gt;&lt;lastName&gt;Vincent&lt;/lastName&gt;&lt;/author&gt;&lt;author&gt;&lt;firstName&gt;C&lt;/firstName&gt;&lt;middleNames&gt;J&lt;/middleNames&gt;&lt;lastName&gt;McLean&lt;/lastName&gt;&lt;/author&gt;&lt;author&gt;&lt;firstName&gt;L&lt;/firstName&gt;&lt;middleNames&gt;E&lt;/middleNames&gt;&lt;lastName&gt;Full&lt;/lastName&gt;&lt;/author&gt;&lt;author&gt;&lt;firstName&gt;D&lt;/firstName&gt;&lt;lastName&gt;Peston&lt;/lastName&gt;&lt;/author&gt;&lt;author&gt;&lt;firstName&gt;J&lt;/firstName&gt;&lt;lastName&gt;Saklatvala&lt;/lastName&gt;&lt;/author&gt;&lt;/authors&gt;&lt;/publication&gt;&lt;/publications&gt;&lt;cites&gt;&lt;/cites&gt;&lt;/citation&gt;</w:instrText>
      </w:r>
      <w:r>
        <w:rPr>
          <w:rFonts w:ascii="Arial" w:hAnsi="Arial"/>
        </w:rPr>
        <w:fldChar w:fldCharType="separate"/>
      </w:r>
      <w:r>
        <w:rPr>
          <w:rFonts w:ascii="Arial" w:hAnsi="Arial" w:cs="Arial"/>
          <w:lang w:val="en-US"/>
        </w:rPr>
        <w:t>{Vincent:2007dz}</w:t>
      </w:r>
      <w:r>
        <w:rPr>
          <w:rFonts w:ascii="Arial" w:hAnsi="Arial"/>
        </w:rPr>
        <w:fldChar w:fldCharType="end"/>
      </w:r>
      <w:r w:rsidRPr="00392596">
        <w:rPr>
          <w:rFonts w:ascii="Arial" w:hAnsi="Arial"/>
        </w:rPr>
        <w:t xml:space="preserve">. </w:t>
      </w:r>
    </w:p>
    <w:p w14:paraId="07A4F934" w14:textId="77777777" w:rsidR="009777D8" w:rsidRDefault="009777D8" w:rsidP="00665E5E">
      <w:pPr>
        <w:spacing w:line="360" w:lineRule="auto"/>
        <w:rPr>
          <w:rFonts w:ascii="Arial" w:hAnsi="Arial"/>
        </w:rPr>
      </w:pPr>
    </w:p>
    <w:p w14:paraId="2006E508" w14:textId="77777777" w:rsidR="00D5176F" w:rsidRPr="00392596" w:rsidRDefault="00D5176F" w:rsidP="00D5176F">
      <w:pPr>
        <w:spacing w:line="360" w:lineRule="auto"/>
        <w:rPr>
          <w:rFonts w:ascii="Arial" w:hAnsi="Arial"/>
          <w:b/>
        </w:rPr>
      </w:pPr>
      <w:r w:rsidRPr="00392596">
        <w:rPr>
          <w:rFonts w:ascii="Arial" w:hAnsi="Arial"/>
          <w:b/>
        </w:rPr>
        <w:t xml:space="preserve">Recombinant human CTGF protein expression and purification: </w:t>
      </w:r>
      <w:r w:rsidRPr="00392596">
        <w:rPr>
          <w:rFonts w:ascii="Arial" w:hAnsi="Arial"/>
        </w:rPr>
        <w:t xml:space="preserve">His-tagged CTGF construct was </w:t>
      </w:r>
      <w:proofErr w:type="spellStart"/>
      <w:r w:rsidRPr="00392596">
        <w:rPr>
          <w:rFonts w:ascii="Arial" w:hAnsi="Arial"/>
        </w:rPr>
        <w:t>subcloned</w:t>
      </w:r>
      <w:proofErr w:type="spellEnd"/>
      <w:r w:rsidRPr="00392596">
        <w:rPr>
          <w:rFonts w:ascii="Arial" w:hAnsi="Arial"/>
        </w:rPr>
        <w:t xml:space="preserve"> from a pcDNA3.1-</w:t>
      </w:r>
      <w:r w:rsidRPr="00392596">
        <w:rPr>
          <w:rFonts w:ascii="Arial" w:hAnsi="Arial"/>
          <w:i/>
        </w:rPr>
        <w:t>CTGF</w:t>
      </w:r>
      <w:r w:rsidRPr="00392596">
        <w:rPr>
          <w:rFonts w:ascii="Arial" w:hAnsi="Arial"/>
        </w:rPr>
        <w:t xml:space="preserve"> vector (from </w:t>
      </w:r>
      <w:proofErr w:type="spellStart"/>
      <w:r w:rsidRPr="00392596">
        <w:rPr>
          <w:rFonts w:ascii="Arial" w:hAnsi="Arial"/>
        </w:rPr>
        <w:t>Prof.</w:t>
      </w:r>
      <w:proofErr w:type="spellEnd"/>
      <w:r w:rsidRPr="00392596">
        <w:rPr>
          <w:rFonts w:ascii="Arial" w:hAnsi="Arial"/>
        </w:rPr>
        <w:t xml:space="preserve"> Roger Mason, London) into a pCEP4 expression vector, which was then stably transfected into HEK293-EBNA cells (Invitrogen). </w:t>
      </w:r>
      <w:r>
        <w:rPr>
          <w:rFonts w:ascii="Arial" w:hAnsi="Arial"/>
        </w:rPr>
        <w:t xml:space="preserve">The secreted fraction was purified by </w:t>
      </w:r>
      <w:r w:rsidRPr="00392596">
        <w:rPr>
          <w:rFonts w:ascii="Arial" w:hAnsi="Arial"/>
        </w:rPr>
        <w:t xml:space="preserve">nickel affinity </w:t>
      </w:r>
      <w:r>
        <w:rPr>
          <w:rFonts w:ascii="Arial" w:hAnsi="Arial"/>
        </w:rPr>
        <w:t>chromatography</w:t>
      </w:r>
      <w:r w:rsidRPr="00392596">
        <w:rPr>
          <w:rFonts w:ascii="Arial" w:hAnsi="Arial"/>
        </w:rPr>
        <w:t xml:space="preserve"> (GE Healthcare Ltd). </w:t>
      </w:r>
    </w:p>
    <w:p w14:paraId="438D1609" w14:textId="77777777" w:rsidR="00D5176F" w:rsidRPr="00392596" w:rsidRDefault="00D5176F" w:rsidP="00D5176F">
      <w:pPr>
        <w:spacing w:line="360" w:lineRule="auto"/>
        <w:rPr>
          <w:rFonts w:ascii="Arial" w:hAnsi="Arial"/>
        </w:rPr>
      </w:pPr>
    </w:p>
    <w:p w14:paraId="16931E9B" w14:textId="77777777" w:rsidR="00D5176F" w:rsidRDefault="00D5176F" w:rsidP="00D5176F">
      <w:pPr>
        <w:spacing w:line="360" w:lineRule="auto"/>
        <w:rPr>
          <w:rFonts w:ascii="Arial" w:hAnsi="Arial"/>
        </w:rPr>
      </w:pPr>
      <w:r w:rsidRPr="00392596">
        <w:rPr>
          <w:rFonts w:ascii="Arial" w:hAnsi="Arial"/>
          <w:b/>
        </w:rPr>
        <w:t xml:space="preserve">Confocal microscopy: </w:t>
      </w:r>
      <w:r w:rsidRPr="00392596">
        <w:rPr>
          <w:rFonts w:ascii="Arial" w:hAnsi="Arial"/>
        </w:rPr>
        <w:t>Human articular cartilage explants were snap frozen in liquid nitrogen and embedded in OCT (Sakura)</w:t>
      </w:r>
      <w:r>
        <w:rPr>
          <w:rFonts w:ascii="Arial" w:hAnsi="Arial"/>
        </w:rPr>
        <w:t xml:space="preserve">.  </w:t>
      </w:r>
      <w:r w:rsidRPr="00392596">
        <w:rPr>
          <w:rFonts w:ascii="Arial" w:hAnsi="Arial"/>
        </w:rPr>
        <w:t>7µm</w:t>
      </w:r>
      <w:r>
        <w:rPr>
          <w:rFonts w:ascii="Arial" w:hAnsi="Arial"/>
        </w:rPr>
        <w:t xml:space="preserve"> cryostat sections were cut</w:t>
      </w:r>
      <w:r w:rsidRPr="00392596">
        <w:rPr>
          <w:rFonts w:ascii="Arial" w:hAnsi="Arial"/>
        </w:rPr>
        <w:t xml:space="preserve">. Sections were fixed in 100% methanol, enzymatic treated with </w:t>
      </w:r>
      <w:proofErr w:type="spellStart"/>
      <w:r>
        <w:rPr>
          <w:rFonts w:ascii="Arial" w:hAnsi="Arial"/>
        </w:rPr>
        <w:t>chondroi</w:t>
      </w:r>
      <w:r w:rsidRPr="00392596">
        <w:rPr>
          <w:rFonts w:ascii="Arial" w:hAnsi="Arial"/>
        </w:rPr>
        <w:t>tinase</w:t>
      </w:r>
      <w:proofErr w:type="spellEnd"/>
      <w:r w:rsidRPr="00392596">
        <w:rPr>
          <w:rFonts w:ascii="Arial" w:hAnsi="Arial"/>
        </w:rPr>
        <w:t xml:space="preserve"> ABC for 2hr at 37°C in PBS, blocked with 10% goat or donkey serum (</w:t>
      </w:r>
      <w:proofErr w:type="spellStart"/>
      <w:r w:rsidRPr="00392596">
        <w:rPr>
          <w:rFonts w:ascii="Arial" w:hAnsi="Arial"/>
        </w:rPr>
        <w:t>Dako</w:t>
      </w:r>
      <w:proofErr w:type="spellEnd"/>
      <w:r w:rsidRPr="00392596">
        <w:rPr>
          <w:rFonts w:ascii="Arial" w:hAnsi="Arial"/>
        </w:rPr>
        <w:t xml:space="preserve">) for 1hr and then incubated with primary antibodies overnight. Sections were washed then incubated with secondary antibodies conjugated with </w:t>
      </w:r>
      <w:proofErr w:type="spellStart"/>
      <w:r w:rsidRPr="00392596">
        <w:rPr>
          <w:rFonts w:ascii="Arial" w:hAnsi="Arial"/>
        </w:rPr>
        <w:t>Alexa</w:t>
      </w:r>
      <w:proofErr w:type="spellEnd"/>
      <w:r w:rsidRPr="00392596">
        <w:rPr>
          <w:rFonts w:ascii="Arial" w:hAnsi="Arial"/>
        </w:rPr>
        <w:t xml:space="preserve"> Fluor 488 or </w:t>
      </w:r>
      <w:proofErr w:type="spellStart"/>
      <w:r w:rsidRPr="00392596">
        <w:rPr>
          <w:rFonts w:ascii="Arial" w:hAnsi="Arial"/>
        </w:rPr>
        <w:t>Alexa</w:t>
      </w:r>
      <w:proofErr w:type="spellEnd"/>
      <w:r w:rsidRPr="00392596">
        <w:rPr>
          <w:rFonts w:ascii="Arial" w:hAnsi="Arial"/>
        </w:rPr>
        <w:t xml:space="preserve"> Fluor 647</w:t>
      </w:r>
      <w:r>
        <w:rPr>
          <w:rFonts w:ascii="Arial" w:hAnsi="Arial"/>
        </w:rPr>
        <w:t>,</w:t>
      </w:r>
      <w:r w:rsidRPr="00392596">
        <w:rPr>
          <w:rFonts w:ascii="Arial" w:hAnsi="Arial"/>
        </w:rPr>
        <w:t xml:space="preserve"> and </w:t>
      </w:r>
      <w:proofErr w:type="spellStart"/>
      <w:r w:rsidRPr="00392596">
        <w:rPr>
          <w:rFonts w:ascii="Arial" w:hAnsi="Arial"/>
        </w:rPr>
        <w:t>propidium</w:t>
      </w:r>
      <w:proofErr w:type="spellEnd"/>
      <w:r w:rsidRPr="00392596">
        <w:rPr>
          <w:rFonts w:ascii="Arial" w:hAnsi="Arial"/>
        </w:rPr>
        <w:t xml:space="preserve"> iodide. </w:t>
      </w:r>
    </w:p>
    <w:p w14:paraId="2509D0CA" w14:textId="77777777" w:rsidR="00D5176F" w:rsidRDefault="00D5176F" w:rsidP="00D5176F">
      <w:pPr>
        <w:spacing w:line="360" w:lineRule="auto"/>
        <w:rPr>
          <w:rFonts w:ascii="Arial" w:hAnsi="Arial"/>
        </w:rPr>
      </w:pPr>
    </w:p>
    <w:p w14:paraId="049B9CDE" w14:textId="77777777" w:rsidR="00D5176F" w:rsidRPr="0095215C" w:rsidRDefault="00D5176F" w:rsidP="00D5176F">
      <w:pPr>
        <w:spacing w:line="360" w:lineRule="auto"/>
        <w:rPr>
          <w:rFonts w:ascii="Arial" w:hAnsi="Arial"/>
          <w:b/>
        </w:rPr>
      </w:pPr>
      <w:r w:rsidRPr="00392596">
        <w:rPr>
          <w:rFonts w:ascii="Arial" w:hAnsi="Arial"/>
          <w:b/>
        </w:rPr>
        <w:t xml:space="preserve">Cartilage and isolation of chondrocytes: </w:t>
      </w:r>
    </w:p>
    <w:p w14:paraId="3FC2FF61" w14:textId="0F6483F9" w:rsidR="00285535" w:rsidRDefault="00B37EA2" w:rsidP="00D5176F">
      <w:pPr>
        <w:spacing w:line="360" w:lineRule="auto"/>
        <w:rPr>
          <w:rFonts w:ascii="Arial" w:hAnsi="Arial"/>
        </w:rPr>
      </w:pPr>
      <w:r>
        <w:rPr>
          <w:rFonts w:ascii="Arial" w:hAnsi="Arial"/>
        </w:rPr>
        <w:t>Generation of p</w:t>
      </w:r>
      <w:r w:rsidR="00D5176F" w:rsidRPr="00392596">
        <w:rPr>
          <w:rFonts w:ascii="Arial" w:hAnsi="Arial"/>
        </w:rPr>
        <w:t xml:space="preserve">orcine </w:t>
      </w:r>
      <w:r>
        <w:rPr>
          <w:rFonts w:ascii="Arial" w:hAnsi="Arial"/>
        </w:rPr>
        <w:t>cartilage explants</w:t>
      </w:r>
      <w:r w:rsidR="00BA495B">
        <w:rPr>
          <w:rFonts w:ascii="Arial" w:hAnsi="Arial"/>
        </w:rPr>
        <w:t xml:space="preserve"> and</w:t>
      </w:r>
      <w:r>
        <w:rPr>
          <w:rFonts w:ascii="Arial" w:hAnsi="Arial"/>
        </w:rPr>
        <w:t xml:space="preserve"> isolation of porcine and human cells have been described by us previously</w:t>
      </w:r>
      <w:r w:rsidR="00D5176F">
        <w:rPr>
          <w:rFonts w:ascii="Arial" w:hAnsi="Arial"/>
        </w:rPr>
        <w:t xml:space="preserve"> </w:t>
      </w:r>
      <w:r w:rsidR="0070368F">
        <w:rPr>
          <w:rFonts w:ascii="Arial" w:hAnsi="Arial"/>
        </w:rPr>
        <w:t>[3][6]</w:t>
      </w:r>
      <w:r w:rsidR="00D5176F">
        <w:rPr>
          <w:rFonts w:ascii="Arial" w:hAnsi="Arial"/>
        </w:rPr>
        <w:fldChar w:fldCharType="begin"/>
      </w:r>
      <w:r w:rsidR="00D5176F">
        <w:rPr>
          <w:rFonts w:ascii="Arial" w:hAnsi="Arial"/>
        </w:rPr>
        <w:instrText xml:space="preserve"> ADDIN PAPERS2_CITATIONS &lt;citation&gt;&lt;uuid&gt;E9781D97-CDBF-47AD-AC53-5AE11032FFF6&lt;/uuid&gt;&lt;priority&gt;14&lt;/priority&gt;&lt;publications&gt;&lt;publication&gt;&lt;volume&gt;60&lt;/volume&gt;&lt;publication_date&gt;99200907001200000000220000&lt;/publication_date&gt;&lt;number&gt;7&lt;/number&gt;&lt;doi&gt;10.1002/art.24654&lt;/doi&gt;&lt;startpage&gt;2019&lt;/startpage&gt;&lt;title&gt;Fibroblast growth factor 2 is an intrinsic chondroprotective agent that suppresses ADAMTS-5 and delays cartilage degradation in murine osteoarthritis&lt;/title&gt;&lt;uuid&gt;7A49C26C-0AFB-4B5D-BED7-BEF2E93627C8&lt;/uuid&gt;&lt;subtype&gt;400&lt;/subtype&gt;&lt;endpage&gt;2027&lt;/endpage&gt;&lt;type&gt;400&lt;/type&gt;&lt;url&gt;http://doi.wiley.com/10.1002/art.24654&lt;/url&gt;&lt;bundle&gt;&lt;publication&gt;&lt;title&gt;Arthritis and rheumatism&lt;/title&gt;&lt;type&gt;-100&lt;/type&gt;&lt;subtype&gt;-100&lt;/subtype&gt;&lt;uuid&gt;727F7E7D-C219-4974-B8FB-A15E576CB303&lt;/uuid&gt;&lt;/publication&gt;&lt;/bundle&gt;&lt;authors&gt;&lt;author&gt;&lt;firstName&gt;Shi-Lu&lt;/firstName&gt;&lt;lastName&gt;Chia&lt;/lastName&gt;&lt;/author&gt;&lt;author&gt;&lt;firstName&gt;Yasunobu&lt;/firstName&gt;&lt;lastName&gt;Sawaji&lt;/lastName&gt;&lt;/author&gt;&lt;author&gt;&lt;firstName&gt;Annika&lt;/firstName&gt;&lt;lastName&gt;Burleigh&lt;/lastName&gt;&lt;/author&gt;&lt;author&gt;&lt;firstName&gt;Celia&lt;/firstName&gt;&lt;lastName&gt;McLean&lt;/lastName&gt;&lt;/author&gt;&lt;author&gt;&lt;firstName&gt;Julia&lt;/firstName&gt;&lt;lastName&gt;Inglis&lt;/lastName&gt;&lt;/author&gt;&lt;author&gt;&lt;firstName&gt;Jeremy&lt;/firstName&gt;&lt;lastName&gt;Saklatvala&lt;/lastName&gt;&lt;/author&gt;&lt;author&gt;&lt;firstName&gt;Tonia&lt;/firstName&gt;&lt;lastName&gt;Vincent&lt;/lastName&gt;&lt;/author&gt;&lt;/authors&gt;&lt;/publication&gt;&lt;/publications&gt;&lt;cites&gt;&lt;/cites&gt;&lt;/citation&gt;</w:instrText>
      </w:r>
      <w:r w:rsidR="00D5176F">
        <w:rPr>
          <w:rFonts w:ascii="Arial" w:hAnsi="Arial"/>
        </w:rPr>
        <w:fldChar w:fldCharType="separate"/>
      </w:r>
      <w:r w:rsidR="00D5176F">
        <w:rPr>
          <w:rFonts w:ascii="Arial" w:hAnsi="Arial" w:cs="Arial"/>
          <w:lang w:val="en-US"/>
        </w:rPr>
        <w:t>[28]</w:t>
      </w:r>
      <w:r w:rsidR="00D5176F">
        <w:rPr>
          <w:rFonts w:ascii="Arial" w:hAnsi="Arial"/>
        </w:rPr>
        <w:fldChar w:fldCharType="end"/>
      </w:r>
      <w:r w:rsidR="00D5176F" w:rsidRPr="00392596">
        <w:rPr>
          <w:rFonts w:ascii="Arial" w:hAnsi="Arial"/>
        </w:rPr>
        <w:t xml:space="preserve">. </w:t>
      </w:r>
      <w:r w:rsidR="0070368F">
        <w:rPr>
          <w:rFonts w:ascii="Arial" w:hAnsi="Arial"/>
        </w:rPr>
        <w:t xml:space="preserve">Injury conditioned </w:t>
      </w:r>
      <w:r w:rsidR="0070368F">
        <w:rPr>
          <w:rFonts w:ascii="Arial" w:hAnsi="Arial"/>
        </w:rPr>
        <w:lastRenderedPageBreak/>
        <w:t>medium from porcine joints was generated by taking five 4mm diameter cartilage punch biopsies into 200</w:t>
      </w:r>
      <w:r w:rsidR="0070368F" w:rsidRPr="0070368F">
        <w:rPr>
          <w:rFonts w:ascii="Arial" w:hAnsi="Arial"/>
        </w:rPr>
        <w:t xml:space="preserve"> </w:t>
      </w:r>
      <w:r w:rsidR="0070368F" w:rsidRPr="0095215C">
        <w:rPr>
          <w:rFonts w:ascii="Arial" w:hAnsi="Arial"/>
        </w:rPr>
        <w:t>µl</w:t>
      </w:r>
      <w:r w:rsidR="0070368F">
        <w:rPr>
          <w:rFonts w:ascii="Arial" w:hAnsi="Arial"/>
        </w:rPr>
        <w:t xml:space="preserve"> serum free medium. Each cartilage explant was cut </w:t>
      </w:r>
      <w:r w:rsidR="00BA495B">
        <w:rPr>
          <w:rFonts w:ascii="Arial" w:hAnsi="Arial"/>
        </w:rPr>
        <w:t>in half twice (generating 4 pieces) to increase the ‘injury’ response.</w:t>
      </w:r>
      <w:r w:rsidR="0070368F">
        <w:rPr>
          <w:rFonts w:ascii="Arial" w:hAnsi="Arial"/>
        </w:rPr>
        <w:t xml:space="preserve"> </w:t>
      </w:r>
      <w:r w:rsidR="0070368F" w:rsidRPr="0095215C">
        <w:rPr>
          <w:rFonts w:ascii="Arial" w:hAnsi="Arial"/>
        </w:rPr>
        <w:t>50µl</w:t>
      </w:r>
      <w:r w:rsidR="0070368F" w:rsidRPr="00392596">
        <w:rPr>
          <w:rFonts w:ascii="Arial" w:hAnsi="Arial"/>
        </w:rPr>
        <w:t xml:space="preserve"> </w:t>
      </w:r>
      <w:r w:rsidR="0070368F">
        <w:rPr>
          <w:rFonts w:ascii="Arial" w:hAnsi="Arial"/>
        </w:rPr>
        <w:t>of each was added to the</w:t>
      </w:r>
      <w:r w:rsidR="00BA495B">
        <w:rPr>
          <w:rFonts w:ascii="Arial" w:hAnsi="Arial"/>
        </w:rPr>
        <w:t xml:space="preserve"> gel, thus the sample loading was</w:t>
      </w:r>
      <w:r w:rsidR="0070368F">
        <w:rPr>
          <w:rFonts w:ascii="Arial" w:hAnsi="Arial"/>
        </w:rPr>
        <w:t xml:space="preserve"> controlled by tissue volume rather than total protein (as this would vary according to</w:t>
      </w:r>
      <w:r w:rsidR="00BA495B">
        <w:rPr>
          <w:rFonts w:ascii="Arial" w:hAnsi="Arial"/>
        </w:rPr>
        <w:t xml:space="preserve"> variables such as time from injury, period of conditioning etc</w:t>
      </w:r>
      <w:r w:rsidR="0070368F">
        <w:rPr>
          <w:rFonts w:ascii="Arial" w:hAnsi="Arial"/>
        </w:rPr>
        <w:t xml:space="preserve">). </w:t>
      </w:r>
      <w:r w:rsidR="00D5176F" w:rsidRPr="00392596">
        <w:rPr>
          <w:rFonts w:ascii="Arial" w:hAnsi="Arial"/>
        </w:rPr>
        <w:t>Murine hip cartilage was avulsed</w:t>
      </w:r>
      <w:r w:rsidR="00D5176F">
        <w:rPr>
          <w:rFonts w:ascii="Arial" w:hAnsi="Arial"/>
        </w:rPr>
        <w:t xml:space="preserve"> </w:t>
      </w:r>
      <w:r w:rsidR="00D5176F" w:rsidRPr="00392596">
        <w:rPr>
          <w:rFonts w:ascii="Arial" w:hAnsi="Arial"/>
        </w:rPr>
        <w:t xml:space="preserve">from the femoral head of 6-week-old mice. One hip was sufficient to </w:t>
      </w:r>
      <w:r w:rsidR="00D5176F" w:rsidRPr="0095215C">
        <w:rPr>
          <w:rFonts w:ascii="Arial" w:hAnsi="Arial"/>
        </w:rPr>
        <w:t>generate 24h injury CM (50</w:t>
      </w:r>
      <w:r w:rsidR="00D5176F" w:rsidRPr="0095215C">
        <w:rPr>
          <w:rFonts w:ascii="Symbol" w:hAnsi="Symbol"/>
        </w:rPr>
        <w:t></w:t>
      </w:r>
      <w:r w:rsidR="00D5176F" w:rsidRPr="0095215C">
        <w:rPr>
          <w:rFonts w:ascii="Arial" w:hAnsi="Arial"/>
        </w:rPr>
        <w:t>l)</w:t>
      </w:r>
      <w:proofErr w:type="gramStart"/>
      <w:r w:rsidR="00D5176F" w:rsidRPr="0095215C">
        <w:rPr>
          <w:rFonts w:ascii="Arial" w:hAnsi="Arial"/>
        </w:rPr>
        <w:t>,</w:t>
      </w:r>
      <w:proofErr w:type="gramEnd"/>
      <w:r w:rsidR="00D5176F" w:rsidRPr="0095215C">
        <w:rPr>
          <w:rFonts w:ascii="Arial" w:hAnsi="Arial"/>
        </w:rPr>
        <w:t xml:space="preserve"> two were required for 1h injury CM (50µl). Some hips were rested for 48h prior to generating a control or re-cut CM. </w:t>
      </w:r>
      <w:r w:rsidR="00D5176F">
        <w:rPr>
          <w:rFonts w:ascii="Arial" w:hAnsi="Arial"/>
        </w:rPr>
        <w:t>The ear pinna was removed immediately post mortem and stripped of the overlying skin. Auricular cartilage mRNA was extracted as for murine hips. One ear was used for each experimental point.</w:t>
      </w:r>
    </w:p>
    <w:p w14:paraId="1E27AAAC" w14:textId="77777777" w:rsidR="00285535" w:rsidRDefault="00285535" w:rsidP="00D5176F">
      <w:pPr>
        <w:spacing w:line="360" w:lineRule="auto"/>
        <w:rPr>
          <w:rFonts w:ascii="Arial" w:hAnsi="Arial"/>
        </w:rPr>
      </w:pPr>
    </w:p>
    <w:p w14:paraId="3391DE6B" w14:textId="7B1CE082" w:rsidR="00D5176F" w:rsidRPr="0047565B" w:rsidRDefault="00285535" w:rsidP="0047565B">
      <w:pPr>
        <w:widowControl w:val="0"/>
        <w:autoSpaceDE w:val="0"/>
        <w:autoSpaceDN w:val="0"/>
        <w:adjustRightInd w:val="0"/>
        <w:spacing w:after="240" w:line="360" w:lineRule="auto"/>
        <w:rPr>
          <w:rFonts w:ascii="Arial" w:hAnsi="Arial" w:cs="Arial"/>
          <w:color w:val="000000"/>
          <w:lang w:val="en-US"/>
        </w:rPr>
      </w:pPr>
      <w:proofErr w:type="gramStart"/>
      <w:r w:rsidRPr="0047565B">
        <w:rPr>
          <w:rFonts w:ascii="Arial" w:hAnsi="Arial" w:cs="Arial"/>
          <w:b/>
        </w:rPr>
        <w:t>Induction of osteoarthritis in mice.</w:t>
      </w:r>
      <w:proofErr w:type="gramEnd"/>
      <w:r w:rsidRPr="00285535">
        <w:rPr>
          <w:rFonts w:ascii="Arial" w:hAnsi="Arial" w:cs="Arial"/>
        </w:rPr>
        <w:t xml:space="preserve"> OA was induced in </w:t>
      </w:r>
      <w:proofErr w:type="gramStart"/>
      <w:r w:rsidRPr="00285535">
        <w:rPr>
          <w:rFonts w:ascii="Arial" w:hAnsi="Arial" w:cs="Arial"/>
        </w:rPr>
        <w:t>10 week old</w:t>
      </w:r>
      <w:proofErr w:type="gramEnd"/>
      <w:r w:rsidRPr="00285535">
        <w:rPr>
          <w:rFonts w:ascii="Arial" w:hAnsi="Arial" w:cs="Arial"/>
        </w:rPr>
        <w:t xml:space="preserve"> male mice by surgical destabilisation of the medial meniscus (DMM) as previously described [8]. All in vivo experiments </w:t>
      </w:r>
      <w:r w:rsidRPr="0047565B">
        <w:rPr>
          <w:rFonts w:ascii="Arial" w:hAnsi="Arial" w:cs="Arial"/>
          <w:color w:val="1A1718"/>
          <w:lang w:val="en-US"/>
        </w:rPr>
        <w:t>were approved by the UK Home Office</w:t>
      </w:r>
      <w:r w:rsidR="0016740C">
        <w:rPr>
          <w:rFonts w:ascii="Arial" w:hAnsi="Arial" w:cs="Arial"/>
          <w:color w:val="1A1718"/>
          <w:lang w:val="en-US"/>
        </w:rPr>
        <w:t xml:space="preserve"> (Project </w:t>
      </w:r>
      <w:proofErr w:type="spellStart"/>
      <w:r w:rsidR="0016740C">
        <w:rPr>
          <w:rFonts w:ascii="Arial" w:hAnsi="Arial" w:cs="Arial"/>
          <w:color w:val="1A1718"/>
          <w:lang w:val="en-US"/>
        </w:rPr>
        <w:t>Licence</w:t>
      </w:r>
      <w:proofErr w:type="spellEnd"/>
      <w:r w:rsidR="0016740C">
        <w:rPr>
          <w:rFonts w:ascii="Arial" w:hAnsi="Arial" w:cs="Arial"/>
          <w:color w:val="1A1718"/>
          <w:lang w:val="en-US"/>
        </w:rPr>
        <w:t xml:space="preserve"> holder, Vincent)</w:t>
      </w:r>
      <w:r w:rsidRPr="0047565B">
        <w:rPr>
          <w:rFonts w:ascii="Arial" w:hAnsi="Arial" w:cs="Arial"/>
          <w:color w:val="1A1718"/>
          <w:lang w:val="en-US"/>
        </w:rPr>
        <w:t xml:space="preserve"> and followed institutional ethical and procedural </w:t>
      </w:r>
      <w:proofErr w:type="gramStart"/>
      <w:r w:rsidRPr="0047565B">
        <w:rPr>
          <w:rFonts w:ascii="Arial" w:hAnsi="Arial" w:cs="Arial"/>
          <w:color w:val="1A1718"/>
          <w:lang w:val="en-US"/>
        </w:rPr>
        <w:t>guide-lines</w:t>
      </w:r>
      <w:proofErr w:type="gramEnd"/>
      <w:r w:rsidRPr="0047565B">
        <w:rPr>
          <w:rFonts w:ascii="Arial" w:hAnsi="Arial" w:cs="Arial"/>
          <w:color w:val="1A1718"/>
          <w:lang w:val="en-US"/>
        </w:rPr>
        <w:t xml:space="preserve">. </w:t>
      </w:r>
      <w:r>
        <w:rPr>
          <w:rFonts w:ascii="Arial" w:hAnsi="Arial" w:cs="Arial"/>
          <w:color w:val="1A1718"/>
          <w:lang w:val="en-US"/>
        </w:rPr>
        <w:t>Histological sections from mice 8 and 12 weeks post surgery were scored according to a modified OARSI score where the three highest summed scores are added together to generate a total ‘summed’ score for each joint. Maximal cartilage thickness measurements from at least 5 sections (80</w:t>
      </w:r>
      <w:r w:rsidRPr="0047565B">
        <w:rPr>
          <w:rFonts w:ascii="Symbol" w:hAnsi="Symbol" w:cs="Arial"/>
          <w:color w:val="1A1718"/>
          <w:lang w:val="en-US"/>
        </w:rPr>
        <w:t></w:t>
      </w:r>
      <w:r>
        <w:rPr>
          <w:rFonts w:ascii="Arial" w:hAnsi="Arial" w:cs="Arial"/>
          <w:color w:val="1A1718"/>
          <w:lang w:val="en-US"/>
        </w:rPr>
        <w:t xml:space="preserve">m apart) of each joint were averaged to give an average joint thickness measure. </w:t>
      </w:r>
    </w:p>
    <w:p w14:paraId="7E0E6E08" w14:textId="77777777" w:rsidR="00D5176F" w:rsidRPr="00392596" w:rsidRDefault="00D5176F" w:rsidP="00D5176F">
      <w:pPr>
        <w:widowControl w:val="0"/>
        <w:autoSpaceDE w:val="0"/>
        <w:autoSpaceDN w:val="0"/>
        <w:adjustRightInd w:val="0"/>
        <w:spacing w:line="360" w:lineRule="auto"/>
        <w:rPr>
          <w:rFonts w:ascii="Arial" w:hAnsi="Arial"/>
          <w:b/>
        </w:rPr>
      </w:pPr>
      <w:r w:rsidRPr="00392596">
        <w:rPr>
          <w:rFonts w:ascii="Arial" w:hAnsi="Arial"/>
          <w:b/>
        </w:rPr>
        <w:t xml:space="preserve">ELISA-based binding assay for CTGF and </w:t>
      </w:r>
      <w:proofErr w:type="spellStart"/>
      <w:r w:rsidRPr="00392596">
        <w:rPr>
          <w:rFonts w:ascii="Arial" w:hAnsi="Arial"/>
          <w:b/>
        </w:rPr>
        <w:t>perlecan</w:t>
      </w:r>
      <w:proofErr w:type="spellEnd"/>
      <w:r w:rsidRPr="00392596">
        <w:rPr>
          <w:rFonts w:ascii="Arial" w:hAnsi="Arial"/>
          <w:b/>
        </w:rPr>
        <w:t xml:space="preserve">: </w:t>
      </w:r>
      <w:r>
        <w:rPr>
          <w:rFonts w:ascii="Arial" w:hAnsi="Arial"/>
        </w:rPr>
        <w:t>ELISA plates</w:t>
      </w:r>
      <w:r w:rsidRPr="00392596">
        <w:rPr>
          <w:rFonts w:ascii="Arial" w:hAnsi="Arial"/>
        </w:rPr>
        <w:t xml:space="preserve"> were coated with 0.05µg/well</w:t>
      </w:r>
      <w:r>
        <w:rPr>
          <w:rFonts w:ascii="Arial" w:hAnsi="Arial"/>
        </w:rPr>
        <w:t xml:space="preserve"> of purified </w:t>
      </w:r>
      <w:proofErr w:type="spellStart"/>
      <w:r>
        <w:rPr>
          <w:rFonts w:ascii="Arial" w:hAnsi="Arial"/>
        </w:rPr>
        <w:t>perlecan</w:t>
      </w:r>
      <w:proofErr w:type="spellEnd"/>
      <w:r w:rsidRPr="00392596">
        <w:rPr>
          <w:rFonts w:ascii="Arial" w:hAnsi="Arial"/>
        </w:rPr>
        <w:t xml:space="preserve"> in PBS for 3 hours at room </w:t>
      </w:r>
      <w:r>
        <w:rPr>
          <w:rFonts w:ascii="Arial" w:hAnsi="Arial"/>
        </w:rPr>
        <w:t>temperature. Plates were washed, blocked with 1% BSA/PBS,</w:t>
      </w:r>
      <w:r w:rsidRPr="00392596">
        <w:rPr>
          <w:rFonts w:ascii="Arial" w:hAnsi="Arial"/>
        </w:rPr>
        <w:t xml:space="preserve"> then incubated with 0.05µg/w</w:t>
      </w:r>
      <w:r>
        <w:rPr>
          <w:rFonts w:ascii="Arial" w:hAnsi="Arial"/>
        </w:rPr>
        <w:t>ell of CTGF in 100µl PBS</w:t>
      </w:r>
      <w:r w:rsidRPr="00392596">
        <w:rPr>
          <w:rFonts w:ascii="Arial" w:hAnsi="Arial"/>
        </w:rPr>
        <w:t>. Plates were washed and incubated with primary antibody (</w:t>
      </w:r>
      <w:proofErr w:type="spellStart"/>
      <w:r w:rsidRPr="00392596">
        <w:rPr>
          <w:rFonts w:ascii="Arial" w:hAnsi="Arial"/>
        </w:rPr>
        <w:t>perlecan</w:t>
      </w:r>
      <w:proofErr w:type="spellEnd"/>
      <w:r w:rsidRPr="00392596">
        <w:rPr>
          <w:rFonts w:ascii="Arial" w:hAnsi="Arial"/>
        </w:rPr>
        <w:t xml:space="preserve"> or CTGF) in 1% BSA/PBS </w:t>
      </w:r>
      <w:r>
        <w:rPr>
          <w:rFonts w:ascii="Arial" w:hAnsi="Arial"/>
        </w:rPr>
        <w:t xml:space="preserve">then secondary antibody </w:t>
      </w:r>
      <w:r w:rsidRPr="00392596">
        <w:rPr>
          <w:rFonts w:ascii="Arial" w:hAnsi="Arial"/>
        </w:rPr>
        <w:t xml:space="preserve">for 1 hour at room temperature. After washing, TMB peroxidase substrate (TMB </w:t>
      </w:r>
      <w:proofErr w:type="spellStart"/>
      <w:r w:rsidRPr="00392596">
        <w:rPr>
          <w:rFonts w:ascii="Arial" w:hAnsi="Arial"/>
        </w:rPr>
        <w:t>Microwell</w:t>
      </w:r>
      <w:proofErr w:type="spellEnd"/>
      <w:r w:rsidRPr="00392596">
        <w:rPr>
          <w:rFonts w:ascii="Arial" w:hAnsi="Arial"/>
        </w:rPr>
        <w:t xml:space="preserve"> peroxidase substrate system, KP</w:t>
      </w:r>
      <w:r>
        <w:rPr>
          <w:rFonts w:ascii="Arial" w:hAnsi="Arial"/>
        </w:rPr>
        <w:t>L, USA) was added. Fluorescence was</w:t>
      </w:r>
      <w:r w:rsidRPr="00392596">
        <w:rPr>
          <w:rFonts w:ascii="Arial" w:hAnsi="Arial"/>
        </w:rPr>
        <w:t xml:space="preserve"> detected by </w:t>
      </w:r>
      <w:proofErr w:type="spellStart"/>
      <w:r w:rsidRPr="00392596">
        <w:rPr>
          <w:rFonts w:ascii="Arial" w:hAnsi="Arial"/>
        </w:rPr>
        <w:t>Spectramax</w:t>
      </w:r>
      <w:proofErr w:type="spellEnd"/>
      <w:r w:rsidRPr="00392596">
        <w:rPr>
          <w:rFonts w:ascii="Arial" w:hAnsi="Arial"/>
        </w:rPr>
        <w:t xml:space="preserve"> </w:t>
      </w:r>
      <w:proofErr w:type="spellStart"/>
      <w:r w:rsidRPr="00392596">
        <w:rPr>
          <w:rFonts w:ascii="Arial" w:hAnsi="Arial"/>
        </w:rPr>
        <w:t>fluorometer</w:t>
      </w:r>
      <w:proofErr w:type="spellEnd"/>
      <w:r w:rsidRPr="00392596">
        <w:rPr>
          <w:rFonts w:ascii="Arial" w:hAnsi="Arial"/>
        </w:rPr>
        <w:t xml:space="preserve"> (</w:t>
      </w:r>
      <w:r>
        <w:rPr>
          <w:rFonts w:ascii="Arial" w:hAnsi="Arial"/>
        </w:rPr>
        <w:t>Molecular Devices, USA)</w:t>
      </w:r>
      <w:r w:rsidRPr="00392596">
        <w:rPr>
          <w:rFonts w:ascii="Arial" w:hAnsi="Arial"/>
        </w:rPr>
        <w:t xml:space="preserve">. In some experiments plated </w:t>
      </w:r>
      <w:proofErr w:type="spellStart"/>
      <w:r w:rsidRPr="00392596">
        <w:rPr>
          <w:rFonts w:ascii="Arial" w:hAnsi="Arial"/>
        </w:rPr>
        <w:t>perlecan</w:t>
      </w:r>
      <w:proofErr w:type="spellEnd"/>
      <w:r w:rsidRPr="00392596">
        <w:rPr>
          <w:rFonts w:ascii="Arial" w:hAnsi="Arial"/>
        </w:rPr>
        <w:t xml:space="preserve"> was also treated in well with </w:t>
      </w:r>
      <w:proofErr w:type="spellStart"/>
      <w:r w:rsidRPr="00392596">
        <w:rPr>
          <w:rFonts w:ascii="Arial" w:hAnsi="Arial"/>
        </w:rPr>
        <w:t>heparintinase</w:t>
      </w:r>
      <w:proofErr w:type="spellEnd"/>
      <w:r w:rsidRPr="00392596">
        <w:rPr>
          <w:rFonts w:ascii="Arial" w:hAnsi="Arial"/>
        </w:rPr>
        <w:t xml:space="preserve"> or </w:t>
      </w:r>
      <w:proofErr w:type="spellStart"/>
      <w:r w:rsidRPr="00392596">
        <w:rPr>
          <w:rFonts w:ascii="Arial" w:hAnsi="Arial"/>
        </w:rPr>
        <w:t>chondroitinase</w:t>
      </w:r>
      <w:proofErr w:type="spellEnd"/>
      <w:r w:rsidRPr="00392596">
        <w:rPr>
          <w:rFonts w:ascii="Arial" w:hAnsi="Arial"/>
        </w:rPr>
        <w:t xml:space="preserve"> ABC (10mu/ml) for 2 hours at 37°C prior to incubation with CTGF.</w:t>
      </w:r>
    </w:p>
    <w:p w14:paraId="0AA02DD5" w14:textId="77777777" w:rsidR="00D5176F" w:rsidRPr="00392596" w:rsidRDefault="00D5176F" w:rsidP="00D5176F">
      <w:pPr>
        <w:spacing w:line="360" w:lineRule="auto"/>
        <w:rPr>
          <w:rFonts w:ascii="Arial" w:hAnsi="Arial"/>
        </w:rPr>
      </w:pPr>
    </w:p>
    <w:p w14:paraId="3E0B00D9" w14:textId="77777777" w:rsidR="00D5176F" w:rsidRDefault="00D5176F" w:rsidP="00D5176F">
      <w:pPr>
        <w:spacing w:line="360" w:lineRule="auto"/>
        <w:rPr>
          <w:rFonts w:ascii="Arial" w:hAnsi="Arial"/>
        </w:rPr>
      </w:pPr>
      <w:proofErr w:type="spellStart"/>
      <w:proofErr w:type="gramStart"/>
      <w:r w:rsidRPr="00392596">
        <w:rPr>
          <w:rFonts w:ascii="Arial" w:hAnsi="Arial"/>
          <w:b/>
        </w:rPr>
        <w:t>siRNA</w:t>
      </w:r>
      <w:proofErr w:type="spellEnd"/>
      <w:proofErr w:type="gramEnd"/>
      <w:r w:rsidRPr="00392596">
        <w:rPr>
          <w:rFonts w:ascii="Arial" w:hAnsi="Arial"/>
          <w:b/>
        </w:rPr>
        <w:t xml:space="preserve"> transfection: </w:t>
      </w:r>
      <w:r w:rsidRPr="00392596">
        <w:rPr>
          <w:rFonts w:ascii="Arial" w:hAnsi="Arial"/>
        </w:rPr>
        <w:t>Primary human articular chondrocytes (P1) were plated in 6 well plates at a density of 3 x 10</w:t>
      </w:r>
      <w:r w:rsidRPr="00392596">
        <w:rPr>
          <w:rFonts w:ascii="Arial" w:hAnsi="Arial"/>
          <w:vertAlign w:val="superscript"/>
        </w:rPr>
        <w:t>5</w:t>
      </w:r>
      <w:r w:rsidRPr="00392596">
        <w:rPr>
          <w:rFonts w:ascii="Arial" w:hAnsi="Arial"/>
        </w:rPr>
        <w:t xml:space="preserve"> cells/well (60% confluent) overnight in 10% FCS containing DMEM. Cells were transfected with </w:t>
      </w:r>
      <w:proofErr w:type="spellStart"/>
      <w:r w:rsidRPr="00392596">
        <w:rPr>
          <w:rFonts w:ascii="Arial" w:hAnsi="Arial"/>
        </w:rPr>
        <w:t>Lipofectamine</w:t>
      </w:r>
      <w:proofErr w:type="spellEnd"/>
      <w:r w:rsidRPr="00392596">
        <w:rPr>
          <w:rFonts w:ascii="Arial" w:hAnsi="Arial"/>
        </w:rPr>
        <w:t xml:space="preserve"> 2000 (Invitrogen) pre-incubated (20min) with respective </w:t>
      </w:r>
      <w:proofErr w:type="spellStart"/>
      <w:r w:rsidRPr="00392596">
        <w:rPr>
          <w:rFonts w:ascii="Arial" w:hAnsi="Arial"/>
        </w:rPr>
        <w:t>siRNA</w:t>
      </w:r>
      <w:proofErr w:type="spellEnd"/>
      <w:r w:rsidRPr="00392596">
        <w:rPr>
          <w:rFonts w:ascii="Arial" w:hAnsi="Arial"/>
        </w:rPr>
        <w:t xml:space="preserve"> </w:t>
      </w:r>
      <w:proofErr w:type="spellStart"/>
      <w:r w:rsidRPr="00392596">
        <w:rPr>
          <w:rFonts w:ascii="Arial" w:hAnsi="Arial"/>
        </w:rPr>
        <w:t>oligos</w:t>
      </w:r>
      <w:proofErr w:type="spellEnd"/>
      <w:r w:rsidRPr="00392596">
        <w:rPr>
          <w:rFonts w:ascii="Arial" w:hAnsi="Arial"/>
        </w:rPr>
        <w:t xml:space="preserve"> (CTGF: Hs01026927_g1 and Hs00170014_m1; LRP1: s8280 and s8279; TGF</w:t>
      </w:r>
      <w:r w:rsidRPr="00392596">
        <w:rPr>
          <w:rFonts w:ascii="Arial" w:hAnsi="Arial"/>
        </w:rPr>
        <w:sym w:font="Symbol" w:char="F062"/>
      </w:r>
      <w:r w:rsidRPr="00392596">
        <w:rPr>
          <w:rFonts w:ascii="Arial" w:hAnsi="Arial"/>
        </w:rPr>
        <w:t xml:space="preserve">R3: S24, S25 and S26)(Applied </w:t>
      </w:r>
      <w:proofErr w:type="spellStart"/>
      <w:r w:rsidRPr="00392596">
        <w:rPr>
          <w:rFonts w:ascii="Arial" w:hAnsi="Arial"/>
        </w:rPr>
        <w:t>Biosystems</w:t>
      </w:r>
      <w:proofErr w:type="spellEnd"/>
      <w:r w:rsidRPr="00392596">
        <w:rPr>
          <w:rFonts w:ascii="Arial" w:hAnsi="Arial"/>
        </w:rPr>
        <w:t xml:space="preserve">), for 4hrs in </w:t>
      </w:r>
      <w:proofErr w:type="spellStart"/>
      <w:r w:rsidRPr="00392596">
        <w:rPr>
          <w:rFonts w:ascii="Arial" w:hAnsi="Arial"/>
        </w:rPr>
        <w:t>Opti-Mem</w:t>
      </w:r>
      <w:proofErr w:type="spellEnd"/>
      <w:r w:rsidRPr="00392596">
        <w:rPr>
          <w:rFonts w:ascii="Arial" w:hAnsi="Arial"/>
        </w:rPr>
        <w:t xml:space="preserve"> reduced serum medium (</w:t>
      </w:r>
      <w:proofErr w:type="spellStart"/>
      <w:r w:rsidRPr="00392596">
        <w:rPr>
          <w:rFonts w:ascii="Arial" w:hAnsi="Arial"/>
        </w:rPr>
        <w:t>Gibco</w:t>
      </w:r>
      <w:proofErr w:type="spellEnd"/>
      <w:r w:rsidRPr="00392596">
        <w:rPr>
          <w:rFonts w:ascii="Arial" w:hAnsi="Arial"/>
        </w:rPr>
        <w:t xml:space="preserve">). Medium was replaced with normal 10% FCS containing DMEM for 48hr before starvation and stimulation. </w:t>
      </w:r>
    </w:p>
    <w:p w14:paraId="472C4EB6" w14:textId="77777777" w:rsidR="00D5176F" w:rsidRPr="00392596" w:rsidRDefault="00D5176F" w:rsidP="00D5176F">
      <w:pPr>
        <w:spacing w:line="360" w:lineRule="auto"/>
        <w:rPr>
          <w:rFonts w:ascii="Arial" w:hAnsi="Arial"/>
          <w:b/>
        </w:rPr>
      </w:pPr>
    </w:p>
    <w:p w14:paraId="09D479B5" w14:textId="77777777" w:rsidR="00D5176F" w:rsidRDefault="00D5176F" w:rsidP="00D5176F">
      <w:pPr>
        <w:spacing w:line="360" w:lineRule="auto"/>
        <w:rPr>
          <w:rFonts w:ascii="Arial" w:hAnsi="Arial"/>
        </w:rPr>
      </w:pPr>
      <w:r w:rsidRPr="00392596">
        <w:rPr>
          <w:rFonts w:ascii="Arial" w:hAnsi="Arial"/>
          <w:b/>
        </w:rPr>
        <w:t>Microarray and RT-PCR</w:t>
      </w:r>
      <w:r w:rsidRPr="00392596">
        <w:rPr>
          <w:rFonts w:ascii="Arial" w:hAnsi="Arial"/>
        </w:rPr>
        <w:t xml:space="preserve">: Primary human chondrocytes were transfected with CTGF or scrambled </w:t>
      </w:r>
      <w:proofErr w:type="spellStart"/>
      <w:r w:rsidRPr="00392596">
        <w:rPr>
          <w:rFonts w:ascii="Arial" w:hAnsi="Arial"/>
        </w:rPr>
        <w:t>siRNA</w:t>
      </w:r>
      <w:proofErr w:type="spellEnd"/>
      <w:r w:rsidRPr="00392596">
        <w:rPr>
          <w:rFonts w:ascii="Arial" w:hAnsi="Arial"/>
        </w:rPr>
        <w:t xml:space="preserve"> and treated with recombinant CTGF (100ng/ml) for 8hr. RNA was extracted from the cells and purified u</w:t>
      </w:r>
      <w:r>
        <w:rPr>
          <w:rFonts w:ascii="Arial" w:hAnsi="Arial"/>
        </w:rPr>
        <w:t xml:space="preserve">sing </w:t>
      </w:r>
      <w:proofErr w:type="spellStart"/>
      <w:r>
        <w:rPr>
          <w:rFonts w:ascii="Arial" w:hAnsi="Arial"/>
        </w:rPr>
        <w:t>Qiagen</w:t>
      </w:r>
      <w:proofErr w:type="spellEnd"/>
      <w:r>
        <w:rPr>
          <w:rFonts w:ascii="Arial" w:hAnsi="Arial"/>
        </w:rPr>
        <w:t xml:space="preserve"> </w:t>
      </w:r>
      <w:proofErr w:type="spellStart"/>
      <w:r>
        <w:rPr>
          <w:rFonts w:ascii="Arial" w:hAnsi="Arial"/>
        </w:rPr>
        <w:t>RNeasy</w:t>
      </w:r>
      <w:proofErr w:type="spellEnd"/>
      <w:r>
        <w:rPr>
          <w:rFonts w:ascii="Arial" w:hAnsi="Arial"/>
        </w:rPr>
        <w:t xml:space="preserve"> kit (</w:t>
      </w:r>
      <w:proofErr w:type="spellStart"/>
      <w:r>
        <w:rPr>
          <w:rFonts w:ascii="Arial" w:hAnsi="Arial"/>
        </w:rPr>
        <w:t>Qiagen</w:t>
      </w:r>
      <w:proofErr w:type="spellEnd"/>
      <w:r>
        <w:rPr>
          <w:rFonts w:ascii="Arial" w:hAnsi="Arial"/>
        </w:rPr>
        <w:t xml:space="preserve">). </w:t>
      </w:r>
      <w:r w:rsidRPr="00392596">
        <w:rPr>
          <w:rFonts w:ascii="Arial" w:hAnsi="Arial"/>
        </w:rPr>
        <w:t xml:space="preserve">The </w:t>
      </w:r>
      <w:r>
        <w:rPr>
          <w:rFonts w:ascii="Arial" w:hAnsi="Arial"/>
        </w:rPr>
        <w:t>microarray</w:t>
      </w:r>
      <w:r w:rsidRPr="00392596">
        <w:rPr>
          <w:rFonts w:ascii="Arial" w:hAnsi="Arial"/>
        </w:rPr>
        <w:t xml:space="preserve"> was carried out using </w:t>
      </w:r>
      <w:proofErr w:type="spellStart"/>
      <w:r w:rsidRPr="00392596">
        <w:rPr>
          <w:rFonts w:ascii="Arial" w:hAnsi="Arial"/>
        </w:rPr>
        <w:t>Illumina</w:t>
      </w:r>
      <w:proofErr w:type="spellEnd"/>
      <w:r w:rsidRPr="00392596">
        <w:rPr>
          <w:rFonts w:ascii="Arial" w:hAnsi="Arial"/>
        </w:rPr>
        <w:t xml:space="preserve"> </w:t>
      </w:r>
      <w:r>
        <w:rPr>
          <w:rFonts w:ascii="Arial" w:hAnsi="Arial"/>
        </w:rPr>
        <w:t>plate on a 2 HumanHT-12 v4 chip and</w:t>
      </w:r>
      <w:r w:rsidRPr="00392596">
        <w:rPr>
          <w:rFonts w:ascii="Arial" w:hAnsi="Arial"/>
        </w:rPr>
        <w:t xml:space="preserve"> scanned by </w:t>
      </w:r>
      <w:proofErr w:type="spellStart"/>
      <w:r w:rsidRPr="00392596">
        <w:rPr>
          <w:rFonts w:ascii="Arial" w:hAnsi="Arial"/>
        </w:rPr>
        <w:t>BeadArray</w:t>
      </w:r>
      <w:proofErr w:type="spellEnd"/>
      <w:r w:rsidRPr="00392596">
        <w:rPr>
          <w:rFonts w:ascii="Arial" w:hAnsi="Arial"/>
        </w:rPr>
        <w:t xml:space="preserve"> read (</w:t>
      </w:r>
      <w:proofErr w:type="spellStart"/>
      <w:r w:rsidRPr="00392596">
        <w:rPr>
          <w:rFonts w:ascii="Arial" w:hAnsi="Arial"/>
        </w:rPr>
        <w:t>Illumina</w:t>
      </w:r>
      <w:proofErr w:type="spellEnd"/>
      <w:r w:rsidRPr="00392596">
        <w:rPr>
          <w:rFonts w:ascii="Arial" w:hAnsi="Arial"/>
        </w:rPr>
        <w:t xml:space="preserve"> Inc.). Significantly regulated </w:t>
      </w:r>
      <w:r>
        <w:rPr>
          <w:rFonts w:ascii="Arial" w:hAnsi="Arial"/>
        </w:rPr>
        <w:t>genes from the microarray</w:t>
      </w:r>
      <w:r w:rsidRPr="00392596">
        <w:rPr>
          <w:rFonts w:ascii="Arial" w:hAnsi="Arial"/>
        </w:rPr>
        <w:t xml:space="preserve"> were validated using </w:t>
      </w:r>
      <w:proofErr w:type="spellStart"/>
      <w:r w:rsidRPr="00392596">
        <w:rPr>
          <w:rFonts w:ascii="Arial" w:hAnsi="Arial"/>
        </w:rPr>
        <w:t>TaqMan</w:t>
      </w:r>
      <w:proofErr w:type="spellEnd"/>
      <w:r w:rsidRPr="00392596">
        <w:rPr>
          <w:rFonts w:ascii="Arial" w:hAnsi="Arial"/>
        </w:rPr>
        <w:t>® RT PCR s</w:t>
      </w:r>
      <w:r>
        <w:rPr>
          <w:rFonts w:ascii="Arial" w:hAnsi="Arial"/>
        </w:rPr>
        <w:t xml:space="preserve">ystem (Applied </w:t>
      </w:r>
      <w:proofErr w:type="spellStart"/>
      <w:r>
        <w:rPr>
          <w:rFonts w:ascii="Arial" w:hAnsi="Arial"/>
        </w:rPr>
        <w:t>Biosystems</w:t>
      </w:r>
      <w:proofErr w:type="spellEnd"/>
      <w:r>
        <w:rPr>
          <w:rFonts w:ascii="Arial" w:hAnsi="Arial"/>
        </w:rPr>
        <w:t xml:space="preserve"> Inc.).</w:t>
      </w:r>
    </w:p>
    <w:p w14:paraId="374DC336" w14:textId="77777777" w:rsidR="00D5176F" w:rsidRPr="00392596" w:rsidRDefault="00D5176F" w:rsidP="00D5176F">
      <w:pPr>
        <w:spacing w:line="360" w:lineRule="auto"/>
        <w:rPr>
          <w:rFonts w:ascii="Arial" w:hAnsi="Arial"/>
        </w:rPr>
      </w:pPr>
    </w:p>
    <w:p w14:paraId="3D46B9C5" w14:textId="77777777" w:rsidR="00D5176F" w:rsidRDefault="00D5176F" w:rsidP="00D5176F">
      <w:pPr>
        <w:spacing w:line="360" w:lineRule="auto"/>
        <w:rPr>
          <w:rFonts w:ascii="Arial" w:hAnsi="Arial"/>
        </w:rPr>
      </w:pPr>
      <w:r w:rsidRPr="00392596">
        <w:rPr>
          <w:rFonts w:ascii="Arial" w:hAnsi="Arial"/>
          <w:b/>
        </w:rPr>
        <w:t>Co-</w:t>
      </w:r>
      <w:proofErr w:type="spellStart"/>
      <w:r w:rsidRPr="00392596">
        <w:rPr>
          <w:rFonts w:ascii="Arial" w:hAnsi="Arial"/>
          <w:b/>
        </w:rPr>
        <w:t>Immunoprecipitation</w:t>
      </w:r>
      <w:proofErr w:type="spellEnd"/>
      <w:r w:rsidRPr="00392596">
        <w:rPr>
          <w:rFonts w:ascii="Arial" w:hAnsi="Arial"/>
          <w:b/>
        </w:rPr>
        <w:t xml:space="preserve">: </w:t>
      </w:r>
      <w:r w:rsidRPr="00392596">
        <w:rPr>
          <w:rFonts w:ascii="Arial" w:hAnsi="Arial"/>
        </w:rPr>
        <w:t xml:space="preserve">Primary antibody (CTGF) or goat pre-immune </w:t>
      </w:r>
      <w:proofErr w:type="spellStart"/>
      <w:r w:rsidRPr="00392596">
        <w:rPr>
          <w:rFonts w:ascii="Arial" w:hAnsi="Arial"/>
        </w:rPr>
        <w:t>IgG</w:t>
      </w:r>
      <w:proofErr w:type="spellEnd"/>
      <w:r w:rsidRPr="00392596">
        <w:rPr>
          <w:rFonts w:ascii="Arial" w:hAnsi="Arial"/>
        </w:rPr>
        <w:t xml:space="preserve"> (1.5ng) were pre-incubated with protein G </w:t>
      </w:r>
      <w:proofErr w:type="spellStart"/>
      <w:r w:rsidRPr="00392596">
        <w:rPr>
          <w:rFonts w:ascii="Arial" w:hAnsi="Arial"/>
        </w:rPr>
        <w:t>sepharose</w:t>
      </w:r>
      <w:proofErr w:type="spellEnd"/>
      <w:r w:rsidRPr="00392596">
        <w:rPr>
          <w:rFonts w:ascii="Arial" w:hAnsi="Arial"/>
        </w:rPr>
        <w:t xml:space="preserve"> beads (30µl) (GE Healthcare).</w:t>
      </w:r>
      <w:r>
        <w:rPr>
          <w:rFonts w:ascii="Arial" w:hAnsi="Arial"/>
        </w:rPr>
        <w:t xml:space="preserve"> The </w:t>
      </w:r>
      <w:proofErr w:type="spellStart"/>
      <w:r>
        <w:rPr>
          <w:rFonts w:ascii="Arial" w:hAnsi="Arial"/>
        </w:rPr>
        <w:t>IgG</w:t>
      </w:r>
      <w:proofErr w:type="spellEnd"/>
      <w:r>
        <w:rPr>
          <w:rFonts w:ascii="Arial" w:hAnsi="Arial"/>
        </w:rPr>
        <w:t xml:space="preserve">-beads were centrifuged and </w:t>
      </w:r>
      <w:r w:rsidRPr="00392596">
        <w:rPr>
          <w:rFonts w:ascii="Arial" w:hAnsi="Arial"/>
        </w:rPr>
        <w:t xml:space="preserve">washed before adding 400µl of injury CM topped up to 1ml with PBS, and incubated </w:t>
      </w:r>
      <w:proofErr w:type="gramStart"/>
      <w:r w:rsidRPr="00392596">
        <w:rPr>
          <w:rFonts w:ascii="Arial" w:hAnsi="Arial"/>
        </w:rPr>
        <w:t>overni</w:t>
      </w:r>
      <w:r>
        <w:rPr>
          <w:rFonts w:ascii="Arial" w:hAnsi="Arial"/>
        </w:rPr>
        <w:t>ght  at</w:t>
      </w:r>
      <w:proofErr w:type="gramEnd"/>
      <w:r>
        <w:rPr>
          <w:rFonts w:ascii="Arial" w:hAnsi="Arial"/>
        </w:rPr>
        <w:t xml:space="preserve"> 4°C</w:t>
      </w:r>
      <w:r w:rsidRPr="00392596">
        <w:rPr>
          <w:rFonts w:ascii="Arial" w:hAnsi="Arial"/>
        </w:rPr>
        <w:t xml:space="preserve">. </w:t>
      </w:r>
      <w:proofErr w:type="spellStart"/>
      <w:r w:rsidRPr="00392596">
        <w:rPr>
          <w:rFonts w:ascii="Arial" w:hAnsi="Arial"/>
        </w:rPr>
        <w:t>Immunoprecipitates</w:t>
      </w:r>
      <w:proofErr w:type="spellEnd"/>
      <w:r w:rsidRPr="00392596">
        <w:rPr>
          <w:rFonts w:ascii="Arial" w:hAnsi="Arial"/>
        </w:rPr>
        <w:t xml:space="preserve"> were washed three times with cold PBS, separated by SDS-PAGE on precast 4-12% gels (Invitrogen), </w:t>
      </w:r>
      <w:r>
        <w:rPr>
          <w:rFonts w:ascii="Arial" w:hAnsi="Arial"/>
        </w:rPr>
        <w:t>western blotted</w:t>
      </w:r>
      <w:r w:rsidRPr="00392596">
        <w:rPr>
          <w:rFonts w:ascii="Arial" w:hAnsi="Arial"/>
        </w:rPr>
        <w:t xml:space="preserve"> with antibodies against CTGF or LAP1.</w:t>
      </w:r>
    </w:p>
    <w:p w14:paraId="63E44C28" w14:textId="77777777" w:rsidR="00737C56" w:rsidRDefault="00737C56" w:rsidP="00737C56">
      <w:pPr>
        <w:spacing w:line="360" w:lineRule="auto"/>
        <w:rPr>
          <w:rFonts w:ascii="Arial" w:hAnsi="Arial"/>
        </w:rPr>
      </w:pPr>
    </w:p>
    <w:p w14:paraId="484A878D" w14:textId="633E3374" w:rsidR="00737C56" w:rsidRPr="00665E5E" w:rsidRDefault="00737C56" w:rsidP="0047565B">
      <w:pPr>
        <w:widowControl w:val="0"/>
        <w:autoSpaceDE w:val="0"/>
        <w:autoSpaceDN w:val="0"/>
        <w:adjustRightInd w:val="0"/>
        <w:spacing w:line="360" w:lineRule="auto"/>
        <w:rPr>
          <w:b/>
        </w:rPr>
      </w:pPr>
      <w:r w:rsidRPr="00392596">
        <w:rPr>
          <w:rFonts w:ascii="Arial" w:hAnsi="Arial"/>
          <w:b/>
        </w:rPr>
        <w:t>TGF</w:t>
      </w:r>
      <w:r w:rsidRPr="00392596">
        <w:rPr>
          <w:rFonts w:ascii="Arial" w:hAnsi="Arial"/>
          <w:b/>
        </w:rPr>
        <w:sym w:font="Symbol" w:char="F062"/>
      </w:r>
      <w:r w:rsidRPr="00392596">
        <w:rPr>
          <w:rFonts w:ascii="Arial" w:hAnsi="Arial"/>
          <w:b/>
        </w:rPr>
        <w:t xml:space="preserve">1 ELISA assay: </w:t>
      </w:r>
      <w:r w:rsidRPr="00392596">
        <w:rPr>
          <w:rFonts w:ascii="Arial" w:hAnsi="Arial"/>
        </w:rPr>
        <w:t>100</w:t>
      </w:r>
      <w:r w:rsidRPr="00392596">
        <w:rPr>
          <w:rFonts w:ascii="Arial" w:hAnsi="Arial"/>
        </w:rPr>
        <w:sym w:font="Symbol" w:char="F06D"/>
      </w:r>
      <w:r w:rsidRPr="00392596">
        <w:rPr>
          <w:rFonts w:ascii="Arial" w:hAnsi="Arial"/>
        </w:rPr>
        <w:t xml:space="preserve">l of injury CM (24h) was </w:t>
      </w:r>
      <w:r>
        <w:rPr>
          <w:rFonts w:ascii="Arial" w:hAnsi="Arial"/>
        </w:rPr>
        <w:t>assayed using the</w:t>
      </w:r>
      <w:r w:rsidRPr="00392596">
        <w:rPr>
          <w:rFonts w:ascii="Arial" w:hAnsi="Arial"/>
        </w:rPr>
        <w:t xml:space="preserve"> TGF</w:t>
      </w:r>
      <w:r w:rsidRPr="00392596">
        <w:rPr>
          <w:rFonts w:ascii="Arial" w:hAnsi="Arial"/>
        </w:rPr>
        <w:sym w:font="Symbol" w:char="F062"/>
      </w:r>
      <w:r w:rsidRPr="00392596">
        <w:rPr>
          <w:rFonts w:ascii="Arial" w:hAnsi="Arial"/>
        </w:rPr>
        <w:t xml:space="preserve">1 </w:t>
      </w:r>
      <w:proofErr w:type="spellStart"/>
      <w:r w:rsidRPr="00392596">
        <w:rPr>
          <w:rFonts w:ascii="Arial" w:hAnsi="Arial"/>
        </w:rPr>
        <w:t>Quantikine</w:t>
      </w:r>
      <w:proofErr w:type="spellEnd"/>
      <w:r w:rsidRPr="00392596">
        <w:rPr>
          <w:rFonts w:ascii="Arial" w:hAnsi="Arial"/>
        </w:rPr>
        <w:t xml:space="preserve"> ELISA kit</w:t>
      </w:r>
      <w:r w:rsidR="0056290C">
        <w:rPr>
          <w:rFonts w:ascii="Arial" w:hAnsi="Arial"/>
        </w:rPr>
        <w:t xml:space="preserve"> (MB100B from R&amp;D Systems)</w:t>
      </w:r>
      <w:proofErr w:type="gramStart"/>
      <w:r w:rsidR="0056290C">
        <w:rPr>
          <w:rFonts w:ascii="Arial" w:hAnsi="Arial"/>
        </w:rPr>
        <w:t>.</w:t>
      </w:r>
      <w:r w:rsidRPr="00392596">
        <w:rPr>
          <w:rFonts w:ascii="Arial" w:hAnsi="Arial"/>
        </w:rPr>
        <w:t>.</w:t>
      </w:r>
      <w:proofErr w:type="gramEnd"/>
      <w:r w:rsidR="00951619">
        <w:rPr>
          <w:rFonts w:ascii="Arial" w:hAnsi="Arial"/>
        </w:rPr>
        <w:t xml:space="preserve"> </w:t>
      </w:r>
      <w:r w:rsidR="00341357">
        <w:rPr>
          <w:rFonts w:ascii="Arial" w:hAnsi="Arial"/>
        </w:rPr>
        <w:t>Briefly, 50</w:t>
      </w:r>
      <w:r w:rsidR="00341357" w:rsidRPr="0047565B">
        <w:rPr>
          <w:rFonts w:ascii="Symbol" w:hAnsi="Symbol" w:cs="Arial"/>
        </w:rPr>
        <w:t></w:t>
      </w:r>
      <w:r w:rsidR="00341357">
        <w:rPr>
          <w:rFonts w:ascii="Arial" w:hAnsi="Arial"/>
        </w:rPr>
        <w:t>l of assay diluent was added to 50</w:t>
      </w:r>
      <w:r w:rsidR="00341357" w:rsidRPr="006B0FF9">
        <w:rPr>
          <w:rFonts w:ascii="Symbol" w:hAnsi="Symbol" w:cs="Arial"/>
        </w:rPr>
        <w:t></w:t>
      </w:r>
      <w:r w:rsidR="00341357">
        <w:rPr>
          <w:rFonts w:ascii="Arial" w:hAnsi="Arial"/>
        </w:rPr>
        <w:t>l of injury CM generated from cut porcine cartilage. To distinguish active versus latent TGF</w:t>
      </w:r>
      <w:r w:rsidR="00341357" w:rsidRPr="0047565B">
        <w:rPr>
          <w:rFonts w:ascii="Symbol" w:hAnsi="Symbol" w:cs="Arial"/>
        </w:rPr>
        <w:t></w:t>
      </w:r>
      <w:r w:rsidR="00341357">
        <w:rPr>
          <w:rFonts w:ascii="Symbol" w:hAnsi="Symbol" w:cs="Arial"/>
        </w:rPr>
        <w:t></w:t>
      </w:r>
      <w:r w:rsidR="00341357">
        <w:rPr>
          <w:rFonts w:ascii="Arial" w:hAnsi="Arial" w:cs="Arial"/>
        </w:rPr>
        <w:t>the same samples were assayed after pre</w:t>
      </w:r>
      <w:r w:rsidR="0056290C">
        <w:rPr>
          <w:rFonts w:ascii="Arial" w:hAnsi="Arial" w:cs="Arial"/>
        </w:rPr>
        <w:t>-</w:t>
      </w:r>
      <w:r w:rsidR="00341357">
        <w:rPr>
          <w:rFonts w:ascii="Arial" w:hAnsi="Arial" w:cs="Arial"/>
        </w:rPr>
        <w:t>treatment with</w:t>
      </w:r>
      <w:r w:rsidR="0056290C">
        <w:rPr>
          <w:rFonts w:ascii="Arial" w:hAnsi="Arial" w:cs="Arial"/>
        </w:rPr>
        <w:t xml:space="preserve"> </w:t>
      </w:r>
      <w:proofErr w:type="spellStart"/>
      <w:r w:rsidR="00341357">
        <w:rPr>
          <w:rFonts w:ascii="Arial" w:hAnsi="Arial" w:cs="Arial"/>
        </w:rPr>
        <w:t>HCl</w:t>
      </w:r>
      <w:proofErr w:type="spellEnd"/>
      <w:r w:rsidR="0056290C">
        <w:rPr>
          <w:rFonts w:ascii="Arial" w:hAnsi="Arial" w:cs="Arial"/>
        </w:rPr>
        <w:t xml:space="preserve"> as per manufacturer’s protocol. </w:t>
      </w:r>
      <w:r w:rsidR="00341357">
        <w:rPr>
          <w:b/>
        </w:rPr>
        <w:t xml:space="preserve"> </w:t>
      </w:r>
    </w:p>
    <w:sectPr w:rsidR="00737C56" w:rsidRPr="00665E5E" w:rsidSect="00BF1B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5E"/>
    <w:rsid w:val="000F654D"/>
    <w:rsid w:val="0016740C"/>
    <w:rsid w:val="00285535"/>
    <w:rsid w:val="00341357"/>
    <w:rsid w:val="0047565B"/>
    <w:rsid w:val="0056290C"/>
    <w:rsid w:val="005763EC"/>
    <w:rsid w:val="00665E5E"/>
    <w:rsid w:val="0070368F"/>
    <w:rsid w:val="00737C56"/>
    <w:rsid w:val="00951619"/>
    <w:rsid w:val="009777D8"/>
    <w:rsid w:val="00B37EA2"/>
    <w:rsid w:val="00BA495B"/>
    <w:rsid w:val="00BF1BE1"/>
    <w:rsid w:val="00D5176F"/>
    <w:rsid w:val="00D74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02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7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7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7859</Characters>
  <Application>Microsoft Macintosh Word</Application>
  <DocSecurity>0</DocSecurity>
  <Lines>65</Lines>
  <Paragraphs>18</Paragraphs>
  <ScaleCrop>false</ScaleCrop>
  <Company>Kennedy Institute of Rheumatology, University of Ox</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Vincent</dc:creator>
  <cp:keywords/>
  <dc:description/>
  <cp:lastModifiedBy>Tonia Vincent</cp:lastModifiedBy>
  <cp:revision>3</cp:revision>
  <dcterms:created xsi:type="dcterms:W3CDTF">2018-05-14T21:24:00Z</dcterms:created>
  <dcterms:modified xsi:type="dcterms:W3CDTF">2018-05-14T21:24:00Z</dcterms:modified>
</cp:coreProperties>
</file>