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A7" w:rsidRDefault="005B3809">
      <w:pPr>
        <w:tabs>
          <w:tab w:val="left" w:pos="6598"/>
        </w:tabs>
        <w:ind w:left="307"/>
        <w:rPr>
          <w:sz w:val="20"/>
        </w:rPr>
      </w:pPr>
      <w:r>
        <w:rPr>
          <w:noProof/>
          <w:sz w:val="20"/>
          <w:lang w:val="en-GB" w:eastAsia="en-GB"/>
        </w:rPr>
        <w:drawing>
          <wp:anchor distT="0" distB="0" distL="114300" distR="114300" simplePos="0" relativeHeight="251713024" behindDoc="1" locked="0" layoutInCell="1" allowOverlap="1">
            <wp:simplePos x="0" y="0"/>
            <wp:positionH relativeFrom="column">
              <wp:posOffset>196462</wp:posOffset>
            </wp:positionH>
            <wp:positionV relativeFrom="paragraph">
              <wp:posOffset>564736</wp:posOffset>
            </wp:positionV>
            <wp:extent cx="2577072" cy="744093"/>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7072" cy="744093"/>
                    </a:xfrm>
                    <a:prstGeom prst="rect">
                      <a:avLst/>
                    </a:prstGeom>
                  </pic:spPr>
                </pic:pic>
              </a:graphicData>
            </a:graphic>
          </wp:anchor>
        </w:drawing>
      </w:r>
      <w:r>
        <w:rPr>
          <w:lang w:val="en"/>
        </w:rPr>
        <w:tab/>
      </w:r>
      <w:r>
        <w:rPr>
          <w:noProof/>
          <w:sz w:val="20"/>
          <w:lang w:val="en-GB" w:eastAsia="en-GB"/>
        </w:rPr>
        <w:drawing>
          <wp:inline distT="0" distB="0" distL="0" distR="0">
            <wp:extent cx="2293902" cy="1548383"/>
            <wp:effectExtent l="0" t="0" r="0" b="0"/>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9" cstate="print"/>
                    <a:stretch>
                      <a:fillRect/>
                    </a:stretch>
                  </pic:blipFill>
                  <pic:spPr>
                    <a:xfrm>
                      <a:off x="0" y="0"/>
                      <a:ext cx="2293902" cy="1548383"/>
                    </a:xfrm>
                    <a:prstGeom prst="rect">
                      <a:avLst/>
                    </a:prstGeom>
                  </pic:spPr>
                </pic:pic>
              </a:graphicData>
            </a:graphic>
          </wp:inline>
        </w:drawing>
      </w:r>
    </w:p>
    <w:p w:rsidR="00CD39A7" w:rsidRDefault="001A5673">
      <w:pPr>
        <w:pStyle w:val="BodyText"/>
        <w:spacing w:before="6"/>
        <w:rPr>
          <w:sz w:val="17"/>
        </w:rPr>
      </w:pPr>
      <w:r>
        <w:rPr>
          <w:lang w:val="en"/>
        </w:rPr>
        <w:pict>
          <v:shapetype id="_x0000_t202" coordsize="21600,21600" o:spt="202" path="m,l,21600r21600,l21600,xe">
            <v:stroke joinstyle="miter"/>
            <v:path gradientshapeok="t" o:connecttype="rect"/>
          </v:shapetype>
          <v:shape id="_x0000_s1168" type="#_x0000_t202" style="position:absolute;margin-left:61.85pt;margin-top:12.95pt;width:470pt;height:153pt;z-index:251628032;mso-wrap-distance-left:0;mso-wrap-distance-right:0;mso-position-horizontal-relative:page" filled="f" strokeweight="1.75pt">
            <v:textbox inset="0,0,0,0">
              <w:txbxContent>
                <w:p w:rsidR="003239C1" w:rsidRDefault="003239C1">
                  <w:pPr>
                    <w:spacing w:before="271" w:line="598" w:lineRule="exact"/>
                    <w:ind w:left="400" w:right="399"/>
                    <w:jc w:val="center"/>
                    <w:rPr>
                      <w:b/>
                      <w:sz w:val="52"/>
                    </w:rPr>
                  </w:pPr>
                  <w:bookmarkStart w:id="0" w:name="MAINRITSAN"/>
                  <w:bookmarkStart w:id="1" w:name="120831_MAINRITSAN_FINAL_VERSION"/>
                  <w:bookmarkEnd w:id="0"/>
                  <w:bookmarkEnd w:id="1"/>
                  <w:r>
                    <w:rPr>
                      <w:b/>
                      <w:bCs/>
                      <w:sz w:val="52"/>
                      <w:lang w:val="en"/>
                    </w:rPr>
                    <w:t>MAINRITSAN</w:t>
                  </w:r>
                </w:p>
                <w:p w:rsidR="003239C1" w:rsidRDefault="003239C1">
                  <w:pPr>
                    <w:ind w:left="180" w:right="179" w:firstLine="2"/>
                    <w:jc w:val="center"/>
                    <w:rPr>
                      <w:b/>
                      <w:sz w:val="32"/>
                    </w:rPr>
                  </w:pPr>
                  <w:r>
                    <w:rPr>
                      <w:b/>
                      <w:bCs/>
                      <w:sz w:val="32"/>
                      <w:lang w:val="en"/>
                    </w:rPr>
                    <w:t xml:space="preserve">A study comparing the efficacy of rituximab and azathioprine </w:t>
                  </w:r>
                  <w:r>
                    <w:rPr>
                      <w:b/>
                      <w:bCs/>
                      <w:sz w:val="32"/>
                      <w:lang w:val="en"/>
                    </w:rPr>
                    <w:br/>
                    <w:t xml:space="preserve">as maintenance therapy for ANCA-associated vasculitis: </w:t>
                  </w:r>
                  <w:r>
                    <w:rPr>
                      <w:b/>
                      <w:bCs/>
                      <w:sz w:val="32"/>
                      <w:lang w:val="en"/>
                    </w:rPr>
                    <w:br/>
                    <w:t>a prospective, multi-center, controlled, randomized study</w:t>
                  </w:r>
                </w:p>
                <w:p w:rsidR="003239C1" w:rsidRDefault="003239C1">
                  <w:pPr>
                    <w:pStyle w:val="BodyText"/>
                    <w:spacing w:before="178"/>
                    <w:ind w:left="401" w:right="399"/>
                    <w:jc w:val="center"/>
                  </w:pPr>
                  <w:r>
                    <w:rPr>
                      <w:lang w:val="en"/>
                    </w:rPr>
                    <w:t xml:space="preserve">English title: Maintenance of remission using Rituximab in Systemic Anca </w:t>
                  </w:r>
                  <w:r>
                    <w:rPr>
                      <w:lang w:val="en"/>
                    </w:rPr>
                    <w:br/>
                    <w:t>associated vasculitis *</w:t>
                  </w:r>
                </w:p>
                <w:p w:rsidR="003239C1" w:rsidRDefault="003239C1">
                  <w:pPr>
                    <w:spacing w:before="1"/>
                    <w:ind w:left="397" w:right="399"/>
                    <w:jc w:val="center"/>
                    <w:rPr>
                      <w:sz w:val="20"/>
                    </w:rPr>
                  </w:pPr>
                  <w:r>
                    <w:rPr>
                      <w:sz w:val="20"/>
                      <w:lang w:val="en"/>
                    </w:rPr>
                    <w:t>* The short English title was also kept for the French version</w:t>
                  </w:r>
                </w:p>
              </w:txbxContent>
            </v:textbox>
            <w10:wrap type="topAndBottom" anchorx="page"/>
          </v:shape>
        </w:pict>
      </w:r>
    </w:p>
    <w:p w:rsidR="00CD39A7" w:rsidRDefault="005B3809">
      <w:pPr>
        <w:pStyle w:val="BodyText"/>
        <w:spacing w:before="124"/>
        <w:ind w:left="1867" w:right="2509"/>
        <w:jc w:val="center"/>
      </w:pPr>
      <w:r>
        <w:rPr>
          <w:lang w:val="en"/>
        </w:rPr>
        <w:t>Version no. 7.0 dated 30/08/2012</w:t>
      </w:r>
    </w:p>
    <w:p w:rsidR="00CD39A7" w:rsidRPr="004961CE" w:rsidRDefault="005B3809" w:rsidP="00D03011">
      <w:pPr>
        <w:spacing w:before="143" w:line="228" w:lineRule="exact"/>
        <w:ind w:right="671"/>
        <w:jc w:val="center"/>
        <w:rPr>
          <w:b/>
          <w:sz w:val="20"/>
          <w:szCs w:val="20"/>
        </w:rPr>
      </w:pPr>
      <w:r w:rsidRPr="004961CE">
        <w:rPr>
          <w:b/>
          <w:bCs/>
          <w:sz w:val="20"/>
          <w:szCs w:val="20"/>
          <w:u w:val="single"/>
          <w:lang w:val="en"/>
        </w:rPr>
        <w:t>Sponsor</w:t>
      </w:r>
    </w:p>
    <w:p w:rsidR="00CD39A7" w:rsidRPr="00E44A34" w:rsidRDefault="005B3809" w:rsidP="00D03011">
      <w:pPr>
        <w:spacing w:before="2" w:line="228" w:lineRule="exact"/>
        <w:ind w:right="671"/>
        <w:jc w:val="center"/>
        <w:rPr>
          <w:sz w:val="20"/>
          <w:szCs w:val="20"/>
        </w:rPr>
      </w:pPr>
      <w:r w:rsidRPr="00E44A34">
        <w:rPr>
          <w:sz w:val="20"/>
          <w:szCs w:val="20"/>
        </w:rPr>
        <w:t>Assistance Publique-Hôpitaux de Paris (AP-HP) [Public Hospitals of Paris] represented by the DRCD (Département de la Recherche Clinique et du Développement [Department of Clinical Research and Development])</w:t>
      </w:r>
    </w:p>
    <w:p w:rsidR="00CD39A7" w:rsidRPr="004961CE" w:rsidRDefault="005B3809" w:rsidP="00D03011">
      <w:pPr>
        <w:ind w:right="671"/>
        <w:jc w:val="center"/>
        <w:rPr>
          <w:sz w:val="20"/>
          <w:szCs w:val="20"/>
          <w:lang w:val="fr-CA"/>
        </w:rPr>
      </w:pPr>
      <w:r w:rsidRPr="004961CE">
        <w:rPr>
          <w:sz w:val="20"/>
          <w:szCs w:val="20"/>
          <w:lang w:val="fr-CA"/>
        </w:rPr>
        <w:t xml:space="preserve">Carré Historique de l’Hôpital Saint Louis, porte 23 </w:t>
      </w:r>
      <w:r w:rsidR="00825B88">
        <w:rPr>
          <w:sz w:val="20"/>
          <w:szCs w:val="20"/>
          <w:lang w:val="fr-CA"/>
        </w:rPr>
        <w:br/>
      </w:r>
      <w:r w:rsidRPr="004961CE">
        <w:rPr>
          <w:sz w:val="20"/>
          <w:szCs w:val="20"/>
          <w:lang w:val="fr-CA"/>
        </w:rPr>
        <w:t>1, avenue Claude Vellefaux</w:t>
      </w:r>
    </w:p>
    <w:p w:rsidR="00CD39A7" w:rsidRPr="004961CE" w:rsidRDefault="005B3809" w:rsidP="00D03011">
      <w:pPr>
        <w:spacing w:before="2"/>
        <w:ind w:right="671"/>
        <w:jc w:val="center"/>
        <w:rPr>
          <w:sz w:val="20"/>
          <w:szCs w:val="20"/>
        </w:rPr>
      </w:pPr>
      <w:r w:rsidRPr="004961CE">
        <w:rPr>
          <w:sz w:val="20"/>
          <w:szCs w:val="20"/>
          <w:lang w:val="en"/>
        </w:rPr>
        <w:t>75010 Paris</w:t>
      </w:r>
    </w:p>
    <w:p w:rsidR="00CD39A7" w:rsidRPr="004961CE" w:rsidRDefault="005B3809" w:rsidP="00D03011">
      <w:pPr>
        <w:ind w:right="671"/>
        <w:jc w:val="center"/>
        <w:rPr>
          <w:i/>
          <w:sz w:val="20"/>
          <w:szCs w:val="20"/>
        </w:rPr>
      </w:pPr>
      <w:r w:rsidRPr="004961CE">
        <w:rPr>
          <w:i/>
          <w:iCs/>
          <w:sz w:val="20"/>
          <w:szCs w:val="20"/>
          <w:lang w:val="en"/>
        </w:rPr>
        <w:t>Project Manager: Yannick Vacher / Assistant: Houria Mebarek</w:t>
      </w:r>
    </w:p>
    <w:p w:rsidR="00CD39A7" w:rsidRPr="004961CE" w:rsidRDefault="005B3809" w:rsidP="00D03011">
      <w:pPr>
        <w:ind w:right="671"/>
        <w:jc w:val="center"/>
        <w:rPr>
          <w:sz w:val="20"/>
          <w:szCs w:val="20"/>
        </w:rPr>
      </w:pPr>
      <w:r w:rsidRPr="004961CE">
        <w:rPr>
          <w:sz w:val="20"/>
          <w:szCs w:val="20"/>
          <w:lang w:val="en"/>
        </w:rPr>
        <w:t>Fax: 01 44 84 17 99</w:t>
      </w:r>
    </w:p>
    <w:p w:rsidR="00CD39A7" w:rsidRPr="004961CE" w:rsidRDefault="00CD39A7" w:rsidP="00D03011">
      <w:pPr>
        <w:pStyle w:val="BodyText"/>
        <w:spacing w:before="2"/>
        <w:ind w:right="671"/>
        <w:jc w:val="center"/>
        <w:rPr>
          <w:sz w:val="20"/>
          <w:szCs w:val="20"/>
        </w:rPr>
      </w:pPr>
    </w:p>
    <w:p w:rsidR="00CD39A7" w:rsidRPr="004961CE" w:rsidRDefault="005B3809" w:rsidP="00D03011">
      <w:pPr>
        <w:spacing w:line="228" w:lineRule="exact"/>
        <w:ind w:right="671"/>
        <w:jc w:val="center"/>
        <w:rPr>
          <w:b/>
          <w:sz w:val="20"/>
          <w:szCs w:val="20"/>
        </w:rPr>
      </w:pPr>
      <w:r w:rsidRPr="004961CE">
        <w:rPr>
          <w:b/>
          <w:bCs/>
          <w:sz w:val="20"/>
          <w:szCs w:val="20"/>
          <w:u w:val="single"/>
          <w:lang w:val="en"/>
        </w:rPr>
        <w:t>Coordinating Investigator</w:t>
      </w:r>
    </w:p>
    <w:p w:rsidR="00CD39A7" w:rsidRPr="004961CE" w:rsidRDefault="005B3809" w:rsidP="00D03011">
      <w:pPr>
        <w:spacing w:line="228" w:lineRule="exact"/>
        <w:ind w:right="671"/>
        <w:jc w:val="center"/>
        <w:rPr>
          <w:i/>
          <w:sz w:val="20"/>
          <w:szCs w:val="20"/>
        </w:rPr>
      </w:pPr>
      <w:r w:rsidRPr="004961CE">
        <w:rPr>
          <w:i/>
          <w:iCs/>
          <w:sz w:val="20"/>
          <w:szCs w:val="20"/>
          <w:lang w:val="en"/>
        </w:rPr>
        <w:t>Prof. Loïc Guillevin</w:t>
      </w:r>
    </w:p>
    <w:p w:rsidR="00CD39A7" w:rsidRPr="004961CE" w:rsidRDefault="005B3809" w:rsidP="00D03011">
      <w:pPr>
        <w:spacing w:before="1"/>
        <w:ind w:right="671"/>
        <w:jc w:val="center"/>
        <w:rPr>
          <w:sz w:val="20"/>
          <w:szCs w:val="20"/>
        </w:rPr>
      </w:pPr>
      <w:r w:rsidRPr="004961CE">
        <w:rPr>
          <w:sz w:val="20"/>
          <w:szCs w:val="20"/>
          <w:lang w:val="en"/>
        </w:rPr>
        <w:t>Pôle de Médecine Interne [Department of Internal Medicine]</w:t>
      </w:r>
    </w:p>
    <w:p w:rsidR="00CD39A7" w:rsidRPr="004961CE" w:rsidRDefault="005B3809" w:rsidP="00D03011">
      <w:pPr>
        <w:ind w:right="671" w:hanging="22"/>
        <w:jc w:val="center"/>
        <w:rPr>
          <w:sz w:val="20"/>
          <w:szCs w:val="20"/>
        </w:rPr>
      </w:pPr>
      <w:r w:rsidRPr="004961CE">
        <w:rPr>
          <w:sz w:val="20"/>
          <w:szCs w:val="20"/>
          <w:lang w:val="en"/>
        </w:rPr>
        <w:t>Reference center "Maladies systémiques et autoimmunes rares, en particulier Vascularites nécrosantes et Sclérodermies systémiques" [Rare autoimmune and systemic diseases, particularly necrotizing vasculitis and systemic scleroderma]</w:t>
      </w:r>
    </w:p>
    <w:p w:rsidR="00CD39A7" w:rsidRPr="004961CE" w:rsidRDefault="005B3809" w:rsidP="00D03011">
      <w:pPr>
        <w:ind w:right="671"/>
        <w:jc w:val="center"/>
        <w:rPr>
          <w:sz w:val="20"/>
          <w:szCs w:val="20"/>
          <w:lang w:val="fr-CA"/>
        </w:rPr>
      </w:pPr>
      <w:r w:rsidRPr="004961CE">
        <w:rPr>
          <w:sz w:val="20"/>
          <w:szCs w:val="20"/>
          <w:lang w:val="fr-CA"/>
        </w:rPr>
        <w:t xml:space="preserve">Hôpital Cochin, Assistance Publique-Hôpitaux de Paris </w:t>
      </w:r>
      <w:r w:rsidR="00825B88">
        <w:rPr>
          <w:sz w:val="20"/>
          <w:szCs w:val="20"/>
          <w:lang w:val="fr-CA"/>
        </w:rPr>
        <w:br/>
      </w:r>
      <w:r w:rsidRPr="004961CE">
        <w:rPr>
          <w:sz w:val="20"/>
          <w:szCs w:val="20"/>
          <w:lang w:val="fr-CA"/>
        </w:rPr>
        <w:t>27, rue du Faubourg Saint-Jacques, Paris, France</w:t>
      </w:r>
    </w:p>
    <w:p w:rsidR="00CD39A7" w:rsidRPr="004961CE" w:rsidRDefault="005B3809" w:rsidP="00D03011">
      <w:pPr>
        <w:spacing w:before="3"/>
        <w:ind w:right="671"/>
        <w:jc w:val="center"/>
        <w:rPr>
          <w:sz w:val="20"/>
          <w:szCs w:val="20"/>
          <w:lang w:val="fr-CA"/>
        </w:rPr>
      </w:pPr>
      <w:r w:rsidRPr="004961CE">
        <w:rPr>
          <w:sz w:val="20"/>
          <w:szCs w:val="20"/>
          <w:lang w:val="fr-CA"/>
        </w:rPr>
        <w:t>Tel: 33 1 58 41 13 21 / Fax: 33 1 58 41 14 60</w:t>
      </w:r>
    </w:p>
    <w:p w:rsidR="00CD39A7" w:rsidRPr="004961CE" w:rsidRDefault="005B3809" w:rsidP="00D03011">
      <w:pPr>
        <w:ind w:right="671"/>
        <w:jc w:val="center"/>
        <w:rPr>
          <w:sz w:val="20"/>
          <w:szCs w:val="20"/>
          <w:lang w:val="fr-CA"/>
        </w:rPr>
      </w:pPr>
      <w:r w:rsidRPr="004961CE">
        <w:rPr>
          <w:sz w:val="20"/>
          <w:szCs w:val="20"/>
          <w:lang w:val="fr-CA"/>
        </w:rPr>
        <w:t xml:space="preserve">Email: </w:t>
      </w:r>
      <w:hyperlink r:id="rId10">
        <w:r w:rsidRPr="004961CE">
          <w:rPr>
            <w:sz w:val="20"/>
            <w:szCs w:val="20"/>
            <w:lang w:val="fr-CA"/>
          </w:rPr>
          <w:t>loic.guillevin@cch.aphp.fr</w:t>
        </w:r>
      </w:hyperlink>
    </w:p>
    <w:p w:rsidR="00CD39A7" w:rsidRPr="004961CE" w:rsidRDefault="00CD39A7" w:rsidP="00D03011">
      <w:pPr>
        <w:pStyle w:val="BodyText"/>
        <w:spacing w:before="4"/>
        <w:ind w:right="671"/>
        <w:jc w:val="center"/>
        <w:rPr>
          <w:sz w:val="20"/>
          <w:szCs w:val="20"/>
          <w:lang w:val="fr-CA"/>
        </w:rPr>
      </w:pPr>
    </w:p>
    <w:p w:rsidR="00CD39A7" w:rsidRPr="004961CE" w:rsidRDefault="005B3809" w:rsidP="00D03011">
      <w:pPr>
        <w:spacing w:line="237" w:lineRule="auto"/>
        <w:ind w:right="671"/>
        <w:jc w:val="center"/>
        <w:rPr>
          <w:sz w:val="20"/>
          <w:szCs w:val="20"/>
          <w:lang w:val="fr-CA"/>
        </w:rPr>
      </w:pPr>
      <w:r w:rsidRPr="004961CE">
        <w:rPr>
          <w:b/>
          <w:bCs/>
          <w:sz w:val="20"/>
          <w:szCs w:val="20"/>
          <w:u w:val="single"/>
          <w:lang w:val="fr-CA"/>
        </w:rPr>
        <w:t xml:space="preserve">Scientific Director </w:t>
      </w:r>
      <w:r w:rsidR="00304B1D">
        <w:rPr>
          <w:b/>
          <w:bCs/>
          <w:sz w:val="20"/>
          <w:szCs w:val="20"/>
          <w:u w:val="single"/>
          <w:lang w:val="fr-CA"/>
        </w:rPr>
        <w:br/>
      </w:r>
      <w:r w:rsidRPr="004961CE">
        <w:rPr>
          <w:i/>
          <w:iCs/>
          <w:sz w:val="20"/>
          <w:szCs w:val="20"/>
          <w:lang w:val="fr-CA"/>
        </w:rPr>
        <w:t xml:space="preserve">Dr Christian Pagnoux </w:t>
      </w:r>
      <w:r w:rsidR="00825B88">
        <w:rPr>
          <w:i/>
          <w:iCs/>
          <w:sz w:val="20"/>
          <w:szCs w:val="20"/>
          <w:lang w:val="fr-CA"/>
        </w:rPr>
        <w:br/>
      </w:r>
      <w:r w:rsidRPr="004961CE">
        <w:rPr>
          <w:sz w:val="20"/>
          <w:szCs w:val="20"/>
          <w:lang w:val="fr-CA"/>
        </w:rPr>
        <w:t>Pôle de Médecine Interne [Department of Internal Medicine]</w:t>
      </w:r>
    </w:p>
    <w:p w:rsidR="00CD39A7" w:rsidRPr="004961CE" w:rsidRDefault="005B3809" w:rsidP="00D03011">
      <w:pPr>
        <w:spacing w:before="1"/>
        <w:ind w:right="671" w:hanging="22"/>
        <w:jc w:val="center"/>
        <w:rPr>
          <w:sz w:val="20"/>
          <w:szCs w:val="20"/>
          <w:lang w:val="fr-CA"/>
        </w:rPr>
      </w:pPr>
      <w:r w:rsidRPr="004961CE">
        <w:rPr>
          <w:sz w:val="20"/>
          <w:szCs w:val="20"/>
          <w:lang w:val="fr-CA"/>
        </w:rPr>
        <w:t>Reference center "Maladies systémiques et autoimmunes rares, en particulier Vascularites nécrosantes et Sclérodermies systémiques" [Rare autoimmune and systemic diseases, particularly necrotizing vasculitis and systemic scleroderma]</w:t>
      </w:r>
    </w:p>
    <w:p w:rsidR="00CD39A7" w:rsidRPr="004961CE" w:rsidRDefault="005B3809" w:rsidP="00D03011">
      <w:pPr>
        <w:ind w:right="671"/>
        <w:jc w:val="center"/>
        <w:rPr>
          <w:sz w:val="20"/>
          <w:szCs w:val="20"/>
          <w:lang w:val="fr-CA"/>
        </w:rPr>
      </w:pPr>
      <w:r w:rsidRPr="004961CE">
        <w:rPr>
          <w:sz w:val="20"/>
          <w:szCs w:val="20"/>
          <w:lang w:val="fr-CA"/>
        </w:rPr>
        <w:t xml:space="preserve">Hôpital Cochin, Assistance Publique-Hôpitaux de Paris </w:t>
      </w:r>
      <w:r w:rsidR="00411BCD">
        <w:rPr>
          <w:sz w:val="20"/>
          <w:szCs w:val="20"/>
          <w:lang w:val="fr-CA"/>
        </w:rPr>
        <w:br/>
      </w:r>
      <w:r w:rsidRPr="004961CE">
        <w:rPr>
          <w:sz w:val="20"/>
          <w:szCs w:val="20"/>
          <w:lang w:val="fr-CA"/>
        </w:rPr>
        <w:t>27, rue du Faubourg Saint-Jacques, Paris, France</w:t>
      </w:r>
    </w:p>
    <w:p w:rsidR="00CD39A7" w:rsidRPr="004961CE" w:rsidRDefault="005B3809" w:rsidP="00D03011">
      <w:pPr>
        <w:ind w:right="671"/>
        <w:jc w:val="center"/>
        <w:rPr>
          <w:sz w:val="20"/>
          <w:szCs w:val="20"/>
        </w:rPr>
      </w:pPr>
      <w:r w:rsidRPr="004961CE">
        <w:rPr>
          <w:sz w:val="20"/>
          <w:szCs w:val="20"/>
          <w:lang w:val="en"/>
        </w:rPr>
        <w:t>Tel: 33 1 58 41 14 61 / Fax: 33 1 58 41 14 60</w:t>
      </w:r>
    </w:p>
    <w:p w:rsidR="00CD39A7" w:rsidRPr="004961CE" w:rsidRDefault="005B3809" w:rsidP="00D03011">
      <w:pPr>
        <w:ind w:right="671"/>
        <w:jc w:val="center"/>
        <w:rPr>
          <w:sz w:val="20"/>
          <w:szCs w:val="20"/>
        </w:rPr>
      </w:pPr>
      <w:r w:rsidRPr="004961CE">
        <w:rPr>
          <w:sz w:val="20"/>
          <w:szCs w:val="20"/>
          <w:lang w:val="en"/>
        </w:rPr>
        <w:t xml:space="preserve">Email: </w:t>
      </w:r>
      <w:hyperlink r:id="rId11">
        <w:r w:rsidRPr="004961CE">
          <w:rPr>
            <w:sz w:val="20"/>
            <w:szCs w:val="20"/>
            <w:lang w:val="en"/>
          </w:rPr>
          <w:t>christian.pagnoux@cch.aphp.fr</w:t>
        </w:r>
      </w:hyperlink>
    </w:p>
    <w:p w:rsidR="00CD39A7" w:rsidRPr="004961CE" w:rsidRDefault="00CD39A7" w:rsidP="00D03011">
      <w:pPr>
        <w:pStyle w:val="BodyText"/>
        <w:spacing w:before="6"/>
        <w:ind w:right="671"/>
        <w:jc w:val="center"/>
        <w:rPr>
          <w:sz w:val="20"/>
          <w:szCs w:val="20"/>
        </w:rPr>
      </w:pPr>
    </w:p>
    <w:p w:rsidR="00CD39A7" w:rsidRPr="004961CE" w:rsidRDefault="005B3809" w:rsidP="00D03011">
      <w:pPr>
        <w:spacing w:line="237" w:lineRule="auto"/>
        <w:ind w:right="671" w:hanging="94"/>
        <w:jc w:val="center"/>
        <w:rPr>
          <w:sz w:val="20"/>
          <w:szCs w:val="20"/>
        </w:rPr>
      </w:pPr>
      <w:bookmarkStart w:id="2" w:name="Suivi_de_l’étude_et_Monitoring"/>
      <w:bookmarkEnd w:id="2"/>
      <w:r w:rsidRPr="004961CE">
        <w:rPr>
          <w:b/>
          <w:bCs/>
          <w:sz w:val="20"/>
          <w:szCs w:val="20"/>
          <w:u w:val="single"/>
          <w:lang w:val="en"/>
        </w:rPr>
        <w:t xml:space="preserve">Study Visits and Monitoring </w:t>
      </w:r>
      <w:r w:rsidR="00703C72">
        <w:rPr>
          <w:b/>
          <w:bCs/>
          <w:sz w:val="20"/>
          <w:szCs w:val="20"/>
          <w:u w:val="single"/>
          <w:lang w:val="en"/>
        </w:rPr>
        <w:br/>
      </w:r>
      <w:r w:rsidRPr="004961CE">
        <w:rPr>
          <w:b/>
          <w:bCs/>
          <w:sz w:val="20"/>
          <w:szCs w:val="20"/>
          <w:lang w:val="en"/>
        </w:rPr>
        <w:t xml:space="preserve">URC/CIC Cochin-Necker </w:t>
      </w:r>
      <w:r w:rsidR="00703C72">
        <w:rPr>
          <w:b/>
          <w:bCs/>
          <w:sz w:val="20"/>
          <w:szCs w:val="20"/>
          <w:lang w:val="en"/>
        </w:rPr>
        <w:br/>
      </w:r>
      <w:r w:rsidRPr="004961CE">
        <w:rPr>
          <w:sz w:val="20"/>
          <w:szCs w:val="20"/>
          <w:lang w:val="en"/>
        </w:rPr>
        <w:t>GH Cochin - Hôpital Tarnier</w:t>
      </w:r>
    </w:p>
    <w:p w:rsidR="00CD39A7" w:rsidRPr="004961CE" w:rsidRDefault="005B3809" w:rsidP="00D03011">
      <w:pPr>
        <w:ind w:right="671"/>
        <w:jc w:val="center"/>
        <w:rPr>
          <w:sz w:val="20"/>
          <w:szCs w:val="20"/>
          <w:lang w:val="fr-CA"/>
        </w:rPr>
      </w:pPr>
      <w:r w:rsidRPr="004961CE">
        <w:rPr>
          <w:sz w:val="20"/>
          <w:szCs w:val="20"/>
          <w:lang w:val="fr-CA"/>
        </w:rPr>
        <w:t>89, rue d’Assas</w:t>
      </w:r>
    </w:p>
    <w:p w:rsidR="00CD39A7" w:rsidRPr="004961CE" w:rsidRDefault="005B3809" w:rsidP="00D03011">
      <w:pPr>
        <w:ind w:right="671"/>
        <w:jc w:val="center"/>
        <w:rPr>
          <w:sz w:val="20"/>
          <w:szCs w:val="20"/>
          <w:lang w:val="fr-CA"/>
        </w:rPr>
      </w:pPr>
      <w:bookmarkStart w:id="3" w:name="Chef_de_Projet_:_Séverine_Poignant_-_Tél"/>
      <w:bookmarkEnd w:id="3"/>
      <w:r w:rsidRPr="004961CE">
        <w:rPr>
          <w:sz w:val="20"/>
          <w:szCs w:val="20"/>
          <w:lang w:val="fr-CA"/>
        </w:rPr>
        <w:t>75006 Paris</w:t>
      </w:r>
    </w:p>
    <w:p w:rsidR="00CD39A7" w:rsidRPr="004961CE" w:rsidRDefault="005B3809" w:rsidP="00D03011">
      <w:pPr>
        <w:ind w:right="671"/>
        <w:jc w:val="center"/>
        <w:rPr>
          <w:i/>
          <w:sz w:val="20"/>
          <w:szCs w:val="20"/>
          <w:lang w:val="fr-CA"/>
        </w:rPr>
      </w:pPr>
      <w:r w:rsidRPr="004961CE">
        <w:rPr>
          <w:i/>
          <w:iCs/>
          <w:sz w:val="20"/>
          <w:szCs w:val="20"/>
          <w:lang w:val="fr-CA"/>
        </w:rPr>
        <w:t xml:space="preserve">Project Manager: Séverine Poignant - Tel.: 01.58.41.12.11 </w:t>
      </w:r>
      <w:r w:rsidR="00703C72">
        <w:rPr>
          <w:i/>
          <w:iCs/>
          <w:sz w:val="20"/>
          <w:szCs w:val="20"/>
          <w:lang w:val="fr-CA"/>
        </w:rPr>
        <w:br/>
      </w:r>
      <w:r w:rsidRPr="004961CE">
        <w:rPr>
          <w:i/>
          <w:iCs/>
          <w:sz w:val="20"/>
          <w:szCs w:val="20"/>
          <w:lang w:val="fr-CA"/>
        </w:rPr>
        <w:t>Clinical Research Associate: Emilie Vaillant - Tel.: 01.58.41.11.89</w:t>
      </w:r>
    </w:p>
    <w:p w:rsidR="00CD39A7" w:rsidRPr="004961CE" w:rsidRDefault="005B3809" w:rsidP="00D03011">
      <w:pPr>
        <w:ind w:right="671"/>
        <w:jc w:val="center"/>
        <w:rPr>
          <w:sz w:val="20"/>
          <w:szCs w:val="20"/>
        </w:rPr>
      </w:pPr>
      <w:r w:rsidRPr="004961CE">
        <w:rPr>
          <w:sz w:val="20"/>
          <w:szCs w:val="20"/>
          <w:lang w:val="en"/>
        </w:rPr>
        <w:t>Fax: 1 58 41 11 83</w:t>
      </w:r>
    </w:p>
    <w:p w:rsidR="00CD39A7" w:rsidRPr="004961CE" w:rsidRDefault="00CD39A7" w:rsidP="00D03011">
      <w:pPr>
        <w:ind w:right="671"/>
        <w:jc w:val="center"/>
        <w:rPr>
          <w:sz w:val="20"/>
          <w:szCs w:val="20"/>
        </w:rPr>
        <w:sectPr w:rsidR="00CD39A7" w:rsidRPr="004961CE">
          <w:footerReference w:type="default" r:id="rId12"/>
          <w:pgSz w:w="11910" w:h="16840"/>
          <w:pgMar w:top="500" w:right="480" w:bottom="1140" w:left="1120" w:header="0" w:footer="952" w:gutter="0"/>
          <w:pgNumType w:start="1"/>
          <w:cols w:space="720"/>
        </w:sectPr>
      </w:pPr>
    </w:p>
    <w:p w:rsidR="00CD39A7" w:rsidRPr="0021354B" w:rsidRDefault="005B3809" w:rsidP="0021354B">
      <w:pPr>
        <w:pStyle w:val="Heading1"/>
        <w:spacing w:before="75"/>
        <w:ind w:left="2835" w:right="2789"/>
        <w:jc w:val="center"/>
      </w:pPr>
      <w:bookmarkStart w:id="4" w:name="Sommaire"/>
      <w:bookmarkEnd w:id="4"/>
      <w:r w:rsidRPr="0021354B">
        <w:rPr>
          <w:lang w:val="en"/>
        </w:rPr>
        <w:lastRenderedPageBreak/>
        <w:t>Table of Contents</w:t>
      </w:r>
    </w:p>
    <w:p w:rsidR="00CD39A7" w:rsidRPr="008A72C9" w:rsidRDefault="001A5673" w:rsidP="00576525">
      <w:pPr>
        <w:pStyle w:val="Heading4"/>
        <w:tabs>
          <w:tab w:val="right" w:pos="9178"/>
        </w:tabs>
        <w:spacing w:before="276"/>
        <w:ind w:left="142" w:firstLine="0"/>
        <w:jc w:val="left"/>
      </w:pPr>
      <w:r>
        <w:rPr>
          <w:bCs w:val="0"/>
          <w:lang w:val="en"/>
        </w:rPr>
        <w:pict>
          <v:group id="_x0000_s1165" style="position:absolute;left:0;text-align:left;margin-left:70.2pt;margin-top:26.3pt;width:454.35pt;height:1.2pt;z-index:-251631104;mso-position-horizontal-relative:page" coordorigin="1404,526" coordsize="9087,24">
            <v:line id="_x0000_s1167" style="position:absolute" from="1416,538" to="2443,538" strokeweight="1.2pt"/>
            <v:line id="_x0000_s1166" style="position:absolute" from="2443,538" to="10478,538" strokeweight="1.2pt"/>
            <w10:wrap anchorx="page"/>
          </v:group>
        </w:pict>
      </w:r>
      <w:hyperlink w:anchor="_bookmark86" w:history="1">
        <w:r w:rsidR="005D56C5" w:rsidRPr="008A72C9">
          <w:rPr>
            <w:bCs w:val="0"/>
            <w:lang w:val="en"/>
          </w:rPr>
          <w:t>SUMMARY</w:t>
        </w:r>
        <w:r w:rsidR="005D56C5" w:rsidRPr="008A72C9">
          <w:rPr>
            <w:bCs w:val="0"/>
            <w:lang w:val="en"/>
          </w:rPr>
          <w:tab/>
        </w:r>
        <w:r w:rsidR="005D56C5" w:rsidRPr="008A72C9">
          <w:rPr>
            <w:lang w:val="en"/>
          </w:rPr>
          <w:t>5</w:t>
        </w:r>
      </w:hyperlink>
    </w:p>
    <w:p w:rsidR="00CD39A7" w:rsidRPr="0021354B" w:rsidRDefault="001A5673" w:rsidP="00576525">
      <w:pPr>
        <w:pStyle w:val="Heading4"/>
        <w:numPr>
          <w:ilvl w:val="0"/>
          <w:numId w:val="44"/>
        </w:numPr>
        <w:tabs>
          <w:tab w:val="left" w:pos="356"/>
          <w:tab w:val="right" w:pos="9178"/>
        </w:tabs>
        <w:ind w:left="142" w:firstLine="0"/>
      </w:pPr>
      <w:r>
        <w:rPr>
          <w:b w:val="0"/>
          <w:bCs w:val="0"/>
          <w:lang w:val="en"/>
        </w:rPr>
        <w:pict>
          <v:group id="_x0000_s1162" style="position:absolute;left:0;text-align:left;margin-left:70.2pt;margin-top:12.5pt;width:454.35pt;height:1.2pt;z-index:-251630080;mso-position-horizontal-relative:page" coordorigin="1404,250" coordsize="9087,24">
            <v:line id="_x0000_s1164" style="position:absolute" from="1416,262" to="3576,262" strokeweight="1.2pt"/>
            <v:line id="_x0000_s1163" style="position:absolute" from="3576,262" to="10478,262" strokeweight="1.2pt"/>
            <w10:wrap anchorx="page"/>
          </v:group>
        </w:pict>
      </w:r>
      <w:hyperlink w:anchor="_bookmark87" w:history="1">
        <w:r w:rsidR="005D56C5" w:rsidRPr="0021354B">
          <w:rPr>
            <w:lang w:val="en"/>
          </w:rPr>
          <w:t>INTRODUCTION</w:t>
        </w:r>
        <w:r w:rsidR="005D56C5" w:rsidRPr="0021354B">
          <w:rPr>
            <w:lang w:val="en"/>
          </w:rPr>
          <w:tab/>
          <w:t>10</w:t>
        </w:r>
      </w:hyperlink>
    </w:p>
    <w:p w:rsidR="00CD39A7" w:rsidRPr="0084303F" w:rsidRDefault="001A5673" w:rsidP="00576525">
      <w:pPr>
        <w:pStyle w:val="ListParagraph"/>
        <w:numPr>
          <w:ilvl w:val="1"/>
          <w:numId w:val="44"/>
        </w:numPr>
        <w:tabs>
          <w:tab w:val="left" w:pos="835"/>
          <w:tab w:val="left" w:pos="836"/>
          <w:tab w:val="right" w:pos="9178"/>
        </w:tabs>
        <w:ind w:left="142" w:firstLine="0"/>
        <w:rPr>
          <w:b/>
        </w:rPr>
      </w:pPr>
      <w:hyperlink w:anchor="_bookmark88" w:history="1">
        <w:r w:rsidR="0054397C">
          <w:rPr>
            <w:b/>
            <w:bCs/>
            <w:lang w:val="en"/>
          </w:rPr>
          <w:t>LITERATURE REVIEW</w:t>
        </w:r>
        <w:r w:rsidR="005D56C5" w:rsidRPr="0084303F">
          <w:rPr>
            <w:b/>
            <w:bCs/>
            <w:sz w:val="24"/>
            <w:lang w:val="en"/>
          </w:rPr>
          <w:t xml:space="preserve">: </w:t>
        </w:r>
        <w:r w:rsidR="005D56C5" w:rsidRPr="0084303F">
          <w:rPr>
            <w:b/>
            <w:bCs/>
            <w:lang w:val="en"/>
          </w:rPr>
          <w:t>TREATMENT OF ANCA-ASSOCIATED</w:t>
        </w:r>
      </w:hyperlink>
      <w:r w:rsidR="0084303F" w:rsidRPr="0084303F">
        <w:rPr>
          <w:b/>
          <w:bCs/>
          <w:lang w:val="en"/>
        </w:rPr>
        <w:t xml:space="preserve"> </w:t>
      </w:r>
      <w:hyperlink w:anchor="_bookmark88" w:history="1">
        <w:r w:rsidR="0084303F">
          <w:rPr>
            <w:b/>
            <w:lang w:val="en"/>
          </w:rPr>
          <w:t>VASCULITIS</w:t>
        </w:r>
        <w:r w:rsidR="005D56C5" w:rsidRPr="0084303F">
          <w:rPr>
            <w:b/>
            <w:lang w:val="en"/>
          </w:rPr>
          <w:tab/>
          <w:t>1</w:t>
        </w:r>
        <w:r w:rsidR="005F344B">
          <w:rPr>
            <w:b/>
            <w:lang w:val="en"/>
          </w:rPr>
          <w:t>0</w:t>
        </w:r>
      </w:hyperlink>
    </w:p>
    <w:p w:rsidR="00CD39A7" w:rsidRPr="0021354B" w:rsidRDefault="001A5673" w:rsidP="00576525">
      <w:pPr>
        <w:tabs>
          <w:tab w:val="right" w:pos="9178"/>
        </w:tabs>
        <w:spacing w:line="275" w:lineRule="exact"/>
        <w:ind w:left="142"/>
        <w:rPr>
          <w:b/>
          <w:sz w:val="24"/>
        </w:rPr>
      </w:pPr>
      <w:hyperlink w:anchor="_bookmark89" w:history="1">
        <w:r w:rsidR="005D56C5" w:rsidRPr="0021354B">
          <w:rPr>
            <w:b/>
            <w:bCs/>
            <w:lang w:val="en"/>
          </w:rPr>
          <w:t xml:space="preserve">A / TREATMENT OF WEGENER’S GRANULOMATOSIS </w:t>
        </w:r>
        <w:r w:rsidR="005D56C5" w:rsidRPr="0021354B">
          <w:rPr>
            <w:b/>
            <w:bCs/>
            <w:lang w:val="en"/>
          </w:rPr>
          <w:tab/>
          <w:t>1</w:t>
        </w:r>
        <w:r w:rsidR="005F344B">
          <w:rPr>
            <w:b/>
            <w:bCs/>
            <w:lang w:val="en"/>
          </w:rPr>
          <w:t>0</w:t>
        </w:r>
      </w:hyperlink>
    </w:p>
    <w:p w:rsidR="00CD39A7" w:rsidRPr="0021354B" w:rsidRDefault="001A5673" w:rsidP="00576525">
      <w:pPr>
        <w:pStyle w:val="ListParagraph"/>
        <w:numPr>
          <w:ilvl w:val="0"/>
          <w:numId w:val="45"/>
        </w:numPr>
        <w:tabs>
          <w:tab w:val="left" w:pos="835"/>
          <w:tab w:val="left" w:pos="836"/>
          <w:tab w:val="right" w:pos="9178"/>
        </w:tabs>
        <w:spacing w:line="292" w:lineRule="exact"/>
        <w:ind w:left="142" w:firstLine="0"/>
        <w:rPr>
          <w:sz w:val="24"/>
        </w:rPr>
      </w:pPr>
      <w:hyperlink w:anchor="_bookmark90" w:history="1">
        <w:r w:rsidR="005D56C5" w:rsidRPr="0021354B">
          <w:rPr>
            <w:lang w:val="en"/>
          </w:rPr>
          <w:t>CORTICOSTEROIDS</w:t>
        </w:r>
        <w:r w:rsidR="005D56C5" w:rsidRPr="0021354B">
          <w:rPr>
            <w:lang w:val="en"/>
          </w:rPr>
          <w:tab/>
          <w:t>11</w:t>
        </w:r>
      </w:hyperlink>
    </w:p>
    <w:p w:rsidR="00CD39A7" w:rsidRPr="0021354B" w:rsidRDefault="001A5673" w:rsidP="00576525">
      <w:pPr>
        <w:pStyle w:val="ListParagraph"/>
        <w:numPr>
          <w:ilvl w:val="0"/>
          <w:numId w:val="45"/>
        </w:numPr>
        <w:tabs>
          <w:tab w:val="left" w:pos="838"/>
          <w:tab w:val="left" w:pos="839"/>
          <w:tab w:val="right" w:pos="9178"/>
        </w:tabs>
        <w:spacing w:line="293" w:lineRule="exact"/>
        <w:ind w:left="142" w:firstLine="0"/>
        <w:rPr>
          <w:sz w:val="24"/>
        </w:rPr>
      </w:pPr>
      <w:hyperlink w:anchor="_bookmark91" w:history="1">
        <w:r w:rsidR="005D56C5" w:rsidRPr="0021354B">
          <w:rPr>
            <w:lang w:val="en"/>
          </w:rPr>
          <w:t>CYCLOPHOSPHAMIDE</w:t>
        </w:r>
        <w:r w:rsidR="005D56C5" w:rsidRPr="0021354B">
          <w:rPr>
            <w:lang w:val="en"/>
          </w:rPr>
          <w:tab/>
          <w:t>1</w:t>
        </w:r>
        <w:r w:rsidR="005F344B">
          <w:rPr>
            <w:lang w:val="en"/>
          </w:rPr>
          <w:t>1</w:t>
        </w:r>
      </w:hyperlink>
    </w:p>
    <w:p w:rsidR="00CD39A7" w:rsidRPr="0021354B" w:rsidRDefault="001A5673" w:rsidP="00576525">
      <w:pPr>
        <w:pStyle w:val="ListParagraph"/>
        <w:numPr>
          <w:ilvl w:val="0"/>
          <w:numId w:val="45"/>
        </w:numPr>
        <w:tabs>
          <w:tab w:val="left" w:pos="838"/>
          <w:tab w:val="left" w:pos="839"/>
          <w:tab w:val="right" w:pos="9178"/>
        </w:tabs>
        <w:spacing w:line="293" w:lineRule="exact"/>
        <w:ind w:left="142" w:firstLine="0"/>
        <w:rPr>
          <w:sz w:val="24"/>
        </w:rPr>
      </w:pPr>
      <w:hyperlink w:anchor="_bookmark92" w:history="1">
        <w:r w:rsidR="005D56C5" w:rsidRPr="0021354B">
          <w:rPr>
            <w:lang w:val="en"/>
          </w:rPr>
          <w:t>IMMUNOGLOBULINS</w:t>
        </w:r>
        <w:r w:rsidR="005D56C5" w:rsidRPr="0021354B">
          <w:rPr>
            <w:lang w:val="en"/>
          </w:rPr>
          <w:tab/>
          <w:t>12</w:t>
        </w:r>
      </w:hyperlink>
    </w:p>
    <w:p w:rsidR="00CD39A7" w:rsidRPr="0021354B" w:rsidRDefault="001A5673" w:rsidP="00576525">
      <w:pPr>
        <w:pStyle w:val="ListParagraph"/>
        <w:numPr>
          <w:ilvl w:val="0"/>
          <w:numId w:val="45"/>
        </w:numPr>
        <w:tabs>
          <w:tab w:val="left" w:pos="838"/>
          <w:tab w:val="left" w:pos="839"/>
          <w:tab w:val="right" w:pos="9178"/>
        </w:tabs>
        <w:spacing w:line="293" w:lineRule="exact"/>
        <w:ind w:left="142" w:firstLine="0"/>
        <w:rPr>
          <w:sz w:val="24"/>
        </w:rPr>
      </w:pPr>
      <w:hyperlink w:anchor="_bookmark93" w:history="1">
        <w:r w:rsidR="005D56C5" w:rsidRPr="0021354B">
          <w:rPr>
            <w:lang w:val="en"/>
          </w:rPr>
          <w:t>PLASMA EXCHANGES</w:t>
        </w:r>
        <w:r w:rsidR="005D56C5" w:rsidRPr="0021354B">
          <w:rPr>
            <w:lang w:val="en"/>
          </w:rPr>
          <w:tab/>
          <w:t>1</w:t>
        </w:r>
        <w:r w:rsidR="005F344B">
          <w:rPr>
            <w:lang w:val="en"/>
          </w:rPr>
          <w:t>2</w:t>
        </w:r>
      </w:hyperlink>
    </w:p>
    <w:p w:rsidR="00CD39A7" w:rsidRPr="00576525" w:rsidRDefault="001A5673" w:rsidP="00576525">
      <w:pPr>
        <w:pStyle w:val="ListParagraph"/>
        <w:numPr>
          <w:ilvl w:val="0"/>
          <w:numId w:val="45"/>
        </w:numPr>
        <w:tabs>
          <w:tab w:val="right" w:pos="851"/>
          <w:tab w:val="right" w:pos="9180"/>
        </w:tabs>
        <w:spacing w:line="293" w:lineRule="exact"/>
        <w:ind w:left="142" w:firstLine="0"/>
        <w:rPr>
          <w:lang w:val="en"/>
        </w:rPr>
      </w:pPr>
      <w:hyperlink w:anchor="_bookmark94" w:history="1">
        <w:r w:rsidR="005D56C5" w:rsidRPr="00576525">
          <w:rPr>
            <w:lang w:val="en"/>
          </w:rPr>
          <w:t xml:space="preserve">OTHER IMMUNOSUPPRESSIVE THERAPIES: THE NEW AND </w:t>
        </w:r>
        <w:r w:rsidR="00554405">
          <w:rPr>
            <w:lang w:val="en"/>
          </w:rPr>
          <w:br/>
        </w:r>
        <w:r w:rsidR="005D56C5" w:rsidRPr="00576525">
          <w:rPr>
            <w:lang w:val="en"/>
          </w:rPr>
          <w:t>"OLD"</w:t>
        </w:r>
      </w:hyperlink>
      <w:r w:rsidR="00576525">
        <w:rPr>
          <w:lang w:val="en"/>
        </w:rPr>
        <w:t xml:space="preserve"> </w:t>
      </w:r>
      <w:hyperlink w:anchor="_bookmark94" w:history="1">
        <w:r w:rsidR="00AE4AF2">
          <w:rPr>
            <w:lang w:val="en"/>
          </w:rPr>
          <w:t>MEDICATIONS</w:t>
        </w:r>
        <w:r w:rsidR="005D56C5" w:rsidRPr="00576525">
          <w:rPr>
            <w:lang w:val="en"/>
          </w:rPr>
          <w:tab/>
          <w:t>13</w:t>
        </w:r>
      </w:hyperlink>
    </w:p>
    <w:p w:rsidR="00CD39A7" w:rsidRPr="0021354B" w:rsidRDefault="001A5673" w:rsidP="00576525">
      <w:pPr>
        <w:pStyle w:val="ListParagraph"/>
        <w:numPr>
          <w:ilvl w:val="0"/>
          <w:numId w:val="45"/>
        </w:numPr>
        <w:tabs>
          <w:tab w:val="left" w:pos="835"/>
          <w:tab w:val="left" w:pos="836"/>
          <w:tab w:val="right" w:pos="9178"/>
        </w:tabs>
        <w:spacing w:before="2"/>
        <w:ind w:left="142" w:firstLine="0"/>
        <w:rPr>
          <w:sz w:val="24"/>
        </w:rPr>
      </w:pPr>
      <w:hyperlink w:anchor="_bookmark95" w:history="1">
        <w:r w:rsidR="005D56C5" w:rsidRPr="0021354B">
          <w:rPr>
            <w:lang w:val="en"/>
          </w:rPr>
          <w:t>THE SPECIFIC CASE OF ANTI-CD20 ANTIBODIES</w:t>
        </w:r>
        <w:r w:rsidR="005D56C5" w:rsidRPr="0021354B">
          <w:rPr>
            <w:lang w:val="en"/>
          </w:rPr>
          <w:tab/>
          <w:t>1</w:t>
        </w:r>
        <w:r w:rsidR="005F344B">
          <w:rPr>
            <w:lang w:val="en"/>
          </w:rPr>
          <w:t>3</w:t>
        </w:r>
      </w:hyperlink>
    </w:p>
    <w:p w:rsidR="00CD39A7" w:rsidRPr="0021354B" w:rsidRDefault="001A5673" w:rsidP="00576525">
      <w:pPr>
        <w:tabs>
          <w:tab w:val="right" w:pos="9178"/>
        </w:tabs>
        <w:spacing w:before="3"/>
        <w:ind w:left="142"/>
        <w:rPr>
          <w:b/>
          <w:sz w:val="24"/>
        </w:rPr>
      </w:pPr>
      <w:hyperlink w:anchor="_bookmark96" w:history="1">
        <w:r w:rsidR="005D56C5" w:rsidRPr="0021354B">
          <w:rPr>
            <w:b/>
            <w:bCs/>
            <w:lang w:val="en"/>
          </w:rPr>
          <w:t>B / TREATMENT OF MICROSCOPIC POLYANGIITIS</w:t>
        </w:r>
        <w:r w:rsidR="005D56C5" w:rsidRPr="0021354B">
          <w:rPr>
            <w:b/>
            <w:bCs/>
            <w:lang w:val="en"/>
          </w:rPr>
          <w:tab/>
          <w:t>1</w:t>
        </w:r>
        <w:r w:rsidR="005F344B">
          <w:rPr>
            <w:b/>
            <w:bCs/>
            <w:lang w:val="en"/>
          </w:rPr>
          <w:t>6</w:t>
        </w:r>
      </w:hyperlink>
    </w:p>
    <w:p w:rsidR="00CD39A7" w:rsidRPr="00161D45" w:rsidRDefault="001A5673" w:rsidP="00161D45">
      <w:pPr>
        <w:pStyle w:val="ListParagraph"/>
        <w:numPr>
          <w:ilvl w:val="1"/>
          <w:numId w:val="44"/>
        </w:numPr>
        <w:tabs>
          <w:tab w:val="left" w:pos="464"/>
          <w:tab w:val="right" w:pos="9178"/>
        </w:tabs>
        <w:ind w:left="142" w:firstLine="0"/>
        <w:rPr>
          <w:b/>
          <w:bCs/>
          <w:lang w:val="en"/>
        </w:rPr>
      </w:pPr>
      <w:hyperlink w:anchor="_bookmark97" w:history="1">
        <w:r w:rsidR="005D56C5" w:rsidRPr="0021354B">
          <w:rPr>
            <w:b/>
            <w:bCs/>
            <w:lang w:val="en"/>
          </w:rPr>
          <w:t>BENEFITS / RISKS</w:t>
        </w:r>
        <w:r w:rsidR="005D56C5" w:rsidRPr="0021354B">
          <w:rPr>
            <w:b/>
            <w:bCs/>
            <w:lang w:val="en"/>
          </w:rPr>
          <w:tab/>
          <w:t>1</w:t>
        </w:r>
        <w:r w:rsidR="005F344B">
          <w:rPr>
            <w:b/>
            <w:bCs/>
            <w:lang w:val="en"/>
          </w:rPr>
          <w:t>7</w:t>
        </w:r>
      </w:hyperlink>
    </w:p>
    <w:p w:rsidR="00CD39A7" w:rsidRPr="0021354B" w:rsidRDefault="001A5673" w:rsidP="00576525">
      <w:pPr>
        <w:pStyle w:val="ListParagraph"/>
        <w:numPr>
          <w:ilvl w:val="0"/>
          <w:numId w:val="43"/>
        </w:numPr>
        <w:tabs>
          <w:tab w:val="left" w:pos="835"/>
          <w:tab w:val="left" w:pos="836"/>
          <w:tab w:val="right" w:pos="9178"/>
        </w:tabs>
        <w:spacing w:before="2" w:line="293" w:lineRule="exact"/>
        <w:ind w:left="142" w:firstLine="0"/>
        <w:rPr>
          <w:b/>
          <w:sz w:val="24"/>
        </w:rPr>
      </w:pPr>
      <w:hyperlink w:anchor="_bookmark98" w:history="1">
        <w:r w:rsidR="005D56C5" w:rsidRPr="0021354B">
          <w:rPr>
            <w:b/>
            <w:bCs/>
            <w:lang w:val="en"/>
          </w:rPr>
          <w:t>BENEFITS</w:t>
        </w:r>
        <w:r w:rsidR="005D56C5" w:rsidRPr="0021354B">
          <w:rPr>
            <w:b/>
            <w:bCs/>
            <w:lang w:val="en"/>
          </w:rPr>
          <w:tab/>
          <w:t>1</w:t>
        </w:r>
        <w:r w:rsidR="005F344B">
          <w:rPr>
            <w:b/>
            <w:bCs/>
            <w:lang w:val="en"/>
          </w:rPr>
          <w:t>7</w:t>
        </w:r>
      </w:hyperlink>
    </w:p>
    <w:p w:rsidR="00CD39A7" w:rsidRPr="0021354B" w:rsidRDefault="001A5673" w:rsidP="00576525">
      <w:pPr>
        <w:pStyle w:val="ListParagraph"/>
        <w:numPr>
          <w:ilvl w:val="0"/>
          <w:numId w:val="43"/>
        </w:numPr>
        <w:tabs>
          <w:tab w:val="left" w:pos="835"/>
          <w:tab w:val="left" w:pos="836"/>
          <w:tab w:val="right" w:pos="9178"/>
        </w:tabs>
        <w:ind w:left="142" w:right="126" w:firstLine="0"/>
        <w:rPr>
          <w:b/>
          <w:sz w:val="24"/>
        </w:rPr>
      </w:pPr>
      <w:hyperlink w:anchor="_bookmark99" w:history="1">
        <w:r w:rsidR="005D56C5" w:rsidRPr="0021354B">
          <w:rPr>
            <w:b/>
            <w:bCs/>
            <w:lang w:val="en"/>
          </w:rPr>
          <w:t>FORESEEABLE AND KNOWN RISKS FOR RESEARCH</w:t>
        </w:r>
      </w:hyperlink>
      <w:r w:rsidR="005D56C5" w:rsidRPr="0021354B">
        <w:rPr>
          <w:b/>
          <w:bCs/>
          <w:lang w:val="en"/>
        </w:rPr>
        <w:t xml:space="preserve"> </w:t>
      </w:r>
      <w:hyperlink w:anchor="_bookmark99" w:history="1">
        <w:r w:rsidR="005D56C5" w:rsidRPr="0021354B">
          <w:rPr>
            <w:b/>
            <w:bCs/>
            <w:lang w:val="en"/>
          </w:rPr>
          <w:t>PARTICIPANTS</w:t>
        </w:r>
        <w:r w:rsidR="005D56C5" w:rsidRPr="0021354B">
          <w:rPr>
            <w:b/>
            <w:bCs/>
            <w:lang w:val="en"/>
          </w:rPr>
          <w:tab/>
          <w:t>1</w:t>
        </w:r>
        <w:r w:rsidR="005F344B">
          <w:rPr>
            <w:b/>
            <w:bCs/>
            <w:lang w:val="en"/>
          </w:rPr>
          <w:t>7</w:t>
        </w:r>
      </w:hyperlink>
    </w:p>
    <w:p w:rsidR="00CD39A7" w:rsidRPr="00161D45" w:rsidRDefault="001A5673" w:rsidP="00161D45">
      <w:pPr>
        <w:pStyle w:val="ListParagraph"/>
        <w:numPr>
          <w:ilvl w:val="1"/>
          <w:numId w:val="44"/>
        </w:numPr>
        <w:tabs>
          <w:tab w:val="left" w:pos="464"/>
          <w:tab w:val="right" w:pos="9178"/>
        </w:tabs>
        <w:ind w:left="142" w:firstLine="0"/>
        <w:rPr>
          <w:b/>
          <w:bCs/>
          <w:lang w:val="en"/>
        </w:rPr>
      </w:pPr>
      <w:hyperlink w:anchor="_bookmark100" w:history="1">
        <w:r w:rsidR="005D56C5" w:rsidRPr="0021354B">
          <w:rPr>
            <w:b/>
            <w:bCs/>
            <w:lang w:val="en"/>
          </w:rPr>
          <w:t>JUSTIFICATION</w:t>
        </w:r>
        <w:r w:rsidR="005D56C5" w:rsidRPr="0021354B">
          <w:rPr>
            <w:b/>
            <w:bCs/>
            <w:lang w:val="en"/>
          </w:rPr>
          <w:tab/>
        </w:r>
        <w:r w:rsidR="005F344B">
          <w:rPr>
            <w:b/>
            <w:bCs/>
            <w:lang w:val="en"/>
          </w:rPr>
          <w:t>19</w:t>
        </w:r>
      </w:hyperlink>
    </w:p>
    <w:p w:rsidR="00CD39A7" w:rsidRPr="00161D45" w:rsidRDefault="001A5673" w:rsidP="00161D45">
      <w:pPr>
        <w:pStyle w:val="ListParagraph"/>
        <w:numPr>
          <w:ilvl w:val="1"/>
          <w:numId w:val="44"/>
        </w:numPr>
        <w:tabs>
          <w:tab w:val="left" w:pos="464"/>
          <w:tab w:val="right" w:pos="9178"/>
        </w:tabs>
        <w:ind w:left="142" w:firstLine="0"/>
        <w:rPr>
          <w:b/>
          <w:bCs/>
          <w:lang w:val="en"/>
        </w:rPr>
      </w:pPr>
      <w:hyperlink w:anchor="_bookmark101" w:history="1">
        <w:r w:rsidR="005D56C5" w:rsidRPr="0021354B">
          <w:rPr>
            <w:b/>
            <w:bCs/>
            <w:lang w:val="en"/>
          </w:rPr>
          <w:t>POPULATION</w:t>
        </w:r>
        <w:r w:rsidR="005D56C5" w:rsidRPr="0021354B">
          <w:rPr>
            <w:b/>
            <w:bCs/>
            <w:lang w:val="en"/>
          </w:rPr>
          <w:tab/>
        </w:r>
        <w:r w:rsidR="005F344B">
          <w:rPr>
            <w:b/>
            <w:bCs/>
            <w:lang w:val="en"/>
          </w:rPr>
          <w:t>19</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02" w:history="1">
        <w:r w:rsidR="005D56C5" w:rsidRPr="0021354B">
          <w:rPr>
            <w:b/>
            <w:bCs/>
            <w:lang w:val="en"/>
          </w:rPr>
          <w:t>REFERENCES</w:t>
        </w:r>
        <w:r w:rsidR="005D56C5" w:rsidRPr="0021354B">
          <w:rPr>
            <w:b/>
            <w:bCs/>
            <w:lang w:val="en"/>
          </w:rPr>
          <w:tab/>
        </w:r>
        <w:r w:rsidR="005F344B">
          <w:rPr>
            <w:b/>
            <w:bCs/>
            <w:lang w:val="en"/>
          </w:rPr>
          <w:t>19</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03" w:history="1">
        <w:r w:rsidR="005D56C5" w:rsidRPr="0021354B">
          <w:rPr>
            <w:b/>
            <w:bCs/>
            <w:lang w:val="en"/>
          </w:rPr>
          <w:t>LEGAL AND ETHICAL DECLARATIONS</w:t>
        </w:r>
        <w:r w:rsidR="005D56C5" w:rsidRPr="0021354B">
          <w:rPr>
            <w:b/>
            <w:bCs/>
            <w:lang w:val="en"/>
          </w:rPr>
          <w:tab/>
        </w:r>
        <w:r w:rsidR="005F344B">
          <w:rPr>
            <w:b/>
            <w:bCs/>
            <w:lang w:val="en"/>
          </w:rPr>
          <w:t>19</w:t>
        </w:r>
      </w:hyperlink>
    </w:p>
    <w:p w:rsidR="00CD39A7" w:rsidRPr="0021354B" w:rsidRDefault="001A5673" w:rsidP="00576525">
      <w:pPr>
        <w:pStyle w:val="Heading4"/>
        <w:numPr>
          <w:ilvl w:val="0"/>
          <w:numId w:val="44"/>
        </w:numPr>
        <w:tabs>
          <w:tab w:val="left" w:pos="356"/>
          <w:tab w:val="right" w:pos="9178"/>
        </w:tabs>
        <w:ind w:left="142" w:firstLine="0"/>
      </w:pPr>
      <w:r>
        <w:rPr>
          <w:b w:val="0"/>
          <w:bCs w:val="0"/>
          <w:lang w:val="en"/>
        </w:rPr>
        <w:pict>
          <v:group id="_x0000_s1159" style="position:absolute;left:0;text-align:left;margin-left:70.2pt;margin-top:12.5pt;width:454.35pt;height:1.2pt;z-index:-251629056;mso-position-horizontal-relative:page" coordorigin="1404,250" coordsize="9087,24">
            <v:line id="_x0000_s1161" style="position:absolute" from="1416,262" to="4658,262" strokeweight="1.2pt"/>
            <v:line id="_x0000_s1160" style="position:absolute" from="4658,262" to="10478,262" strokeweight="1.2pt"/>
            <w10:wrap anchorx="page"/>
          </v:group>
        </w:pict>
      </w:r>
      <w:hyperlink w:anchor="_bookmark104" w:history="1">
        <w:r w:rsidR="005D56C5" w:rsidRPr="0021354B">
          <w:rPr>
            <w:lang w:val="en"/>
          </w:rPr>
          <w:t>STUDY OBJECTIVE(S)</w:t>
        </w:r>
        <w:r w:rsidR="005D56C5" w:rsidRPr="0021354B">
          <w:rPr>
            <w:lang w:val="en"/>
          </w:rPr>
          <w:tab/>
        </w:r>
        <w:r w:rsidR="005F344B">
          <w:rPr>
            <w:lang w:val="en"/>
          </w:rPr>
          <w:t>19</w:t>
        </w:r>
      </w:hyperlink>
    </w:p>
    <w:p w:rsidR="00CD39A7" w:rsidRPr="0021354B" w:rsidRDefault="001A5673" w:rsidP="00576525">
      <w:pPr>
        <w:pStyle w:val="ListParagraph"/>
        <w:numPr>
          <w:ilvl w:val="1"/>
          <w:numId w:val="44"/>
        </w:numPr>
        <w:tabs>
          <w:tab w:val="left" w:pos="464"/>
          <w:tab w:val="right" w:pos="9178"/>
        </w:tabs>
        <w:spacing w:line="275" w:lineRule="exact"/>
        <w:ind w:left="142" w:firstLine="0"/>
        <w:rPr>
          <w:b/>
          <w:sz w:val="24"/>
        </w:rPr>
      </w:pPr>
      <w:hyperlink w:anchor="_bookmark105" w:history="1">
        <w:r w:rsidR="005D56C5" w:rsidRPr="0021354B">
          <w:rPr>
            <w:b/>
            <w:bCs/>
            <w:lang w:val="en"/>
          </w:rPr>
          <w:t>PRIMARY OBJECTIVE</w:t>
        </w:r>
        <w:r w:rsidR="005D56C5" w:rsidRPr="0021354B">
          <w:rPr>
            <w:b/>
            <w:bCs/>
            <w:lang w:val="en"/>
          </w:rPr>
          <w:tab/>
        </w:r>
        <w:r w:rsidR="005F344B">
          <w:rPr>
            <w:b/>
            <w:bCs/>
            <w:lang w:val="en"/>
          </w:rPr>
          <w:t>19</w:t>
        </w:r>
      </w:hyperlink>
    </w:p>
    <w:p w:rsidR="00CD39A7" w:rsidRPr="0021354B" w:rsidRDefault="001A5673" w:rsidP="00576525">
      <w:pPr>
        <w:pStyle w:val="ListParagraph"/>
        <w:numPr>
          <w:ilvl w:val="1"/>
          <w:numId w:val="44"/>
        </w:numPr>
        <w:tabs>
          <w:tab w:val="left" w:pos="464"/>
          <w:tab w:val="right" w:pos="9178"/>
        </w:tabs>
        <w:spacing w:line="275" w:lineRule="exact"/>
        <w:ind w:left="142" w:firstLine="0"/>
        <w:rPr>
          <w:b/>
          <w:sz w:val="24"/>
        </w:rPr>
      </w:pPr>
      <w:hyperlink w:anchor="_bookmark106" w:history="1">
        <w:r w:rsidR="005D56C5" w:rsidRPr="0021354B">
          <w:rPr>
            <w:b/>
            <w:bCs/>
            <w:lang w:val="en"/>
          </w:rPr>
          <w:t>PRIMARY ENDPOINT</w:t>
        </w:r>
        <w:r w:rsidR="005D56C5" w:rsidRPr="0021354B">
          <w:rPr>
            <w:b/>
            <w:bCs/>
            <w:lang w:val="en"/>
          </w:rPr>
          <w:tab/>
        </w:r>
        <w:r w:rsidR="005F344B">
          <w:rPr>
            <w:b/>
            <w:bCs/>
            <w:lang w:val="en"/>
          </w:rPr>
          <w:t>20</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07" w:history="1">
        <w:r w:rsidR="005D56C5" w:rsidRPr="0021354B">
          <w:rPr>
            <w:b/>
            <w:bCs/>
            <w:lang w:val="en"/>
          </w:rPr>
          <w:t>SECONDARY OBJECTIVES</w:t>
        </w:r>
        <w:r w:rsidR="005D56C5" w:rsidRPr="0021354B">
          <w:rPr>
            <w:b/>
            <w:bCs/>
            <w:lang w:val="en"/>
          </w:rPr>
          <w:tab/>
          <w:t>2</w:t>
        </w:r>
        <w:r w:rsidR="005F344B">
          <w:rPr>
            <w:b/>
            <w:bCs/>
            <w:lang w:val="en"/>
          </w:rPr>
          <w:t>0</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08" w:history="1">
        <w:r w:rsidR="005D56C5" w:rsidRPr="0021354B">
          <w:rPr>
            <w:b/>
            <w:bCs/>
            <w:lang w:val="en"/>
          </w:rPr>
          <w:t>SECONDARY ENDPOINTS</w:t>
        </w:r>
        <w:r w:rsidR="005D56C5" w:rsidRPr="0021354B">
          <w:rPr>
            <w:b/>
            <w:bCs/>
            <w:lang w:val="en"/>
          </w:rPr>
          <w:tab/>
          <w:t>2</w:t>
        </w:r>
        <w:r w:rsidR="005F344B">
          <w:rPr>
            <w:b/>
            <w:bCs/>
            <w:lang w:val="en"/>
          </w:rPr>
          <w:t>0</w:t>
        </w:r>
      </w:hyperlink>
    </w:p>
    <w:p w:rsidR="00CD39A7" w:rsidRPr="0021354B" w:rsidRDefault="001A5673" w:rsidP="00576525">
      <w:pPr>
        <w:pStyle w:val="Heading4"/>
        <w:numPr>
          <w:ilvl w:val="0"/>
          <w:numId w:val="44"/>
        </w:numPr>
        <w:tabs>
          <w:tab w:val="left" w:pos="356"/>
          <w:tab w:val="right" w:pos="9178"/>
        </w:tabs>
        <w:ind w:left="142" w:firstLine="0"/>
      </w:pPr>
      <w:r>
        <w:rPr>
          <w:b w:val="0"/>
          <w:bCs w:val="0"/>
          <w:lang w:val="en"/>
        </w:rPr>
        <w:pict>
          <v:group id="_x0000_s1156" style="position:absolute;left:0;text-align:left;margin-left:70.2pt;margin-top:12.5pt;width:454.35pt;height:1.2pt;z-index:-251628032;mso-position-horizontal-relative:page" coordorigin="1404,250" coordsize="9087,24">
            <v:line id="_x0000_s1158" style="position:absolute" from="1416,262" to="4805,262" strokeweight="1.2pt"/>
            <v:line id="_x0000_s1157" style="position:absolute" from="4805,262" to="10478,262" strokeweight="1.2pt"/>
            <w10:wrap anchorx="page"/>
          </v:group>
        </w:pict>
      </w:r>
      <w:hyperlink w:anchor="_bookmark109" w:history="1">
        <w:r w:rsidR="005D56C5" w:rsidRPr="0021354B">
          <w:rPr>
            <w:lang w:val="en"/>
          </w:rPr>
          <w:t>STUDY DESIGN</w:t>
        </w:r>
        <w:r w:rsidR="005D56C5" w:rsidRPr="0021354B">
          <w:rPr>
            <w:lang w:val="en"/>
          </w:rPr>
          <w:tab/>
          <w:t>2</w:t>
        </w:r>
        <w:r w:rsidR="005F344B">
          <w:rPr>
            <w:lang w:val="en"/>
          </w:rPr>
          <w:t>1</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10" w:history="1">
        <w:r w:rsidR="005D56C5" w:rsidRPr="0021354B">
          <w:rPr>
            <w:b/>
            <w:bCs/>
            <w:lang w:val="en"/>
          </w:rPr>
          <w:t>METHODOLOGY</w:t>
        </w:r>
        <w:r w:rsidR="005D56C5" w:rsidRPr="0021354B">
          <w:rPr>
            <w:b/>
            <w:bCs/>
            <w:lang w:val="en"/>
          </w:rPr>
          <w:tab/>
          <w:t>2</w:t>
        </w:r>
        <w:r w:rsidR="005F344B">
          <w:rPr>
            <w:b/>
            <w:bCs/>
            <w:lang w:val="en"/>
          </w:rPr>
          <w:t>1</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11" w:history="1">
        <w:r w:rsidR="005D56C5" w:rsidRPr="0021354B">
          <w:rPr>
            <w:b/>
            <w:bCs/>
            <w:lang w:val="en"/>
          </w:rPr>
          <w:t>PROJECTED STUDY SCHEDULE</w:t>
        </w:r>
        <w:r w:rsidR="005D56C5" w:rsidRPr="0021354B">
          <w:rPr>
            <w:b/>
            <w:bCs/>
            <w:lang w:val="en"/>
          </w:rPr>
          <w:tab/>
          <w:t>2</w:t>
        </w:r>
        <w:r w:rsidR="005F344B">
          <w:rPr>
            <w:b/>
            <w:bCs/>
            <w:lang w:val="en"/>
          </w:rPr>
          <w:t>2</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12" w:history="1">
        <w:r w:rsidR="0054397C">
          <w:rPr>
            <w:b/>
            <w:bCs/>
            <w:lang w:val="en"/>
          </w:rPr>
          <w:t>PATIENT FOLLOW-UP</w:t>
        </w:r>
        <w:r w:rsidR="005D56C5" w:rsidRPr="0021354B">
          <w:rPr>
            <w:b/>
            <w:bCs/>
            <w:sz w:val="24"/>
            <w:lang w:val="en"/>
          </w:rPr>
          <w:t xml:space="preserve">: </w:t>
        </w:r>
        <w:r w:rsidR="005D56C5" w:rsidRPr="0021354B">
          <w:rPr>
            <w:b/>
            <w:bCs/>
            <w:lang w:val="en"/>
          </w:rPr>
          <w:t>VISITS AND EXAMINATIONS</w:t>
        </w:r>
        <w:r w:rsidR="005D56C5" w:rsidRPr="0021354B">
          <w:rPr>
            <w:b/>
            <w:bCs/>
            <w:lang w:val="en"/>
          </w:rPr>
          <w:tab/>
          <w:t>2</w:t>
        </w:r>
        <w:r w:rsidR="005F344B">
          <w:rPr>
            <w:b/>
            <w:bCs/>
            <w:lang w:val="en"/>
          </w:rPr>
          <w:t>3</w:t>
        </w:r>
      </w:hyperlink>
    </w:p>
    <w:p w:rsidR="00CD39A7" w:rsidRPr="0021354B" w:rsidRDefault="001A5673" w:rsidP="00576525">
      <w:pPr>
        <w:pStyle w:val="ListParagraph"/>
        <w:numPr>
          <w:ilvl w:val="1"/>
          <w:numId w:val="44"/>
        </w:numPr>
        <w:tabs>
          <w:tab w:val="left" w:pos="464"/>
          <w:tab w:val="right" w:pos="9178"/>
        </w:tabs>
        <w:ind w:left="142" w:right="126" w:firstLine="0"/>
        <w:rPr>
          <w:b/>
          <w:sz w:val="24"/>
        </w:rPr>
      </w:pPr>
      <w:hyperlink w:anchor="_bookmark113" w:history="1">
        <w:r w:rsidR="005D56C5" w:rsidRPr="0021354B">
          <w:rPr>
            <w:b/>
            <w:bCs/>
            <w:lang w:val="en"/>
          </w:rPr>
          <w:t xml:space="preserve">COMPOSITION, STORAGE AND TRANSPORT OF THE SERUM BANKS, </w:t>
        </w:r>
        <w:r w:rsidR="00743929">
          <w:rPr>
            <w:b/>
            <w:bCs/>
            <w:lang w:val="en"/>
          </w:rPr>
          <w:br/>
        </w:r>
        <w:r w:rsidR="005D56C5" w:rsidRPr="0021354B">
          <w:rPr>
            <w:b/>
            <w:bCs/>
            <w:lang w:val="en"/>
          </w:rPr>
          <w:t>PLASMA BANKS,</w:t>
        </w:r>
      </w:hyperlink>
      <w:r w:rsidR="005D56C5" w:rsidRPr="0021354B">
        <w:rPr>
          <w:b/>
          <w:bCs/>
          <w:lang w:val="en"/>
        </w:rPr>
        <w:t xml:space="preserve"> </w:t>
      </w:r>
      <w:hyperlink w:anchor="_bookmark113" w:history="1">
        <w:r w:rsidR="005D56C5" w:rsidRPr="0021354B">
          <w:rPr>
            <w:b/>
            <w:bCs/>
            <w:lang w:val="en"/>
          </w:rPr>
          <w:t>CELL BANKS AND DNA BANKS</w:t>
        </w:r>
        <w:r w:rsidR="005D56C5" w:rsidRPr="0021354B">
          <w:rPr>
            <w:b/>
            <w:bCs/>
            <w:lang w:val="en"/>
          </w:rPr>
          <w:tab/>
          <w:t>2</w:t>
        </w:r>
        <w:r w:rsidR="005F344B">
          <w:rPr>
            <w:b/>
            <w:bCs/>
            <w:lang w:val="en"/>
          </w:rPr>
          <w:t>6</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14" w:history="1">
        <w:r w:rsidR="005D56C5" w:rsidRPr="0021354B">
          <w:rPr>
            <w:b/>
            <w:bCs/>
            <w:lang w:val="en"/>
          </w:rPr>
          <w:t>PATIENT ENROLLMENT AND RANDOMIZATION PROCEDURES</w:t>
        </w:r>
        <w:r w:rsidR="005D56C5" w:rsidRPr="0021354B">
          <w:rPr>
            <w:b/>
            <w:bCs/>
            <w:lang w:val="en"/>
          </w:rPr>
          <w:tab/>
        </w:r>
        <w:r w:rsidR="005F344B">
          <w:rPr>
            <w:b/>
            <w:bCs/>
            <w:lang w:val="en"/>
          </w:rPr>
          <w:t>28</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15" w:history="1">
        <w:r w:rsidR="005D56C5" w:rsidRPr="0021354B">
          <w:rPr>
            <w:b/>
            <w:bCs/>
            <w:lang w:val="en"/>
          </w:rPr>
          <w:t>PARTICIPATION PERIOD</w:t>
        </w:r>
        <w:r w:rsidR="005D56C5" w:rsidRPr="0021354B">
          <w:rPr>
            <w:b/>
            <w:bCs/>
            <w:lang w:val="en"/>
          </w:rPr>
          <w:tab/>
        </w:r>
        <w:r w:rsidR="005F344B">
          <w:rPr>
            <w:b/>
            <w:bCs/>
            <w:lang w:val="en"/>
          </w:rPr>
          <w:t>29</w:t>
        </w:r>
      </w:hyperlink>
    </w:p>
    <w:p w:rsidR="00CD39A7" w:rsidRPr="00AC41E5" w:rsidRDefault="001A5673" w:rsidP="00AC41E5">
      <w:pPr>
        <w:pStyle w:val="ListParagraph"/>
        <w:numPr>
          <w:ilvl w:val="1"/>
          <w:numId w:val="44"/>
        </w:numPr>
        <w:tabs>
          <w:tab w:val="left" w:pos="464"/>
          <w:tab w:val="right" w:pos="9178"/>
        </w:tabs>
        <w:ind w:left="142" w:firstLine="0"/>
        <w:rPr>
          <w:b/>
          <w:bCs/>
          <w:lang w:val="en"/>
        </w:rPr>
      </w:pPr>
      <w:hyperlink w:anchor="_bookmark116" w:history="1">
        <w:r w:rsidR="005D56C5" w:rsidRPr="0021354B">
          <w:rPr>
            <w:b/>
            <w:bCs/>
            <w:lang w:val="en"/>
          </w:rPr>
          <w:t>DATA COLLECTED</w:t>
        </w:r>
        <w:r w:rsidR="005D56C5" w:rsidRPr="0021354B">
          <w:rPr>
            <w:b/>
            <w:bCs/>
            <w:lang w:val="en"/>
          </w:rPr>
          <w:tab/>
        </w:r>
        <w:r w:rsidR="005F344B">
          <w:rPr>
            <w:b/>
            <w:bCs/>
            <w:lang w:val="en"/>
          </w:rPr>
          <w:t>31</w:t>
        </w:r>
      </w:hyperlink>
    </w:p>
    <w:p w:rsidR="00CD39A7" w:rsidRPr="0021354B" w:rsidRDefault="001A5673" w:rsidP="00576525">
      <w:pPr>
        <w:pStyle w:val="Heading4"/>
        <w:numPr>
          <w:ilvl w:val="0"/>
          <w:numId w:val="44"/>
        </w:numPr>
        <w:tabs>
          <w:tab w:val="left" w:pos="356"/>
          <w:tab w:val="right" w:pos="9178"/>
        </w:tabs>
        <w:ind w:left="142" w:firstLine="0"/>
      </w:pPr>
      <w:r>
        <w:rPr>
          <w:b w:val="0"/>
          <w:bCs w:val="0"/>
          <w:lang w:val="en"/>
        </w:rPr>
        <w:pict>
          <v:group id="_x0000_s1153" style="position:absolute;left:0;text-align:left;margin-left:70.2pt;margin-top:12.5pt;width:454.35pt;height:1.2pt;z-index:-251627008;mso-position-horizontal-relative:page" coordorigin="1404,250" coordsize="9087,24">
            <v:line id="_x0000_s1155" style="position:absolute" from="1416,262" to="5501,262" strokeweight="1.2pt"/>
            <v:line id="_x0000_s1154" style="position:absolute" from="5503,262" to="10478,262" strokeweight="1.2pt"/>
            <w10:wrap anchorx="page"/>
          </v:group>
        </w:pict>
      </w:r>
      <w:hyperlink w:anchor="_bookmark117" w:history="1">
        <w:r w:rsidR="005D56C5" w:rsidRPr="0021354B">
          <w:rPr>
            <w:lang w:val="en"/>
          </w:rPr>
          <w:t>POPULATION SELECTION</w:t>
        </w:r>
        <w:r w:rsidR="005D56C5" w:rsidRPr="0021354B">
          <w:rPr>
            <w:lang w:val="en"/>
          </w:rPr>
          <w:tab/>
          <w:t>3</w:t>
        </w:r>
        <w:r w:rsidR="005F344B">
          <w:rPr>
            <w:lang w:val="en"/>
          </w:rPr>
          <w:t>2</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18" w:history="1">
        <w:r w:rsidR="005D56C5" w:rsidRPr="0021354B">
          <w:rPr>
            <w:b/>
            <w:bCs/>
            <w:lang w:val="en"/>
          </w:rPr>
          <w:t>NUMBER OF PATIENTS</w:t>
        </w:r>
        <w:r w:rsidR="005D56C5" w:rsidRPr="0021354B">
          <w:rPr>
            <w:b/>
            <w:bCs/>
            <w:lang w:val="en"/>
          </w:rPr>
          <w:tab/>
          <w:t>3</w:t>
        </w:r>
        <w:r w:rsidR="005F344B">
          <w:rPr>
            <w:b/>
            <w:bCs/>
            <w:lang w:val="en"/>
          </w:rPr>
          <w:t>2</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19" w:history="1">
        <w:r w:rsidR="005D56C5" w:rsidRPr="0021354B">
          <w:rPr>
            <w:b/>
            <w:bCs/>
            <w:lang w:val="en"/>
          </w:rPr>
          <w:t>INCLUSION CRITERIA</w:t>
        </w:r>
        <w:r w:rsidR="005D56C5" w:rsidRPr="0021354B">
          <w:rPr>
            <w:b/>
            <w:bCs/>
            <w:lang w:val="en"/>
          </w:rPr>
          <w:tab/>
          <w:t>3</w:t>
        </w:r>
        <w:r w:rsidR="005F344B">
          <w:rPr>
            <w:b/>
            <w:bCs/>
            <w:lang w:val="en"/>
          </w:rPr>
          <w:t>2</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20" w:history="1">
        <w:r w:rsidR="005D56C5" w:rsidRPr="0021354B">
          <w:rPr>
            <w:b/>
            <w:bCs/>
            <w:lang w:val="en"/>
          </w:rPr>
          <w:t>EXCLUSION CRITERIA</w:t>
        </w:r>
        <w:r w:rsidR="005D56C5" w:rsidRPr="0021354B">
          <w:rPr>
            <w:b/>
            <w:bCs/>
            <w:lang w:val="en"/>
          </w:rPr>
          <w:tab/>
          <w:t>3</w:t>
        </w:r>
        <w:r w:rsidR="005F344B">
          <w:rPr>
            <w:b/>
            <w:bCs/>
            <w:lang w:val="en"/>
          </w:rPr>
          <w:t>3</w:t>
        </w:r>
      </w:hyperlink>
    </w:p>
    <w:p w:rsidR="00CD39A7" w:rsidRPr="0021354B" w:rsidRDefault="001A5673" w:rsidP="00576525">
      <w:pPr>
        <w:pStyle w:val="Heading4"/>
        <w:numPr>
          <w:ilvl w:val="0"/>
          <w:numId w:val="44"/>
        </w:numPr>
        <w:tabs>
          <w:tab w:val="left" w:pos="356"/>
          <w:tab w:val="right" w:pos="9178"/>
        </w:tabs>
        <w:ind w:left="142" w:firstLine="0"/>
      </w:pPr>
      <w:r>
        <w:rPr>
          <w:b w:val="0"/>
          <w:bCs w:val="0"/>
          <w:lang w:val="en"/>
        </w:rPr>
        <w:pict>
          <v:group id="_x0000_s1150" style="position:absolute;left:0;text-align:left;margin-left:70.2pt;margin-top:12.5pt;width:454.35pt;height:1.2pt;z-index:-251625984;mso-position-horizontal-relative:page" coordorigin="1404,250" coordsize="9087,24">
            <v:line id="_x0000_s1152" style="position:absolute" from="1416,262" to="7224,262" strokeweight="1.2pt"/>
            <v:line id="_x0000_s1151" style="position:absolute" from="7224,262" to="10478,262" strokeweight="1.2pt"/>
            <w10:wrap anchorx="page"/>
          </v:group>
        </w:pict>
      </w:r>
      <w:hyperlink w:anchor="_bookmark121" w:history="1">
        <w:r w:rsidR="005D56C5" w:rsidRPr="0021354B">
          <w:rPr>
            <w:lang w:val="en"/>
          </w:rPr>
          <w:t>END OF STUDY AND PREMATURE STUDY WITHDRAWAL</w:t>
        </w:r>
        <w:r w:rsidR="005D56C5" w:rsidRPr="0021354B">
          <w:rPr>
            <w:lang w:val="en"/>
          </w:rPr>
          <w:tab/>
          <w:t>3</w:t>
        </w:r>
        <w:r w:rsidR="005F344B">
          <w:rPr>
            <w:lang w:val="en"/>
          </w:rPr>
          <w:t>5</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22" w:history="1">
        <w:r w:rsidR="005D56C5" w:rsidRPr="0021354B">
          <w:rPr>
            <w:b/>
            <w:bCs/>
            <w:lang w:val="en"/>
          </w:rPr>
          <w:t>END OF STUDY</w:t>
        </w:r>
        <w:r w:rsidR="005D56C5" w:rsidRPr="0021354B">
          <w:rPr>
            <w:b/>
            <w:bCs/>
            <w:lang w:val="en"/>
          </w:rPr>
          <w:tab/>
          <w:t>3</w:t>
        </w:r>
        <w:r w:rsidR="005F344B">
          <w:rPr>
            <w:b/>
            <w:bCs/>
            <w:lang w:val="en"/>
          </w:rPr>
          <w:t>5</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23" w:history="1">
        <w:r w:rsidR="005D56C5" w:rsidRPr="0021354B">
          <w:rPr>
            <w:b/>
            <w:bCs/>
            <w:lang w:val="en"/>
          </w:rPr>
          <w:t>PREMATURE WITHDRAWAL FROM THE STUDY</w:t>
        </w:r>
        <w:r w:rsidR="005D56C5" w:rsidRPr="0021354B">
          <w:rPr>
            <w:b/>
            <w:bCs/>
            <w:lang w:val="en"/>
          </w:rPr>
          <w:tab/>
          <w:t>3</w:t>
        </w:r>
        <w:r w:rsidR="005F344B">
          <w:rPr>
            <w:b/>
            <w:bCs/>
            <w:lang w:val="en"/>
          </w:rPr>
          <w:t>5</w:t>
        </w:r>
      </w:hyperlink>
    </w:p>
    <w:p w:rsidR="00CD39A7" w:rsidRPr="0021354B" w:rsidRDefault="001A5673" w:rsidP="00576525">
      <w:pPr>
        <w:pStyle w:val="ListParagraph"/>
        <w:numPr>
          <w:ilvl w:val="0"/>
          <w:numId w:val="42"/>
        </w:numPr>
        <w:tabs>
          <w:tab w:val="left" w:pos="835"/>
          <w:tab w:val="left" w:pos="836"/>
          <w:tab w:val="right" w:pos="9178"/>
        </w:tabs>
        <w:ind w:left="142" w:firstLine="0"/>
        <w:rPr>
          <w:b/>
          <w:sz w:val="24"/>
        </w:rPr>
      </w:pPr>
      <w:hyperlink w:anchor="_bookmark124" w:history="1">
        <w:r w:rsidR="005D56C5" w:rsidRPr="0021354B">
          <w:rPr>
            <w:b/>
            <w:bCs/>
            <w:lang w:val="en"/>
          </w:rPr>
          <w:t>REASONS AND DESCRIPTION</w:t>
        </w:r>
        <w:r w:rsidR="005D56C5" w:rsidRPr="0021354B">
          <w:rPr>
            <w:b/>
            <w:bCs/>
            <w:lang w:val="en"/>
          </w:rPr>
          <w:tab/>
          <w:t>3</w:t>
        </w:r>
        <w:r w:rsidR="005F344B">
          <w:rPr>
            <w:b/>
            <w:bCs/>
            <w:lang w:val="en"/>
          </w:rPr>
          <w:t>5</w:t>
        </w:r>
      </w:hyperlink>
    </w:p>
    <w:p w:rsidR="00CD39A7" w:rsidRPr="0021354B" w:rsidRDefault="001A5673" w:rsidP="00576525">
      <w:pPr>
        <w:pStyle w:val="ListParagraph"/>
        <w:numPr>
          <w:ilvl w:val="0"/>
          <w:numId w:val="42"/>
        </w:numPr>
        <w:tabs>
          <w:tab w:val="left" w:pos="835"/>
          <w:tab w:val="left" w:pos="836"/>
          <w:tab w:val="right" w:pos="9178"/>
        </w:tabs>
        <w:ind w:left="142" w:firstLine="0"/>
        <w:rPr>
          <w:b/>
          <w:sz w:val="24"/>
        </w:rPr>
      </w:pPr>
      <w:hyperlink w:anchor="_bookmark125" w:history="1">
        <w:r w:rsidR="005D56C5" w:rsidRPr="0021354B">
          <w:rPr>
            <w:b/>
            <w:bCs/>
            <w:lang w:val="en"/>
          </w:rPr>
          <w:t>PROCEDURES</w:t>
        </w:r>
        <w:r w:rsidR="005D56C5" w:rsidRPr="0021354B">
          <w:rPr>
            <w:b/>
            <w:bCs/>
            <w:lang w:val="en"/>
          </w:rPr>
          <w:tab/>
          <w:t>3</w:t>
        </w:r>
        <w:r w:rsidR="005F344B">
          <w:rPr>
            <w:b/>
            <w:bCs/>
            <w:lang w:val="en"/>
          </w:rPr>
          <w:t>6</w:t>
        </w:r>
      </w:hyperlink>
    </w:p>
    <w:p w:rsidR="00CD39A7" w:rsidRPr="0021354B" w:rsidRDefault="001A5673" w:rsidP="00576525">
      <w:pPr>
        <w:pStyle w:val="ListParagraph"/>
        <w:numPr>
          <w:ilvl w:val="0"/>
          <w:numId w:val="42"/>
        </w:numPr>
        <w:tabs>
          <w:tab w:val="left" w:pos="835"/>
          <w:tab w:val="left" w:pos="836"/>
          <w:tab w:val="right" w:pos="9178"/>
        </w:tabs>
        <w:ind w:left="142" w:firstLine="0"/>
        <w:rPr>
          <w:b/>
          <w:sz w:val="24"/>
        </w:rPr>
      </w:pPr>
      <w:hyperlink w:anchor="_bookmark126" w:history="1">
        <w:r w:rsidR="005D56C5" w:rsidRPr="0021354B">
          <w:rPr>
            <w:b/>
            <w:bCs/>
            <w:lang w:val="en"/>
          </w:rPr>
          <w:t>CONSEQUENCES</w:t>
        </w:r>
        <w:r w:rsidR="005D56C5" w:rsidRPr="0021354B">
          <w:rPr>
            <w:b/>
            <w:bCs/>
            <w:lang w:val="en"/>
          </w:rPr>
          <w:tab/>
        </w:r>
        <w:r w:rsidR="005F344B">
          <w:rPr>
            <w:b/>
            <w:bCs/>
            <w:lang w:val="en"/>
          </w:rPr>
          <w:t>38</w:t>
        </w:r>
      </w:hyperlink>
    </w:p>
    <w:p w:rsidR="00CD39A7" w:rsidRPr="0021354B" w:rsidRDefault="001A5673" w:rsidP="00576525">
      <w:pPr>
        <w:pStyle w:val="Heading4"/>
        <w:numPr>
          <w:ilvl w:val="0"/>
          <w:numId w:val="44"/>
        </w:numPr>
        <w:tabs>
          <w:tab w:val="left" w:pos="356"/>
          <w:tab w:val="right" w:pos="9178"/>
        </w:tabs>
        <w:spacing w:line="274" w:lineRule="exact"/>
        <w:ind w:left="142" w:firstLine="0"/>
      </w:pPr>
      <w:r>
        <w:rPr>
          <w:b w:val="0"/>
          <w:bCs w:val="0"/>
          <w:lang w:val="en"/>
        </w:rPr>
        <w:pict>
          <v:group id="_x0000_s1147" style="position:absolute;left:0;text-align:left;margin-left:70.2pt;margin-top:12.5pt;width:454.35pt;height:1.2pt;z-index:-251624960;mso-position-horizontal-relative:page" coordorigin="1404,250" coordsize="9087,24">
            <v:line id="_x0000_s1149" style="position:absolute" from="1416,262" to="3430,262" strokeweight="1.2pt"/>
            <v:line id="_x0000_s1148" style="position:absolute" from="3430,262" to="10478,262" strokeweight="1.2pt"/>
            <w10:wrap anchorx="page"/>
          </v:group>
        </w:pict>
      </w:r>
      <w:hyperlink w:anchor="_bookmark127" w:history="1">
        <w:r w:rsidR="005D56C5" w:rsidRPr="0021354B">
          <w:rPr>
            <w:lang w:val="en"/>
          </w:rPr>
          <w:t>TREATMENTS</w:t>
        </w:r>
        <w:r w:rsidR="005D56C5" w:rsidRPr="0021354B">
          <w:rPr>
            <w:lang w:val="en"/>
          </w:rPr>
          <w:tab/>
        </w:r>
        <w:r w:rsidR="005F344B">
          <w:rPr>
            <w:lang w:val="en"/>
          </w:rPr>
          <w:t>38</w:t>
        </w:r>
      </w:hyperlink>
    </w:p>
    <w:p w:rsidR="00CD39A7" w:rsidRPr="0021354B" w:rsidRDefault="001A5673" w:rsidP="00576525">
      <w:pPr>
        <w:tabs>
          <w:tab w:val="right" w:pos="9178"/>
        </w:tabs>
        <w:spacing w:line="274" w:lineRule="exact"/>
        <w:ind w:left="142"/>
        <w:rPr>
          <w:sz w:val="24"/>
        </w:rPr>
      </w:pPr>
      <w:hyperlink w:anchor="_bookmark128" w:history="1">
        <w:r w:rsidR="005D56C5" w:rsidRPr="0021354B">
          <w:rPr>
            <w:lang w:val="en"/>
          </w:rPr>
          <w:t>INDUCTION THERAPY</w:t>
        </w:r>
        <w:r w:rsidR="005D56C5" w:rsidRPr="0021354B">
          <w:rPr>
            <w:lang w:val="en"/>
          </w:rPr>
          <w:tab/>
        </w:r>
        <w:r w:rsidR="005F344B">
          <w:rPr>
            <w:lang w:val="en"/>
          </w:rPr>
          <w:t>38</w:t>
        </w:r>
      </w:hyperlink>
    </w:p>
    <w:p w:rsidR="00CD39A7" w:rsidRPr="0021354B" w:rsidRDefault="001A5673" w:rsidP="00576525">
      <w:pPr>
        <w:tabs>
          <w:tab w:val="right" w:pos="9178"/>
        </w:tabs>
        <w:ind w:left="142"/>
        <w:rPr>
          <w:sz w:val="24"/>
        </w:rPr>
      </w:pPr>
      <w:hyperlink w:anchor="_bookmark129" w:history="1">
        <w:r w:rsidR="005D56C5" w:rsidRPr="0021354B">
          <w:rPr>
            <w:lang w:val="en"/>
          </w:rPr>
          <w:t>REMISSION CRITERIA</w:t>
        </w:r>
        <w:r w:rsidR="005D56C5" w:rsidRPr="0021354B">
          <w:rPr>
            <w:lang w:val="en"/>
          </w:rPr>
          <w:tab/>
        </w:r>
        <w:r w:rsidR="005F344B">
          <w:rPr>
            <w:lang w:val="en"/>
          </w:rPr>
          <w:t>38</w:t>
        </w:r>
      </w:hyperlink>
    </w:p>
    <w:p w:rsidR="00CD39A7" w:rsidRPr="0021354B" w:rsidRDefault="00CD39A7" w:rsidP="00576525">
      <w:pPr>
        <w:ind w:left="142"/>
        <w:rPr>
          <w:sz w:val="24"/>
        </w:rPr>
        <w:sectPr w:rsidR="00CD39A7" w:rsidRPr="0021354B">
          <w:pgSz w:w="11910" w:h="16840"/>
          <w:pgMar w:top="1320" w:right="1300" w:bottom="1200" w:left="1300" w:header="0" w:footer="952" w:gutter="0"/>
          <w:cols w:space="720"/>
        </w:sectPr>
      </w:pPr>
    </w:p>
    <w:p w:rsidR="00CD39A7" w:rsidRPr="0021354B" w:rsidRDefault="001A5673" w:rsidP="00576525">
      <w:pPr>
        <w:pStyle w:val="ListParagraph"/>
        <w:numPr>
          <w:ilvl w:val="1"/>
          <w:numId w:val="44"/>
        </w:numPr>
        <w:tabs>
          <w:tab w:val="left" w:pos="464"/>
          <w:tab w:val="right" w:pos="9178"/>
        </w:tabs>
        <w:spacing w:before="74"/>
        <w:ind w:left="142" w:right="126" w:firstLine="0"/>
        <w:rPr>
          <w:b/>
          <w:sz w:val="24"/>
        </w:rPr>
      </w:pPr>
      <w:hyperlink w:anchor="_bookmark130" w:history="1">
        <w:r w:rsidR="005D56C5" w:rsidRPr="0021354B">
          <w:rPr>
            <w:b/>
            <w:bCs/>
            <w:lang w:val="en"/>
          </w:rPr>
          <w:t>DESCRIPTION OF THE MAINTENANCE TREATMENTS IN:</w:t>
        </w:r>
      </w:hyperlink>
      <w:r w:rsidR="005D56C5" w:rsidRPr="0021354B">
        <w:rPr>
          <w:b/>
          <w:bCs/>
          <w:lang w:val="en"/>
        </w:rPr>
        <w:t xml:space="preserve"> </w:t>
      </w:r>
      <w:hyperlink w:anchor="_bookmark130" w:history="1">
        <w:r w:rsidR="005D56C5" w:rsidRPr="0021354B">
          <w:rPr>
            <w:b/>
            <w:bCs/>
            <w:lang w:val="en"/>
          </w:rPr>
          <w:t>THIS STUDY</w:t>
        </w:r>
        <w:r w:rsidR="005D56C5" w:rsidRPr="0021354B">
          <w:rPr>
            <w:b/>
            <w:bCs/>
            <w:lang w:val="en"/>
          </w:rPr>
          <w:tab/>
        </w:r>
        <w:r w:rsidR="005F344B">
          <w:rPr>
            <w:b/>
            <w:bCs/>
            <w:lang w:val="en"/>
          </w:rPr>
          <w:t>38</w:t>
        </w:r>
      </w:hyperlink>
    </w:p>
    <w:p w:rsidR="00CD39A7" w:rsidRPr="0021354B" w:rsidRDefault="001A5673" w:rsidP="00576525">
      <w:pPr>
        <w:pStyle w:val="ListParagraph"/>
        <w:numPr>
          <w:ilvl w:val="1"/>
          <w:numId w:val="44"/>
        </w:numPr>
        <w:tabs>
          <w:tab w:val="left" w:pos="464"/>
          <w:tab w:val="right" w:pos="9178"/>
        </w:tabs>
        <w:spacing w:line="274" w:lineRule="exact"/>
        <w:ind w:left="142" w:firstLine="0"/>
        <w:rPr>
          <w:b/>
          <w:sz w:val="24"/>
        </w:rPr>
      </w:pPr>
      <w:hyperlink w:anchor="_bookmark131" w:history="1">
        <w:r w:rsidR="005D56C5" w:rsidRPr="0021354B">
          <w:rPr>
            <w:b/>
            <w:bCs/>
            <w:lang w:val="en"/>
          </w:rPr>
          <w:t>CONCOMITANT AND PROHIBITED THERAPIES</w:t>
        </w:r>
        <w:r w:rsidR="005D56C5" w:rsidRPr="0021354B">
          <w:rPr>
            <w:b/>
            <w:bCs/>
            <w:lang w:val="en"/>
          </w:rPr>
          <w:tab/>
        </w:r>
        <w:r w:rsidR="005F344B">
          <w:rPr>
            <w:b/>
            <w:bCs/>
            <w:lang w:val="en"/>
          </w:rPr>
          <w:t>40</w:t>
        </w:r>
      </w:hyperlink>
    </w:p>
    <w:p w:rsidR="00CD39A7" w:rsidRPr="0021354B" w:rsidRDefault="001A5673" w:rsidP="00576525">
      <w:pPr>
        <w:tabs>
          <w:tab w:val="right" w:pos="9178"/>
        </w:tabs>
        <w:spacing w:line="274" w:lineRule="exact"/>
        <w:ind w:left="142"/>
        <w:rPr>
          <w:sz w:val="24"/>
        </w:rPr>
      </w:pPr>
      <w:hyperlink w:anchor="_bookmark132" w:history="1">
        <w:r w:rsidR="005D56C5" w:rsidRPr="0021354B">
          <w:rPr>
            <w:lang w:val="en"/>
          </w:rPr>
          <w:t>APPROVED ADJUVANT THERAPIES:</w:t>
        </w:r>
        <w:r w:rsidR="005D56C5" w:rsidRPr="0021354B">
          <w:rPr>
            <w:lang w:val="en"/>
          </w:rPr>
          <w:tab/>
        </w:r>
        <w:r w:rsidR="005F344B">
          <w:rPr>
            <w:lang w:val="en"/>
          </w:rPr>
          <w:t>41</w:t>
        </w:r>
      </w:hyperlink>
    </w:p>
    <w:p w:rsidR="00CD39A7" w:rsidRPr="0021354B" w:rsidRDefault="001A5673" w:rsidP="00576525">
      <w:pPr>
        <w:tabs>
          <w:tab w:val="right" w:pos="9178"/>
        </w:tabs>
        <w:ind w:left="142"/>
        <w:rPr>
          <w:sz w:val="24"/>
        </w:rPr>
      </w:pPr>
      <w:hyperlink w:anchor="_bookmark133" w:history="1">
        <w:r w:rsidR="005D56C5" w:rsidRPr="0021354B">
          <w:rPr>
            <w:lang w:val="en"/>
          </w:rPr>
          <w:t>PROHIBITED THERAPIES</w:t>
        </w:r>
        <w:r w:rsidR="005D56C5" w:rsidRPr="0021354B">
          <w:rPr>
            <w:lang w:val="en"/>
          </w:rPr>
          <w:tab/>
        </w:r>
        <w:r w:rsidR="005F344B">
          <w:rPr>
            <w:lang w:val="en"/>
          </w:rPr>
          <w:t>42</w:t>
        </w:r>
      </w:hyperlink>
    </w:p>
    <w:p w:rsidR="00CD39A7" w:rsidRPr="0021354B" w:rsidRDefault="001A5673" w:rsidP="00576525">
      <w:pPr>
        <w:pStyle w:val="ListParagraph"/>
        <w:numPr>
          <w:ilvl w:val="1"/>
          <w:numId w:val="44"/>
        </w:numPr>
        <w:tabs>
          <w:tab w:val="left" w:pos="464"/>
          <w:tab w:val="right" w:pos="9178"/>
        </w:tabs>
        <w:spacing w:before="5"/>
        <w:ind w:left="142" w:firstLine="0"/>
        <w:rPr>
          <w:b/>
          <w:sz w:val="24"/>
        </w:rPr>
      </w:pPr>
      <w:hyperlink w:anchor="_bookmark134" w:history="1">
        <w:r w:rsidR="005D56C5" w:rsidRPr="0021354B">
          <w:rPr>
            <w:b/>
            <w:bCs/>
            <w:lang w:val="en"/>
          </w:rPr>
          <w:t>PACKAGING AND LABELLING OF THE INVESTIGATIONAL MEDICATION</w:t>
        </w:r>
        <w:r w:rsidR="005D56C5" w:rsidRPr="0021354B">
          <w:rPr>
            <w:b/>
            <w:bCs/>
            <w:lang w:val="en"/>
          </w:rPr>
          <w:tab/>
        </w:r>
        <w:r w:rsidR="005F344B">
          <w:rPr>
            <w:b/>
            <w:bCs/>
            <w:lang w:val="en"/>
          </w:rPr>
          <w:t>42</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35" w:history="1">
        <w:r w:rsidR="005D56C5" w:rsidRPr="0021354B">
          <w:rPr>
            <w:b/>
            <w:bCs/>
            <w:lang w:val="en"/>
          </w:rPr>
          <w:t>STORAGE CONDITIONS FOR THE INVESTIGATIONAL MEDICATIONS</w:t>
        </w:r>
        <w:r w:rsidR="005D56C5" w:rsidRPr="0021354B">
          <w:rPr>
            <w:b/>
            <w:bCs/>
            <w:lang w:val="en"/>
          </w:rPr>
          <w:tab/>
        </w:r>
        <w:r w:rsidR="005F344B">
          <w:rPr>
            <w:b/>
            <w:bCs/>
            <w:lang w:val="en"/>
          </w:rPr>
          <w:t>42</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36" w:history="1">
        <w:r w:rsidR="005D56C5" w:rsidRPr="0021354B">
          <w:rPr>
            <w:b/>
            <w:bCs/>
            <w:lang w:val="en"/>
          </w:rPr>
          <w:t>DISPENSING CONDITIONS FOR THE INVESTIGATIONAL MEDICATIONS</w:t>
        </w:r>
        <w:r w:rsidR="005D56C5" w:rsidRPr="0021354B">
          <w:rPr>
            <w:b/>
            <w:bCs/>
            <w:lang w:val="en"/>
          </w:rPr>
          <w:tab/>
        </w:r>
        <w:r w:rsidR="005F344B">
          <w:rPr>
            <w:b/>
            <w:bCs/>
            <w:lang w:val="en"/>
          </w:rPr>
          <w:t>42</w:t>
        </w:r>
      </w:hyperlink>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37" w:history="1">
        <w:r w:rsidR="005D56C5" w:rsidRPr="0021354B">
          <w:rPr>
            <w:b/>
            <w:bCs/>
            <w:lang w:val="en"/>
          </w:rPr>
          <w:t>ACCOUNTABILITY / COMPLIANCE/ DISPOSAL OF THE PRODUCTS</w:t>
        </w:r>
        <w:r w:rsidR="005D56C5" w:rsidRPr="0021354B">
          <w:rPr>
            <w:b/>
            <w:bCs/>
            <w:lang w:val="en"/>
          </w:rPr>
          <w:tab/>
        </w:r>
        <w:r w:rsidR="005F344B">
          <w:rPr>
            <w:b/>
            <w:bCs/>
            <w:lang w:val="en"/>
          </w:rPr>
          <w:t>4</w:t>
        </w:r>
      </w:hyperlink>
      <w:r>
        <w:rPr>
          <w:b/>
          <w:bCs/>
          <w:lang w:val="en"/>
        </w:rPr>
        <w:t>4</w:t>
      </w:r>
      <w:bookmarkStart w:id="5" w:name="_GoBack"/>
      <w:bookmarkEnd w:id="5"/>
    </w:p>
    <w:p w:rsidR="00CD39A7" w:rsidRPr="0021354B" w:rsidRDefault="001A5673" w:rsidP="00576525">
      <w:pPr>
        <w:pStyle w:val="ListParagraph"/>
        <w:numPr>
          <w:ilvl w:val="1"/>
          <w:numId w:val="44"/>
        </w:numPr>
        <w:tabs>
          <w:tab w:val="left" w:pos="464"/>
          <w:tab w:val="right" w:pos="9178"/>
        </w:tabs>
        <w:ind w:left="142" w:firstLine="0"/>
        <w:rPr>
          <w:b/>
          <w:sz w:val="24"/>
        </w:rPr>
      </w:pPr>
      <w:hyperlink w:anchor="_bookmark138" w:history="1">
        <w:r w:rsidR="005D56C5" w:rsidRPr="0021354B">
          <w:rPr>
            <w:b/>
            <w:bCs/>
            <w:lang w:val="en"/>
          </w:rPr>
          <w:t>PATIENT CARD</w:t>
        </w:r>
        <w:r w:rsidR="005D56C5" w:rsidRPr="0021354B">
          <w:rPr>
            <w:b/>
            <w:bCs/>
            <w:lang w:val="en"/>
          </w:rPr>
          <w:tab/>
        </w:r>
        <w:r w:rsidR="005F344B">
          <w:rPr>
            <w:b/>
            <w:bCs/>
            <w:lang w:val="en"/>
          </w:rPr>
          <w:t>44</w:t>
        </w:r>
      </w:hyperlink>
    </w:p>
    <w:p w:rsidR="00CD39A7" w:rsidRPr="0021354B" w:rsidRDefault="001A5673" w:rsidP="00576525">
      <w:pPr>
        <w:pStyle w:val="Heading4"/>
        <w:numPr>
          <w:ilvl w:val="0"/>
          <w:numId w:val="44"/>
        </w:numPr>
        <w:tabs>
          <w:tab w:val="left" w:pos="356"/>
          <w:tab w:val="right" w:pos="9178"/>
        </w:tabs>
        <w:ind w:left="142" w:firstLine="0"/>
      </w:pPr>
      <w:r>
        <w:rPr>
          <w:b w:val="0"/>
          <w:bCs w:val="0"/>
          <w:lang w:val="en"/>
        </w:rPr>
        <w:pict>
          <v:group id="_x0000_s1144" style="position:absolute;left:0;text-align:left;margin-left:70.2pt;margin-top:12.5pt;width:454.35pt;height:1.2pt;z-index:-251623936;mso-position-horizontal-relative:page" coordorigin="1404,250" coordsize="9087,24">
            <v:line id="_x0000_s1146" style="position:absolute" from="1416,262" to="5455,262" strokeweight="1.2pt"/>
            <v:line id="_x0000_s1145" style="position:absolute" from="5458,262" to="10478,262" strokeweight="1.2pt"/>
            <w10:wrap anchorx="page"/>
          </v:group>
        </w:pict>
      </w:r>
      <w:hyperlink w:anchor="_bookmark139" w:history="1">
        <w:r w:rsidR="005D56C5" w:rsidRPr="0021354B">
          <w:rPr>
            <w:lang w:val="en"/>
          </w:rPr>
          <w:t>EVALUATION OF EFFICACY</w:t>
        </w:r>
        <w:r w:rsidR="005D56C5" w:rsidRPr="0021354B">
          <w:rPr>
            <w:lang w:val="en"/>
          </w:rPr>
          <w:tab/>
        </w:r>
        <w:r w:rsidR="005F344B">
          <w:rPr>
            <w:lang w:val="en"/>
          </w:rPr>
          <w:t>46</w:t>
        </w:r>
      </w:hyperlink>
    </w:p>
    <w:p w:rsidR="00CD39A7" w:rsidRPr="005C1646" w:rsidRDefault="001A5673" w:rsidP="005C1646">
      <w:pPr>
        <w:pStyle w:val="Heading4"/>
        <w:numPr>
          <w:ilvl w:val="0"/>
          <w:numId w:val="44"/>
        </w:numPr>
        <w:tabs>
          <w:tab w:val="left" w:pos="356"/>
          <w:tab w:val="right" w:pos="9178"/>
        </w:tabs>
        <w:ind w:left="142" w:firstLine="0"/>
        <w:rPr>
          <w:lang w:val="en"/>
        </w:rPr>
      </w:pPr>
      <w:r>
        <w:rPr>
          <w:lang w:val="en"/>
        </w:rPr>
        <w:pict>
          <v:group id="_x0000_s1141" style="position:absolute;left:0;text-align:left;margin-left:70.2pt;margin-top:12.5pt;width:454.35pt;height:1.2pt;z-index:-251622912;mso-position-horizontal-relative:page" coordorigin="1404,250" coordsize="9087,24">
            <v:line id="_x0000_s1143" style="position:absolute" from="1416,262" to="5299,262" strokeweight="1.2pt"/>
            <v:line id="_x0000_s1142" style="position:absolute" from="5299,262" to="10478,262" strokeweight="1.2pt"/>
            <w10:wrap anchorx="page"/>
          </v:group>
        </w:pict>
      </w:r>
      <w:hyperlink w:anchor="_bookmark140" w:history="1">
        <w:r w:rsidR="005D56C5" w:rsidRPr="0021354B">
          <w:rPr>
            <w:lang w:val="en"/>
          </w:rPr>
          <w:t>EVALUATION OF SAFETY</w:t>
        </w:r>
        <w:r w:rsidR="005D56C5" w:rsidRPr="0021354B">
          <w:rPr>
            <w:lang w:val="en"/>
          </w:rPr>
          <w:tab/>
        </w:r>
        <w:r w:rsidR="005F344B">
          <w:rPr>
            <w:lang w:val="en"/>
          </w:rPr>
          <w:t>48</w:t>
        </w:r>
      </w:hyperlink>
    </w:p>
    <w:p w:rsidR="00CD39A7" w:rsidRPr="0021354B" w:rsidRDefault="001A5673" w:rsidP="00576525">
      <w:pPr>
        <w:pStyle w:val="ListParagraph"/>
        <w:numPr>
          <w:ilvl w:val="1"/>
          <w:numId w:val="41"/>
        </w:numPr>
        <w:tabs>
          <w:tab w:val="left" w:pos="464"/>
          <w:tab w:val="right" w:pos="9178"/>
        </w:tabs>
        <w:ind w:left="142" w:firstLine="0"/>
        <w:rPr>
          <w:b/>
          <w:sz w:val="24"/>
        </w:rPr>
      </w:pPr>
      <w:hyperlink w:anchor="_bookmark141" w:history="1">
        <w:r w:rsidR="005D56C5" w:rsidRPr="0021354B">
          <w:rPr>
            <w:b/>
            <w:bCs/>
            <w:lang w:val="en"/>
          </w:rPr>
          <w:t>DESCRIPTION OF THE SAFETY PARAMETERS</w:t>
        </w:r>
        <w:r w:rsidR="005D56C5" w:rsidRPr="0021354B">
          <w:rPr>
            <w:b/>
            <w:bCs/>
            <w:lang w:val="en"/>
          </w:rPr>
          <w:tab/>
        </w:r>
        <w:r w:rsidR="005F344B">
          <w:rPr>
            <w:b/>
            <w:bCs/>
            <w:lang w:val="en"/>
          </w:rPr>
          <w:t>48</w:t>
        </w:r>
      </w:hyperlink>
    </w:p>
    <w:p w:rsidR="00CD39A7" w:rsidRPr="0021354B" w:rsidRDefault="001A5673" w:rsidP="00576525">
      <w:pPr>
        <w:pStyle w:val="ListParagraph"/>
        <w:numPr>
          <w:ilvl w:val="1"/>
          <w:numId w:val="41"/>
        </w:numPr>
        <w:tabs>
          <w:tab w:val="left" w:pos="464"/>
          <w:tab w:val="right" w:pos="9178"/>
        </w:tabs>
        <w:ind w:left="142" w:firstLine="0"/>
        <w:rPr>
          <w:b/>
          <w:sz w:val="24"/>
        </w:rPr>
      </w:pPr>
      <w:hyperlink w:anchor="_bookmark142" w:history="1">
        <w:r w:rsidR="005D56C5" w:rsidRPr="0021354B">
          <w:rPr>
            <w:b/>
            <w:bCs/>
            <w:lang w:val="en"/>
          </w:rPr>
          <w:t>METHODS AND SCHEDULE</w:t>
        </w:r>
        <w:r w:rsidR="005D56C5" w:rsidRPr="0021354B">
          <w:rPr>
            <w:b/>
            <w:bCs/>
            <w:lang w:val="en"/>
          </w:rPr>
          <w:tab/>
        </w:r>
        <w:r w:rsidR="005F344B">
          <w:rPr>
            <w:b/>
            <w:bCs/>
            <w:lang w:val="en"/>
          </w:rPr>
          <w:t>49</w:t>
        </w:r>
      </w:hyperlink>
    </w:p>
    <w:p w:rsidR="00CD39A7" w:rsidRPr="0021354B" w:rsidRDefault="001A5673" w:rsidP="00576525">
      <w:pPr>
        <w:pStyle w:val="ListParagraph"/>
        <w:numPr>
          <w:ilvl w:val="1"/>
          <w:numId w:val="41"/>
        </w:numPr>
        <w:tabs>
          <w:tab w:val="left" w:pos="464"/>
          <w:tab w:val="right" w:pos="9178"/>
        </w:tabs>
        <w:ind w:left="142" w:right="126" w:firstLine="0"/>
        <w:rPr>
          <w:b/>
          <w:sz w:val="24"/>
        </w:rPr>
      </w:pPr>
      <w:hyperlink w:anchor="_bookmark143" w:history="1">
        <w:r w:rsidR="005D56C5" w:rsidRPr="0021354B">
          <w:rPr>
            <w:b/>
            <w:bCs/>
            <w:lang w:val="en"/>
          </w:rPr>
          <w:t>PROCEDURES FOR RECORDING AND REPORTING</w:t>
        </w:r>
      </w:hyperlink>
      <w:r w:rsidR="005D56C5" w:rsidRPr="0021354B">
        <w:rPr>
          <w:b/>
          <w:bCs/>
          <w:lang w:val="en"/>
        </w:rPr>
        <w:t xml:space="preserve"> </w:t>
      </w:r>
      <w:hyperlink w:anchor="_bookmark143" w:history="1">
        <w:r w:rsidR="005D56C5" w:rsidRPr="0021354B">
          <w:rPr>
            <w:b/>
            <w:bCs/>
            <w:lang w:val="en"/>
          </w:rPr>
          <w:t>ADVERSE EVENTS</w:t>
        </w:r>
        <w:r w:rsidR="005D56C5" w:rsidRPr="0021354B">
          <w:rPr>
            <w:b/>
            <w:bCs/>
            <w:lang w:val="en"/>
          </w:rPr>
          <w:tab/>
          <w:t>5</w:t>
        </w:r>
        <w:r w:rsidR="005F344B">
          <w:rPr>
            <w:b/>
            <w:bCs/>
            <w:lang w:val="en"/>
          </w:rPr>
          <w:t>0</w:t>
        </w:r>
      </w:hyperlink>
    </w:p>
    <w:p w:rsidR="00CD39A7" w:rsidRPr="0021354B" w:rsidRDefault="001A5673" w:rsidP="00576525">
      <w:pPr>
        <w:pStyle w:val="ListParagraph"/>
        <w:numPr>
          <w:ilvl w:val="1"/>
          <w:numId w:val="41"/>
        </w:numPr>
        <w:tabs>
          <w:tab w:val="left" w:pos="464"/>
          <w:tab w:val="right" w:pos="9178"/>
        </w:tabs>
        <w:ind w:left="142" w:firstLine="0"/>
        <w:rPr>
          <w:b/>
          <w:sz w:val="24"/>
        </w:rPr>
      </w:pPr>
      <w:hyperlink w:anchor="_bookmark144" w:history="1">
        <w:r w:rsidR="005D56C5" w:rsidRPr="0021354B">
          <w:rPr>
            <w:b/>
            <w:bCs/>
            <w:lang w:val="en"/>
          </w:rPr>
          <w:t>PROCEDURES DURING AND AFTER THE STUDY</w:t>
        </w:r>
        <w:r w:rsidR="005D56C5" w:rsidRPr="0021354B">
          <w:rPr>
            <w:b/>
            <w:bCs/>
            <w:lang w:val="en"/>
          </w:rPr>
          <w:tab/>
          <w:t>5</w:t>
        </w:r>
        <w:r w:rsidR="005F344B">
          <w:rPr>
            <w:b/>
            <w:bCs/>
            <w:lang w:val="en"/>
          </w:rPr>
          <w:t>2</w:t>
        </w:r>
      </w:hyperlink>
    </w:p>
    <w:p w:rsidR="00CD39A7" w:rsidRPr="0021354B" w:rsidRDefault="001A5673" w:rsidP="00576525">
      <w:pPr>
        <w:pStyle w:val="Heading4"/>
        <w:numPr>
          <w:ilvl w:val="0"/>
          <w:numId w:val="40"/>
        </w:numPr>
        <w:tabs>
          <w:tab w:val="left" w:pos="356"/>
          <w:tab w:val="right" w:pos="9178"/>
        </w:tabs>
        <w:ind w:left="142" w:firstLine="0"/>
      </w:pPr>
      <w:r>
        <w:rPr>
          <w:b w:val="0"/>
          <w:bCs w:val="0"/>
          <w:lang w:val="en"/>
        </w:rPr>
        <w:pict>
          <v:group id="_x0000_s1138" style="position:absolute;left:0;text-align:left;margin-left:70.2pt;margin-top:12.5pt;width:454.35pt;height:1.2pt;z-index:-251621888;mso-position-horizontal-relative:page" coordorigin="1404,250" coordsize="9087,24">
            <v:line id="_x0000_s1140" style="position:absolute" from="1416,262" to="4490,262" strokeweight="1.2pt"/>
            <v:line id="_x0000_s1139" style="position:absolute" from="4490,262" to="10478,262" strokeweight="1.2pt"/>
            <w10:wrap anchorx="page"/>
          </v:group>
        </w:pict>
      </w:r>
      <w:hyperlink w:anchor="_bookmark145" w:history="1">
        <w:r w:rsidR="005D56C5" w:rsidRPr="0021354B">
          <w:rPr>
            <w:lang w:val="en"/>
          </w:rPr>
          <w:t>STATISTICAL ANALYSIS</w:t>
        </w:r>
        <w:r w:rsidR="005D56C5" w:rsidRPr="0021354B">
          <w:rPr>
            <w:lang w:val="en"/>
          </w:rPr>
          <w:tab/>
          <w:t>5</w:t>
        </w:r>
        <w:r w:rsidR="005F344B">
          <w:rPr>
            <w:lang w:val="en"/>
          </w:rPr>
          <w:t>3</w:t>
        </w:r>
      </w:hyperlink>
    </w:p>
    <w:p w:rsidR="00CD39A7" w:rsidRPr="0021354B" w:rsidRDefault="001A5673" w:rsidP="00576525">
      <w:pPr>
        <w:pStyle w:val="ListParagraph"/>
        <w:numPr>
          <w:ilvl w:val="1"/>
          <w:numId w:val="40"/>
        </w:numPr>
        <w:tabs>
          <w:tab w:val="left" w:pos="464"/>
          <w:tab w:val="right" w:pos="9178"/>
        </w:tabs>
        <w:ind w:left="142" w:firstLine="0"/>
        <w:rPr>
          <w:b/>
          <w:sz w:val="24"/>
        </w:rPr>
      </w:pPr>
      <w:hyperlink w:anchor="_bookmark146" w:history="1">
        <w:r w:rsidR="005D56C5" w:rsidRPr="0021354B">
          <w:rPr>
            <w:b/>
            <w:bCs/>
            <w:lang w:val="en"/>
          </w:rPr>
          <w:t>DATA ANALYSIS STRATEGY AND STATISTICAL METHODS</w:t>
        </w:r>
        <w:r w:rsidR="005D56C5" w:rsidRPr="0021354B">
          <w:rPr>
            <w:b/>
            <w:bCs/>
            <w:lang w:val="en"/>
          </w:rPr>
          <w:tab/>
          <w:t>5</w:t>
        </w:r>
        <w:r w:rsidR="005F344B">
          <w:rPr>
            <w:b/>
            <w:bCs/>
            <w:lang w:val="en"/>
          </w:rPr>
          <w:t>3</w:t>
        </w:r>
      </w:hyperlink>
    </w:p>
    <w:p w:rsidR="00CD39A7" w:rsidRPr="0021354B" w:rsidRDefault="001A5673" w:rsidP="00576525">
      <w:pPr>
        <w:pStyle w:val="ListParagraph"/>
        <w:numPr>
          <w:ilvl w:val="1"/>
          <w:numId w:val="40"/>
        </w:numPr>
        <w:tabs>
          <w:tab w:val="left" w:pos="464"/>
          <w:tab w:val="right" w:pos="9178"/>
        </w:tabs>
        <w:ind w:left="142" w:firstLine="0"/>
        <w:rPr>
          <w:b/>
          <w:sz w:val="24"/>
        </w:rPr>
      </w:pPr>
      <w:hyperlink w:anchor="_bookmark147" w:history="1">
        <w:r w:rsidR="0054397C">
          <w:rPr>
            <w:b/>
            <w:bCs/>
            <w:lang w:val="en"/>
          </w:rPr>
          <w:t xml:space="preserve">REQUIRED NUMBER OF PATIENTS </w:t>
        </w:r>
        <w:r w:rsidR="005D56C5" w:rsidRPr="0021354B">
          <w:rPr>
            <w:b/>
            <w:bCs/>
            <w:lang w:val="en"/>
          </w:rPr>
          <w:tab/>
          <w:t>5</w:t>
        </w:r>
        <w:r w:rsidR="005F344B">
          <w:rPr>
            <w:b/>
            <w:bCs/>
            <w:lang w:val="en"/>
          </w:rPr>
          <w:t>3</w:t>
        </w:r>
      </w:hyperlink>
    </w:p>
    <w:p w:rsidR="00CD39A7" w:rsidRPr="0021354B" w:rsidRDefault="001A5673" w:rsidP="00576525">
      <w:pPr>
        <w:pStyle w:val="ListParagraph"/>
        <w:numPr>
          <w:ilvl w:val="1"/>
          <w:numId w:val="40"/>
        </w:numPr>
        <w:tabs>
          <w:tab w:val="left" w:pos="464"/>
          <w:tab w:val="right" w:pos="9178"/>
        </w:tabs>
        <w:ind w:left="142" w:firstLine="0"/>
        <w:rPr>
          <w:b/>
          <w:sz w:val="24"/>
        </w:rPr>
      </w:pPr>
      <w:hyperlink w:anchor="_bookmark148" w:history="1">
        <w:r w:rsidR="005D56C5" w:rsidRPr="0021354B">
          <w:rPr>
            <w:b/>
            <w:bCs/>
            <w:lang w:val="en"/>
          </w:rPr>
          <w:t>FEASIBILITY</w:t>
        </w:r>
        <w:r w:rsidR="005D56C5" w:rsidRPr="0021354B">
          <w:rPr>
            <w:b/>
            <w:bCs/>
            <w:lang w:val="en"/>
          </w:rPr>
          <w:tab/>
          <w:t>5</w:t>
        </w:r>
        <w:r w:rsidR="005F344B">
          <w:rPr>
            <w:b/>
            <w:bCs/>
            <w:lang w:val="en"/>
          </w:rPr>
          <w:t>4</w:t>
        </w:r>
      </w:hyperlink>
    </w:p>
    <w:p w:rsidR="00CD39A7" w:rsidRPr="0021354B" w:rsidRDefault="001A5673" w:rsidP="00576525">
      <w:pPr>
        <w:pStyle w:val="Heading4"/>
        <w:numPr>
          <w:ilvl w:val="0"/>
          <w:numId w:val="40"/>
        </w:numPr>
        <w:tabs>
          <w:tab w:val="left" w:pos="476"/>
          <w:tab w:val="right" w:pos="9178"/>
        </w:tabs>
        <w:ind w:left="142" w:firstLine="0"/>
      </w:pPr>
      <w:r>
        <w:rPr>
          <w:b w:val="0"/>
          <w:bCs w:val="0"/>
          <w:lang w:val="en"/>
        </w:rPr>
        <w:pict>
          <v:group id="_x0000_s1135" style="position:absolute;left:0;text-align:left;margin-left:70.2pt;margin-top:12.5pt;width:454.35pt;height:1.2pt;z-index:-251620864;mso-position-horizontal-relative:page" coordorigin="1404,250" coordsize="9087,24">
            <v:line id="_x0000_s1137" style="position:absolute" from="1416,262" to="8539,262" strokeweight="1.2pt"/>
            <v:line id="_x0000_s1136" style="position:absolute" from="8539,262" to="10478,262" strokeweight="1.2pt"/>
            <w10:wrap anchorx="page"/>
          </v:group>
        </w:pict>
      </w:r>
      <w:hyperlink w:anchor="_bookmark149" w:history="1">
        <w:r w:rsidR="005D56C5" w:rsidRPr="0021354B">
          <w:rPr>
            <w:lang w:val="en"/>
          </w:rPr>
          <w:t>ACCESS RIGHTS TO THE SOURCE DATA AND DOCUMENTS</w:t>
        </w:r>
        <w:r w:rsidR="005D56C5" w:rsidRPr="0021354B">
          <w:rPr>
            <w:lang w:val="en"/>
          </w:rPr>
          <w:tab/>
        </w:r>
        <w:r w:rsidR="005F344B">
          <w:rPr>
            <w:lang w:val="en"/>
          </w:rPr>
          <w:t>55</w:t>
        </w:r>
      </w:hyperlink>
    </w:p>
    <w:p w:rsidR="00CD39A7" w:rsidRPr="0021354B" w:rsidRDefault="001A5673" w:rsidP="00576525">
      <w:pPr>
        <w:pStyle w:val="Heading4"/>
        <w:numPr>
          <w:ilvl w:val="0"/>
          <w:numId w:val="40"/>
        </w:numPr>
        <w:tabs>
          <w:tab w:val="left" w:pos="476"/>
          <w:tab w:val="right" w:pos="9178"/>
        </w:tabs>
        <w:ind w:left="142" w:firstLine="0"/>
      </w:pPr>
      <w:r>
        <w:rPr>
          <w:b w:val="0"/>
          <w:bCs w:val="0"/>
          <w:lang w:val="en"/>
        </w:rPr>
        <w:pict>
          <v:group id="_x0000_s1132" style="position:absolute;left:0;text-align:left;margin-left:70.2pt;margin-top:12.5pt;width:454.35pt;height:1.2pt;z-index:-251619840;mso-position-horizontal-relative:page" coordorigin="1404,250" coordsize="9087,24">
            <v:line id="_x0000_s1134" style="position:absolute" from="1416,262" to="7010,262" strokeweight="1.2pt"/>
            <v:line id="_x0000_s1133" style="position:absolute" from="7010,262" to="10478,262" strokeweight="1.2pt"/>
            <w10:wrap anchorx="page"/>
          </v:group>
        </w:pict>
      </w:r>
      <w:hyperlink w:anchor="_bookmark150" w:history="1">
        <w:r w:rsidR="005D56C5" w:rsidRPr="0021354B">
          <w:rPr>
            <w:lang w:val="en"/>
          </w:rPr>
          <w:t>QUALITY CONTROL AND ASSURANCE</w:t>
        </w:r>
        <w:r w:rsidR="005D56C5" w:rsidRPr="0021354B">
          <w:rPr>
            <w:lang w:val="en"/>
          </w:rPr>
          <w:tab/>
        </w:r>
        <w:r w:rsidR="005F344B">
          <w:rPr>
            <w:lang w:val="en"/>
          </w:rPr>
          <w:t>55</w:t>
        </w:r>
      </w:hyperlink>
    </w:p>
    <w:p w:rsidR="00CD39A7" w:rsidRPr="0021354B" w:rsidRDefault="001A5673" w:rsidP="00576525">
      <w:pPr>
        <w:pStyle w:val="ListParagraph"/>
        <w:numPr>
          <w:ilvl w:val="1"/>
          <w:numId w:val="40"/>
        </w:numPr>
        <w:tabs>
          <w:tab w:val="left" w:pos="584"/>
          <w:tab w:val="right" w:pos="9178"/>
        </w:tabs>
        <w:ind w:left="142" w:firstLine="0"/>
        <w:rPr>
          <w:b/>
          <w:sz w:val="24"/>
        </w:rPr>
      </w:pPr>
      <w:hyperlink w:anchor="_bookmark151" w:history="1">
        <w:r w:rsidR="005D56C5" w:rsidRPr="0021354B">
          <w:rPr>
            <w:b/>
            <w:bCs/>
            <w:lang w:val="en"/>
          </w:rPr>
          <w:t>MONITORING PROCEDURES</w:t>
        </w:r>
        <w:r w:rsidR="005D56C5" w:rsidRPr="0021354B">
          <w:rPr>
            <w:b/>
            <w:bCs/>
            <w:lang w:val="en"/>
          </w:rPr>
          <w:tab/>
        </w:r>
        <w:r w:rsidR="005F344B">
          <w:rPr>
            <w:b/>
            <w:bCs/>
            <w:lang w:val="en"/>
          </w:rPr>
          <w:t>55</w:t>
        </w:r>
      </w:hyperlink>
    </w:p>
    <w:p w:rsidR="00CD39A7" w:rsidRPr="0021354B" w:rsidRDefault="001A5673" w:rsidP="00576525">
      <w:pPr>
        <w:pStyle w:val="ListParagraph"/>
        <w:numPr>
          <w:ilvl w:val="1"/>
          <w:numId w:val="40"/>
        </w:numPr>
        <w:tabs>
          <w:tab w:val="left" w:pos="584"/>
          <w:tab w:val="right" w:pos="9178"/>
        </w:tabs>
        <w:ind w:left="142" w:firstLine="0"/>
        <w:rPr>
          <w:b/>
          <w:sz w:val="24"/>
        </w:rPr>
      </w:pPr>
      <w:hyperlink w:anchor="_bookmark152" w:history="1">
        <w:r w:rsidR="005D56C5" w:rsidRPr="0021354B">
          <w:rPr>
            <w:b/>
            <w:bCs/>
            <w:lang w:val="en"/>
          </w:rPr>
          <w:t>DATA ENTRY IN THE ELECTRONIC CASE REPORT FORM</w:t>
        </w:r>
        <w:r w:rsidR="005D56C5" w:rsidRPr="0021354B">
          <w:rPr>
            <w:b/>
            <w:bCs/>
            <w:lang w:val="en"/>
          </w:rPr>
          <w:tab/>
        </w:r>
        <w:r w:rsidR="005F344B">
          <w:rPr>
            <w:b/>
            <w:bCs/>
            <w:lang w:val="en"/>
          </w:rPr>
          <w:t>57</w:t>
        </w:r>
      </w:hyperlink>
    </w:p>
    <w:p w:rsidR="00CD39A7" w:rsidRPr="0021354B" w:rsidRDefault="001A5673" w:rsidP="00576525">
      <w:pPr>
        <w:pStyle w:val="Heading4"/>
        <w:numPr>
          <w:ilvl w:val="0"/>
          <w:numId w:val="40"/>
        </w:numPr>
        <w:tabs>
          <w:tab w:val="left" w:pos="476"/>
          <w:tab w:val="right" w:pos="9178"/>
        </w:tabs>
        <w:ind w:left="142" w:firstLine="0"/>
      </w:pPr>
      <w:r>
        <w:rPr>
          <w:b w:val="0"/>
          <w:bCs w:val="0"/>
          <w:lang w:val="en"/>
        </w:rPr>
        <w:pict>
          <v:group id="_x0000_s1129" style="position:absolute;left:0;text-align:left;margin-left:70.2pt;margin-top:12.5pt;width:454.35pt;height:1.2pt;z-index:-251618816;mso-position-horizontal-relative:page" coordorigin="1404,250" coordsize="9087,24">
            <v:line id="_x0000_s1131" style="position:absolute" from="1416,262" to="5278,262" strokeweight="1.2pt"/>
            <v:line id="_x0000_s1130" style="position:absolute" from="5278,262" to="10478,262" strokeweight="1.2pt"/>
            <w10:wrap anchorx="page"/>
          </v:group>
        </w:pict>
      </w:r>
      <w:hyperlink w:anchor="_bookmark153" w:history="1">
        <w:r w:rsidR="005D56C5" w:rsidRPr="0021354B">
          <w:rPr>
            <w:lang w:val="en"/>
          </w:rPr>
          <w:t>ETHICAL CONSIDERATIONS</w:t>
        </w:r>
        <w:r w:rsidR="005D56C5" w:rsidRPr="0021354B">
          <w:rPr>
            <w:lang w:val="en"/>
          </w:rPr>
          <w:tab/>
        </w:r>
        <w:r w:rsidR="005F344B">
          <w:rPr>
            <w:lang w:val="en"/>
          </w:rPr>
          <w:t>58</w:t>
        </w:r>
      </w:hyperlink>
    </w:p>
    <w:p w:rsidR="00CD39A7" w:rsidRPr="0021354B" w:rsidRDefault="001A5673" w:rsidP="00576525">
      <w:pPr>
        <w:pStyle w:val="ListParagraph"/>
        <w:numPr>
          <w:ilvl w:val="1"/>
          <w:numId w:val="40"/>
        </w:numPr>
        <w:tabs>
          <w:tab w:val="left" w:pos="584"/>
          <w:tab w:val="right" w:pos="9178"/>
        </w:tabs>
        <w:ind w:left="142" w:firstLine="0"/>
        <w:rPr>
          <w:b/>
          <w:sz w:val="24"/>
        </w:rPr>
      </w:pPr>
      <w:hyperlink w:anchor="_bookmark154" w:history="1">
        <w:r w:rsidR="005D56C5" w:rsidRPr="0021354B">
          <w:rPr>
            <w:b/>
            <w:bCs/>
            <w:lang w:val="en"/>
          </w:rPr>
          <w:t>APPLICATION FOR AFSSAPS AUTHORIZATION</w:t>
        </w:r>
        <w:r w:rsidR="005D56C5" w:rsidRPr="0021354B">
          <w:rPr>
            <w:b/>
            <w:bCs/>
            <w:lang w:val="en"/>
          </w:rPr>
          <w:tab/>
        </w:r>
        <w:r w:rsidR="005F344B">
          <w:rPr>
            <w:b/>
            <w:bCs/>
            <w:lang w:val="en"/>
          </w:rPr>
          <w:t>58</w:t>
        </w:r>
      </w:hyperlink>
    </w:p>
    <w:p w:rsidR="00CD39A7" w:rsidRPr="0021354B" w:rsidRDefault="001A5673" w:rsidP="00576525">
      <w:pPr>
        <w:pStyle w:val="ListParagraph"/>
        <w:numPr>
          <w:ilvl w:val="1"/>
          <w:numId w:val="40"/>
        </w:numPr>
        <w:tabs>
          <w:tab w:val="left" w:pos="584"/>
          <w:tab w:val="right" w:pos="9178"/>
        </w:tabs>
        <w:ind w:left="142" w:firstLine="0"/>
        <w:rPr>
          <w:b/>
          <w:sz w:val="24"/>
          <w:lang w:val="fr-CA"/>
        </w:rPr>
      </w:pPr>
      <w:hyperlink w:anchor="_bookmark155" w:history="1">
        <w:r w:rsidR="005D56C5" w:rsidRPr="0021354B">
          <w:rPr>
            <w:b/>
            <w:bCs/>
            <w:lang w:val="fr-CA"/>
          </w:rPr>
          <w:t>OPINION REQUEST TO THE COMITE DE PROTECTION DES PERSONNES (CPP)</w:t>
        </w:r>
        <w:r w:rsidR="005D56C5" w:rsidRPr="0021354B">
          <w:rPr>
            <w:b/>
            <w:bCs/>
            <w:lang w:val="fr-CA"/>
          </w:rPr>
          <w:tab/>
        </w:r>
        <w:r w:rsidR="005F344B">
          <w:rPr>
            <w:b/>
            <w:bCs/>
            <w:lang w:val="fr-CA"/>
          </w:rPr>
          <w:t>59</w:t>
        </w:r>
      </w:hyperlink>
    </w:p>
    <w:p w:rsidR="00CD39A7" w:rsidRPr="0021354B" w:rsidRDefault="001A5673" w:rsidP="00576525">
      <w:pPr>
        <w:pStyle w:val="ListParagraph"/>
        <w:numPr>
          <w:ilvl w:val="1"/>
          <w:numId w:val="40"/>
        </w:numPr>
        <w:tabs>
          <w:tab w:val="left" w:pos="584"/>
          <w:tab w:val="right" w:pos="9178"/>
        </w:tabs>
        <w:ind w:left="142" w:firstLine="0"/>
        <w:rPr>
          <w:b/>
          <w:sz w:val="24"/>
        </w:rPr>
      </w:pPr>
      <w:hyperlink w:anchor="_bookmark156" w:history="1">
        <w:r w:rsidR="005D56C5" w:rsidRPr="0021354B">
          <w:rPr>
            <w:b/>
            <w:bCs/>
            <w:lang w:val="en"/>
          </w:rPr>
          <w:t>AMENDMENTS</w:t>
        </w:r>
        <w:r w:rsidR="005D56C5" w:rsidRPr="0021354B">
          <w:rPr>
            <w:b/>
            <w:bCs/>
            <w:lang w:val="en"/>
          </w:rPr>
          <w:tab/>
        </w:r>
        <w:r w:rsidR="005F344B">
          <w:rPr>
            <w:b/>
            <w:bCs/>
            <w:lang w:val="en"/>
          </w:rPr>
          <w:t>59</w:t>
        </w:r>
      </w:hyperlink>
    </w:p>
    <w:p w:rsidR="00CD39A7" w:rsidRPr="0047618B" w:rsidRDefault="001A5673" w:rsidP="00576525">
      <w:pPr>
        <w:pStyle w:val="ListParagraph"/>
        <w:numPr>
          <w:ilvl w:val="1"/>
          <w:numId w:val="40"/>
        </w:numPr>
        <w:tabs>
          <w:tab w:val="left" w:pos="584"/>
          <w:tab w:val="right" w:pos="9178"/>
        </w:tabs>
        <w:ind w:left="142" w:firstLine="0"/>
        <w:rPr>
          <w:b/>
          <w:bCs/>
          <w:lang w:val="en"/>
        </w:rPr>
      </w:pPr>
      <w:hyperlink w:anchor="_bookmark157" w:history="1">
        <w:r w:rsidR="005D56C5" w:rsidRPr="0021354B">
          <w:rPr>
            <w:b/>
            <w:bCs/>
            <w:lang w:val="en"/>
          </w:rPr>
          <w:t>DECLARATION OF THE CNIL</w:t>
        </w:r>
        <w:r w:rsidR="005D56C5" w:rsidRPr="0021354B">
          <w:rPr>
            <w:b/>
            <w:bCs/>
            <w:lang w:val="en"/>
          </w:rPr>
          <w:tab/>
        </w:r>
        <w:r w:rsidR="005F344B">
          <w:rPr>
            <w:b/>
            <w:bCs/>
            <w:lang w:val="en"/>
          </w:rPr>
          <w:t>60</w:t>
        </w:r>
      </w:hyperlink>
    </w:p>
    <w:p w:rsidR="00CD39A7" w:rsidRPr="0047618B" w:rsidRDefault="001A5673" w:rsidP="00576525">
      <w:pPr>
        <w:pStyle w:val="ListParagraph"/>
        <w:numPr>
          <w:ilvl w:val="1"/>
          <w:numId w:val="40"/>
        </w:numPr>
        <w:tabs>
          <w:tab w:val="left" w:pos="584"/>
          <w:tab w:val="right" w:pos="9178"/>
        </w:tabs>
        <w:ind w:left="142" w:firstLine="0"/>
        <w:rPr>
          <w:b/>
          <w:bCs/>
          <w:lang w:val="en"/>
        </w:rPr>
      </w:pPr>
      <w:hyperlink w:anchor="_bookmark158" w:history="1">
        <w:r w:rsidR="005D56C5" w:rsidRPr="0021354B">
          <w:rPr>
            <w:b/>
            <w:bCs/>
            <w:lang w:val="en"/>
          </w:rPr>
          <w:t>INFORMED CONSENT FORM</w:t>
        </w:r>
        <w:r w:rsidR="005D56C5" w:rsidRPr="0021354B">
          <w:rPr>
            <w:b/>
            <w:bCs/>
            <w:lang w:val="en"/>
          </w:rPr>
          <w:tab/>
        </w:r>
        <w:r w:rsidR="005F344B">
          <w:rPr>
            <w:b/>
            <w:bCs/>
            <w:lang w:val="en"/>
          </w:rPr>
          <w:t>60</w:t>
        </w:r>
      </w:hyperlink>
    </w:p>
    <w:p w:rsidR="00CD39A7" w:rsidRDefault="001A5673" w:rsidP="00576525">
      <w:pPr>
        <w:pStyle w:val="ListParagraph"/>
        <w:numPr>
          <w:ilvl w:val="1"/>
          <w:numId w:val="40"/>
        </w:numPr>
        <w:tabs>
          <w:tab w:val="left" w:pos="584"/>
          <w:tab w:val="right" w:pos="9178"/>
        </w:tabs>
        <w:ind w:left="142" w:firstLine="0"/>
        <w:rPr>
          <w:b/>
          <w:bCs/>
          <w:lang w:val="en"/>
        </w:rPr>
      </w:pPr>
      <w:hyperlink w:anchor="_bookmark159" w:history="1">
        <w:r w:rsidR="005D56C5" w:rsidRPr="0021354B">
          <w:rPr>
            <w:b/>
            <w:bCs/>
            <w:lang w:val="en"/>
          </w:rPr>
          <w:t>FINAL STUDY REPORT</w:t>
        </w:r>
        <w:r w:rsidR="005D56C5" w:rsidRPr="0021354B">
          <w:rPr>
            <w:b/>
            <w:bCs/>
            <w:lang w:val="en"/>
          </w:rPr>
          <w:tab/>
        </w:r>
        <w:r w:rsidR="005F344B">
          <w:rPr>
            <w:b/>
            <w:bCs/>
            <w:lang w:val="en"/>
          </w:rPr>
          <w:t>61</w:t>
        </w:r>
      </w:hyperlink>
    </w:p>
    <w:p w:rsidR="003239C1" w:rsidRPr="003239C1" w:rsidRDefault="001A5673" w:rsidP="003239C1">
      <w:pPr>
        <w:pStyle w:val="Heading4"/>
        <w:numPr>
          <w:ilvl w:val="0"/>
          <w:numId w:val="40"/>
        </w:numPr>
        <w:tabs>
          <w:tab w:val="left" w:pos="476"/>
          <w:tab w:val="right" w:pos="9178"/>
        </w:tabs>
        <w:ind w:left="142" w:firstLine="0"/>
        <w:jc w:val="left"/>
        <w:rPr>
          <w:u w:val="single"/>
        </w:rPr>
      </w:pPr>
      <w:r>
        <w:rPr>
          <w:u w:val="single"/>
          <w:lang w:val="en"/>
        </w:rPr>
        <w:pict>
          <v:group id="_x0000_s1180" style="position:absolute;left:0;text-align:left;margin-left:70.2pt;margin-top:12.5pt;width:454.35pt;height:1.2pt;z-index:-251592192;mso-position-horizontal-relative:page" coordorigin="1404,250" coordsize="9087,24">
            <v:line id="_x0000_s1181" style="position:absolute" from="1416,262" to="7010,262" strokeweight="1.2pt"/>
            <v:line id="_x0000_s1182" style="position:absolute" from="7010,262" to="10478,262" strokeweight="1.2pt"/>
            <w10:wrap anchorx="page"/>
          </v:group>
        </w:pict>
      </w:r>
      <w:hyperlink w:anchor="_bookmark150" w:history="1">
        <w:hyperlink w:anchor="_bookmark160" w:history="1">
          <w:r w:rsidR="003239C1" w:rsidRPr="003239C1">
            <w:rPr>
              <w:u w:val="single"/>
              <w:lang w:val="en"/>
            </w:rPr>
            <w:t xml:space="preserve">DATA PROCESSING AND STORAGE OF STUDY-RELATED </w:t>
          </w:r>
          <w:r w:rsidR="003239C1" w:rsidRPr="003239C1">
            <w:rPr>
              <w:u w:val="single"/>
              <w:lang w:val="en"/>
            </w:rPr>
            <w:br/>
            <w:t xml:space="preserve">DOCUMENTS AND </w:t>
          </w:r>
        </w:hyperlink>
        <w:hyperlink w:anchor="_bookmark160" w:history="1">
          <w:r w:rsidR="003239C1" w:rsidRPr="003239C1">
            <w:rPr>
              <w:u w:val="single"/>
              <w:lang w:val="en"/>
            </w:rPr>
            <w:t>DATA</w:t>
          </w:r>
          <w:r w:rsidR="003239C1" w:rsidRPr="003239C1">
            <w:rPr>
              <w:u w:val="single"/>
              <w:lang w:val="en"/>
            </w:rPr>
            <w:tab/>
            <w:t>61</w:t>
          </w:r>
        </w:hyperlink>
      </w:hyperlink>
    </w:p>
    <w:p w:rsidR="00CD39A7" w:rsidRPr="004533C6" w:rsidRDefault="001A5673" w:rsidP="004533C6">
      <w:pPr>
        <w:pStyle w:val="Heading4"/>
        <w:numPr>
          <w:ilvl w:val="0"/>
          <w:numId w:val="40"/>
        </w:numPr>
        <w:tabs>
          <w:tab w:val="left" w:pos="476"/>
          <w:tab w:val="right" w:pos="9178"/>
        </w:tabs>
        <w:ind w:left="142" w:right="126" w:firstLine="0"/>
        <w:jc w:val="left"/>
        <w:rPr>
          <w:u w:val="single"/>
        </w:rPr>
      </w:pPr>
      <w:r>
        <w:rPr>
          <w:lang w:val="en"/>
        </w:rPr>
        <w:pict>
          <v:group id="_x0000_s1126" style="position:absolute;left:0;text-align:left;margin-left:70.2pt;margin-top:26.3pt;width:454.35pt;height:1.2pt;z-index:-251617792;mso-position-horizontal-relative:page" coordorigin="1404,526" coordsize="9087,24">
            <v:line id="_x0000_s1128" style="position:absolute" from="1416,538" to="6785,538" strokeweight="1.2pt"/>
            <v:line id="_x0000_s1127" style="position:absolute" from="6785,538" to="10478,538" strokeweight="1.2pt"/>
            <w10:wrap anchorx="page"/>
          </v:group>
        </w:pict>
      </w:r>
      <w:hyperlink w:anchor="_bookmark160" w:history="1">
        <w:r w:rsidR="005D56C5" w:rsidRPr="003239C1">
          <w:rPr>
            <w:lang w:val="en"/>
          </w:rPr>
          <w:t xml:space="preserve">DATA PROCESSING AND STORAGE OF STUDY-RELATED </w:t>
        </w:r>
        <w:r w:rsidR="004533C6" w:rsidRPr="003239C1">
          <w:rPr>
            <w:lang w:val="en"/>
          </w:rPr>
          <w:br/>
        </w:r>
        <w:r w:rsidR="005D56C5" w:rsidRPr="003239C1">
          <w:rPr>
            <w:lang w:val="en"/>
          </w:rPr>
          <w:t>DOCUMENTS AND</w:t>
        </w:r>
        <w:r w:rsidR="005D56C5" w:rsidRPr="004533C6">
          <w:rPr>
            <w:u w:val="single"/>
            <w:lang w:val="en"/>
          </w:rPr>
          <w:t xml:space="preserve"> </w:t>
        </w:r>
      </w:hyperlink>
      <w:hyperlink w:anchor="_bookmark160" w:history="1">
        <w:r w:rsidR="005D56C5" w:rsidRPr="004533C6">
          <w:rPr>
            <w:u w:val="single"/>
            <w:lang w:val="en"/>
          </w:rPr>
          <w:t>DATA</w:t>
        </w:r>
        <w:r w:rsidR="005D56C5" w:rsidRPr="004533C6">
          <w:rPr>
            <w:u w:val="single"/>
            <w:lang w:val="en"/>
          </w:rPr>
          <w:tab/>
          <w:t>6</w:t>
        </w:r>
        <w:r w:rsidR="005F344B">
          <w:rPr>
            <w:u w:val="single"/>
            <w:lang w:val="en"/>
          </w:rPr>
          <w:t>1</w:t>
        </w:r>
      </w:hyperlink>
    </w:p>
    <w:p w:rsidR="00CD39A7" w:rsidRPr="0021354B" w:rsidRDefault="001A5673" w:rsidP="00576525">
      <w:pPr>
        <w:pStyle w:val="Heading4"/>
        <w:numPr>
          <w:ilvl w:val="0"/>
          <w:numId w:val="40"/>
        </w:numPr>
        <w:tabs>
          <w:tab w:val="left" w:pos="476"/>
          <w:tab w:val="right" w:pos="9178"/>
        </w:tabs>
        <w:ind w:left="142" w:firstLine="0"/>
      </w:pPr>
      <w:r>
        <w:rPr>
          <w:b w:val="0"/>
          <w:bCs w:val="0"/>
          <w:lang w:val="en"/>
        </w:rPr>
        <w:pict>
          <v:group id="_x0000_s1123" style="position:absolute;left:0;text-align:left;margin-left:70.2pt;margin-top:12.5pt;width:454.35pt;height:1.2pt;z-index:-251616768;mso-position-horizontal-relative:page" coordorigin="1404,250" coordsize="9087,24">
            <v:line id="_x0000_s1125" style="position:absolute" from="1416,262" to="5496,262" strokeweight="1.2pt"/>
            <v:line id="_x0000_s1124" style="position:absolute" from="5496,262" to="10478,262" strokeweight="1.2pt"/>
            <w10:wrap anchorx="page"/>
          </v:group>
        </w:pict>
      </w:r>
      <w:hyperlink w:anchor="_bookmark161" w:history="1">
        <w:r w:rsidR="005D56C5" w:rsidRPr="0021354B">
          <w:rPr>
            <w:lang w:val="en"/>
          </w:rPr>
          <w:t>FINANCING AND INSURANCE</w:t>
        </w:r>
        <w:r w:rsidR="005D56C5" w:rsidRPr="0021354B">
          <w:rPr>
            <w:lang w:val="en"/>
          </w:rPr>
          <w:tab/>
          <w:t>6</w:t>
        </w:r>
        <w:r w:rsidR="005F344B">
          <w:rPr>
            <w:lang w:val="en"/>
          </w:rPr>
          <w:t>2</w:t>
        </w:r>
      </w:hyperlink>
    </w:p>
    <w:p w:rsidR="00CD39A7" w:rsidRPr="0021354B" w:rsidRDefault="001A5673" w:rsidP="00576525">
      <w:pPr>
        <w:pStyle w:val="ListParagraph"/>
        <w:numPr>
          <w:ilvl w:val="1"/>
          <w:numId w:val="40"/>
        </w:numPr>
        <w:tabs>
          <w:tab w:val="left" w:pos="584"/>
          <w:tab w:val="right" w:pos="9178"/>
        </w:tabs>
        <w:ind w:left="142" w:firstLine="0"/>
        <w:rPr>
          <w:b/>
          <w:sz w:val="24"/>
        </w:rPr>
      </w:pPr>
      <w:hyperlink w:anchor="_bookmark162" w:history="1">
        <w:r w:rsidR="005D56C5" w:rsidRPr="0021354B">
          <w:rPr>
            <w:b/>
            <w:bCs/>
            <w:lang w:val="en"/>
          </w:rPr>
          <w:t>INSURANCE</w:t>
        </w:r>
        <w:r w:rsidR="005D56C5" w:rsidRPr="0021354B">
          <w:rPr>
            <w:b/>
            <w:bCs/>
            <w:lang w:val="en"/>
          </w:rPr>
          <w:tab/>
          <w:t>6</w:t>
        </w:r>
        <w:r w:rsidR="005F344B">
          <w:rPr>
            <w:b/>
            <w:bCs/>
            <w:lang w:val="en"/>
          </w:rPr>
          <w:t>2</w:t>
        </w:r>
      </w:hyperlink>
    </w:p>
    <w:p w:rsidR="00CD39A7" w:rsidRPr="0021354B" w:rsidRDefault="001A5673" w:rsidP="00576525">
      <w:pPr>
        <w:pStyle w:val="ListParagraph"/>
        <w:numPr>
          <w:ilvl w:val="1"/>
          <w:numId w:val="40"/>
        </w:numPr>
        <w:tabs>
          <w:tab w:val="left" w:pos="584"/>
          <w:tab w:val="right" w:pos="9178"/>
        </w:tabs>
        <w:ind w:left="142" w:firstLine="0"/>
        <w:rPr>
          <w:b/>
          <w:sz w:val="24"/>
        </w:rPr>
      </w:pPr>
      <w:hyperlink w:anchor="_bookmark163" w:history="1">
        <w:r w:rsidR="005D56C5" w:rsidRPr="0021354B">
          <w:rPr>
            <w:b/>
            <w:bCs/>
            <w:lang w:val="en"/>
          </w:rPr>
          <w:t>SCIENTIFIC COMMITMENT</w:t>
        </w:r>
        <w:r w:rsidR="005D56C5" w:rsidRPr="0021354B">
          <w:rPr>
            <w:b/>
            <w:bCs/>
            <w:lang w:val="en"/>
          </w:rPr>
          <w:tab/>
          <w:t>6</w:t>
        </w:r>
        <w:r w:rsidR="005F344B">
          <w:rPr>
            <w:b/>
            <w:bCs/>
            <w:lang w:val="en"/>
          </w:rPr>
          <w:t>2</w:t>
        </w:r>
      </w:hyperlink>
    </w:p>
    <w:p w:rsidR="00CD39A7" w:rsidRPr="0021354B" w:rsidRDefault="001A5673" w:rsidP="00576525">
      <w:pPr>
        <w:pStyle w:val="Heading4"/>
        <w:numPr>
          <w:ilvl w:val="0"/>
          <w:numId w:val="40"/>
        </w:numPr>
        <w:tabs>
          <w:tab w:val="left" w:pos="476"/>
          <w:tab w:val="right" w:pos="9178"/>
        </w:tabs>
        <w:ind w:left="142" w:firstLine="0"/>
      </w:pPr>
      <w:r>
        <w:rPr>
          <w:b w:val="0"/>
          <w:bCs w:val="0"/>
          <w:lang w:val="en"/>
        </w:rPr>
        <w:pict>
          <v:group id="_x0000_s1120" style="position:absolute;left:0;text-align:left;margin-left:70.2pt;margin-top:12.5pt;width:454.35pt;height:1.2pt;z-index:-251615744;mso-position-horizontal-relative:page" coordorigin="1404,250" coordsize="9087,24">
            <v:line id="_x0000_s1122" style="position:absolute" from="1416,262" to="6576,262" strokeweight="1.2pt"/>
            <v:line id="_x0000_s1121" style="position:absolute" from="6576,262" to="10478,262" strokeweight="1.2pt"/>
            <w10:wrap anchorx="page"/>
          </v:group>
        </w:pict>
      </w:r>
      <w:hyperlink w:anchor="_bookmark164" w:history="1">
        <w:r w:rsidR="005D56C5" w:rsidRPr="0021354B">
          <w:rPr>
            <w:lang w:val="en"/>
          </w:rPr>
          <w:t>PUBLICATION RULES</w:t>
        </w:r>
        <w:r w:rsidR="005D56C5" w:rsidRPr="0021354B">
          <w:rPr>
            <w:lang w:val="en"/>
          </w:rPr>
          <w:tab/>
          <w:t>6</w:t>
        </w:r>
        <w:r w:rsidR="005F344B">
          <w:rPr>
            <w:lang w:val="en"/>
          </w:rPr>
          <w:t>2</w:t>
        </w:r>
      </w:hyperlink>
    </w:p>
    <w:p w:rsidR="00CD39A7" w:rsidRPr="0021354B" w:rsidRDefault="001A5673" w:rsidP="00576525">
      <w:pPr>
        <w:pStyle w:val="Heading4"/>
        <w:tabs>
          <w:tab w:val="right" w:pos="9178"/>
        </w:tabs>
        <w:ind w:left="142" w:firstLine="0"/>
        <w:jc w:val="left"/>
      </w:pPr>
      <w:r>
        <w:rPr>
          <w:b w:val="0"/>
          <w:bCs w:val="0"/>
          <w:lang w:val="en"/>
        </w:rPr>
        <w:pict>
          <v:group id="_x0000_s1117" style="position:absolute;left:0;text-align:left;margin-left:70.2pt;margin-top:12.5pt;width:454.35pt;height:1.2pt;z-index:-251614720;mso-position-horizontal-relative:page" coordorigin="1404,250" coordsize="9087,24">
            <v:line id="_x0000_s1119" style="position:absolute" from="1416,262" to="2563,262" strokeweight="1.2pt"/>
            <v:line id="_x0000_s1118" style="position:absolute" from="2563,262" to="10478,262" strokeweight="1.2pt"/>
            <w10:wrap anchorx="page"/>
          </v:group>
        </w:pict>
      </w:r>
      <w:hyperlink w:anchor="_bookmark165" w:history="1">
        <w:r w:rsidR="005D56C5" w:rsidRPr="0021354B">
          <w:rPr>
            <w:lang w:val="en"/>
          </w:rPr>
          <w:t>APPENDICES</w:t>
        </w:r>
        <w:r w:rsidR="005D56C5" w:rsidRPr="0021354B">
          <w:rPr>
            <w:lang w:val="en"/>
          </w:rPr>
          <w:tab/>
        </w:r>
        <w:r w:rsidR="005F344B">
          <w:rPr>
            <w:lang w:val="en"/>
          </w:rPr>
          <w:t>64</w:t>
        </w:r>
      </w:hyperlink>
    </w:p>
    <w:p w:rsidR="00CD39A7" w:rsidRPr="0021354B" w:rsidRDefault="001A5673" w:rsidP="00576525">
      <w:pPr>
        <w:tabs>
          <w:tab w:val="right" w:pos="9178"/>
        </w:tabs>
        <w:ind w:left="142"/>
        <w:rPr>
          <w:b/>
          <w:sz w:val="24"/>
        </w:rPr>
      </w:pPr>
      <w:hyperlink w:anchor="_bookmark166" w:history="1">
        <w:r w:rsidR="005D56C5" w:rsidRPr="0021354B">
          <w:rPr>
            <w:b/>
            <w:bCs/>
            <w:lang w:val="en"/>
          </w:rPr>
          <w:t xml:space="preserve">APPENDIX </w:t>
        </w:r>
        <w:r w:rsidR="005D56C5" w:rsidRPr="0021354B">
          <w:rPr>
            <w:b/>
            <w:bCs/>
            <w:sz w:val="24"/>
            <w:lang w:val="en"/>
          </w:rPr>
          <w:t xml:space="preserve">I: </w:t>
        </w:r>
        <w:r w:rsidR="005D56C5" w:rsidRPr="0021354B">
          <w:rPr>
            <w:b/>
            <w:bCs/>
            <w:lang w:val="en"/>
          </w:rPr>
          <w:t>REFERENCES</w:t>
        </w:r>
        <w:r w:rsidR="005D56C5" w:rsidRPr="0021354B">
          <w:rPr>
            <w:b/>
            <w:bCs/>
            <w:lang w:val="en"/>
          </w:rPr>
          <w:tab/>
        </w:r>
        <w:r w:rsidR="005F344B">
          <w:rPr>
            <w:b/>
            <w:bCs/>
            <w:lang w:val="en"/>
          </w:rPr>
          <w:t>64</w:t>
        </w:r>
      </w:hyperlink>
    </w:p>
    <w:p w:rsidR="00CD39A7" w:rsidRPr="0021354B" w:rsidRDefault="001A5673" w:rsidP="00576525">
      <w:pPr>
        <w:tabs>
          <w:tab w:val="right" w:pos="9178"/>
        </w:tabs>
        <w:ind w:left="142"/>
        <w:rPr>
          <w:b/>
          <w:sz w:val="24"/>
        </w:rPr>
      </w:pPr>
      <w:hyperlink w:anchor="_bookmark167" w:history="1">
        <w:r w:rsidR="005D56C5" w:rsidRPr="0021354B">
          <w:rPr>
            <w:b/>
            <w:bCs/>
            <w:lang w:val="en"/>
          </w:rPr>
          <w:t xml:space="preserve">APPENDIX II </w:t>
        </w:r>
        <w:r w:rsidR="00755D38" w:rsidRPr="00755D38">
          <w:rPr>
            <w:b/>
            <w:bCs/>
            <w:lang w:val="en"/>
          </w:rPr>
          <w:t>–</w:t>
        </w:r>
        <w:r w:rsidR="005D56C5" w:rsidRPr="0021354B">
          <w:rPr>
            <w:b/>
            <w:bCs/>
            <w:lang w:val="en"/>
          </w:rPr>
          <w:t xml:space="preserve"> CLASSIFICATION CRITERIA</w:t>
        </w:r>
        <w:r w:rsidR="005D56C5" w:rsidRPr="0021354B">
          <w:rPr>
            <w:b/>
            <w:bCs/>
            <w:lang w:val="en"/>
          </w:rPr>
          <w:tab/>
        </w:r>
        <w:r w:rsidR="005F344B">
          <w:rPr>
            <w:b/>
            <w:bCs/>
            <w:lang w:val="en"/>
          </w:rPr>
          <w:t>67</w:t>
        </w:r>
      </w:hyperlink>
    </w:p>
    <w:p w:rsidR="00CD39A7" w:rsidRPr="0021354B" w:rsidRDefault="001A5673" w:rsidP="00576525">
      <w:pPr>
        <w:tabs>
          <w:tab w:val="right" w:pos="9178"/>
        </w:tabs>
        <w:ind w:left="142"/>
        <w:rPr>
          <w:b/>
          <w:sz w:val="24"/>
        </w:rPr>
      </w:pPr>
      <w:hyperlink w:anchor="_bookmark168" w:history="1">
        <w:r w:rsidR="005D56C5" w:rsidRPr="0021354B">
          <w:rPr>
            <w:b/>
            <w:bCs/>
            <w:lang w:val="en"/>
          </w:rPr>
          <w:t>APPENDIX III – BVAS 2003</w:t>
        </w:r>
        <w:r w:rsidR="005D56C5" w:rsidRPr="0021354B">
          <w:rPr>
            <w:b/>
            <w:bCs/>
            <w:lang w:val="en"/>
          </w:rPr>
          <w:tab/>
        </w:r>
        <w:r w:rsidR="005F344B">
          <w:rPr>
            <w:b/>
            <w:bCs/>
            <w:lang w:val="en"/>
          </w:rPr>
          <w:t>69</w:t>
        </w:r>
      </w:hyperlink>
    </w:p>
    <w:p w:rsidR="00CD39A7" w:rsidRPr="0021354B" w:rsidRDefault="001A5673" w:rsidP="00576525">
      <w:pPr>
        <w:ind w:left="142"/>
        <w:rPr>
          <w:b/>
          <w:sz w:val="19"/>
        </w:rPr>
      </w:pPr>
      <w:hyperlink w:anchor="_bookmark169" w:history="1">
        <w:r w:rsidR="005D56C5" w:rsidRPr="0021354B">
          <w:rPr>
            <w:b/>
            <w:bCs/>
            <w:lang w:val="en"/>
          </w:rPr>
          <w:t xml:space="preserve">APPENDIX IV </w:t>
        </w:r>
        <w:r w:rsidR="00755D38" w:rsidRPr="00755D38">
          <w:rPr>
            <w:b/>
            <w:bCs/>
            <w:lang w:val="en"/>
          </w:rPr>
          <w:t>–</w:t>
        </w:r>
        <w:r w:rsidR="005D56C5" w:rsidRPr="0021354B">
          <w:rPr>
            <w:b/>
            <w:bCs/>
            <w:lang w:val="en"/>
          </w:rPr>
          <w:t xml:space="preserve"> CLASSIFICATION GRID FOR ADVERSE EVENTS FOR A</w:t>
        </w:r>
      </w:hyperlink>
    </w:p>
    <w:p w:rsidR="00CD39A7" w:rsidRPr="0021354B" w:rsidRDefault="001A5673" w:rsidP="00576525">
      <w:pPr>
        <w:tabs>
          <w:tab w:val="right" w:pos="9178"/>
        </w:tabs>
        <w:ind w:left="142"/>
        <w:rPr>
          <w:b/>
          <w:sz w:val="24"/>
        </w:rPr>
      </w:pPr>
      <w:hyperlink w:anchor="_bookmark169" w:history="1">
        <w:r w:rsidR="005D56C5" w:rsidRPr="0021354B">
          <w:rPr>
            <w:b/>
            <w:bCs/>
            <w:lang w:val="en"/>
          </w:rPr>
          <w:t>BIOMEDICAL STUDY ON A MEDICATION</w:t>
        </w:r>
        <w:r w:rsidR="005D56C5" w:rsidRPr="0021354B">
          <w:rPr>
            <w:b/>
            <w:bCs/>
            <w:lang w:val="en"/>
          </w:rPr>
          <w:tab/>
          <w:t>7</w:t>
        </w:r>
        <w:r w:rsidR="005F344B">
          <w:rPr>
            <w:b/>
            <w:bCs/>
            <w:lang w:val="en"/>
          </w:rPr>
          <w:t>0</w:t>
        </w:r>
      </w:hyperlink>
    </w:p>
    <w:p w:rsidR="00CD39A7" w:rsidRPr="0021354B" w:rsidRDefault="001A5673" w:rsidP="00576525">
      <w:pPr>
        <w:tabs>
          <w:tab w:val="right" w:pos="9178"/>
        </w:tabs>
        <w:ind w:left="142"/>
        <w:rPr>
          <w:b/>
          <w:sz w:val="24"/>
        </w:rPr>
      </w:pPr>
      <w:hyperlink w:anchor="_bookmark170" w:history="1">
        <w:r w:rsidR="005D56C5" w:rsidRPr="0021354B">
          <w:rPr>
            <w:b/>
            <w:bCs/>
            <w:lang w:val="en"/>
          </w:rPr>
          <w:t xml:space="preserve">APPENDIX VI – ECRF SCIENTIFIC COMMITMENT FORM </w:t>
        </w:r>
        <w:r w:rsidR="005D56C5" w:rsidRPr="0021354B">
          <w:rPr>
            <w:b/>
            <w:bCs/>
            <w:lang w:val="en"/>
          </w:rPr>
          <w:tab/>
          <w:t>7</w:t>
        </w:r>
        <w:r w:rsidR="005F344B">
          <w:rPr>
            <w:b/>
            <w:bCs/>
            <w:lang w:val="en"/>
          </w:rPr>
          <w:t>2</w:t>
        </w:r>
      </w:hyperlink>
    </w:p>
    <w:p w:rsidR="00CD39A7" w:rsidRPr="0021354B" w:rsidRDefault="00CD39A7" w:rsidP="00576525">
      <w:pPr>
        <w:ind w:left="142"/>
        <w:rPr>
          <w:sz w:val="24"/>
        </w:rPr>
        <w:sectPr w:rsidR="00CD39A7" w:rsidRPr="0021354B">
          <w:pgSz w:w="11910" w:h="16840"/>
          <w:pgMar w:top="1320" w:right="1300" w:bottom="1200" w:left="1300" w:header="0" w:footer="952" w:gutter="0"/>
          <w:cols w:space="720"/>
        </w:sectPr>
      </w:pPr>
    </w:p>
    <w:p w:rsidR="00CD39A7" w:rsidRDefault="005B3809">
      <w:pPr>
        <w:ind w:left="623"/>
        <w:rPr>
          <w:sz w:val="20"/>
        </w:rPr>
      </w:pPr>
      <w:r>
        <w:rPr>
          <w:sz w:val="20"/>
          <w:lang w:val="en"/>
        </w:rPr>
        <w:lastRenderedPageBreak/>
        <w:t xml:space="preserve"> </w:t>
      </w:r>
      <w:r w:rsidR="001A5673">
        <w:rPr>
          <w:sz w:val="20"/>
          <w:lang w:val="en"/>
        </w:rPr>
      </w:r>
      <w:r w:rsidR="001A5673">
        <w:rPr>
          <w:sz w:val="20"/>
          <w:lang w:val="en"/>
        </w:rPr>
        <w:pict>
          <v:shape id="_x0000_s1183" type="#_x0000_t202" style="width:422.4pt;height:43.95pt;mso-left-percent:-10001;mso-top-percent:-10001;mso-position-horizontal:absolute;mso-position-horizontal-relative:char;mso-position-vertical:absolute;mso-position-vertical-relative:line;mso-left-percent:-10001;mso-top-percent:-10001" filled="f" strokeweight=".48pt">
            <v:textbox inset="0,0,0,0">
              <w:txbxContent>
                <w:p w:rsidR="003239C1" w:rsidRPr="00323EB6" w:rsidRDefault="003239C1" w:rsidP="00323EB6">
                  <w:pPr>
                    <w:spacing w:before="18"/>
                    <w:ind w:left="180" w:right="181"/>
                    <w:jc w:val="center"/>
                    <w:rPr>
                      <w:b/>
                      <w:bCs/>
                      <w:sz w:val="12"/>
                      <w:szCs w:val="12"/>
                      <w:lang w:val="en"/>
                    </w:rPr>
                  </w:pPr>
                </w:p>
                <w:p w:rsidR="003239C1" w:rsidRDefault="003239C1" w:rsidP="00323EB6">
                  <w:pPr>
                    <w:spacing w:before="18"/>
                    <w:ind w:left="180" w:right="181"/>
                    <w:jc w:val="center"/>
                    <w:rPr>
                      <w:b/>
                      <w:sz w:val="24"/>
                    </w:rPr>
                  </w:pPr>
                  <w:r>
                    <w:rPr>
                      <w:b/>
                      <w:bCs/>
                      <w:sz w:val="24"/>
                      <w:lang w:val="en"/>
                    </w:rPr>
                    <w:t>SIGNATURE Page of the Biomedical Research PROTOCOL</w:t>
                  </w:r>
                  <w:r>
                    <w:rPr>
                      <w:b/>
                      <w:sz w:val="24"/>
                    </w:rPr>
                    <w:t xml:space="preserve"> </w:t>
                  </w:r>
                  <w:r>
                    <w:rPr>
                      <w:b/>
                      <w:bCs/>
                      <w:sz w:val="24"/>
                      <w:lang w:val="en"/>
                    </w:rPr>
                    <w:t>for the COORDINATING INVESTIGATOR and the SPONSOR's Representative</w:t>
                  </w:r>
                </w:p>
              </w:txbxContent>
            </v:textbox>
            <w10:wrap type="none"/>
            <w10:anchorlock/>
          </v:shape>
        </w:pict>
      </w:r>
    </w:p>
    <w:p w:rsidR="00CD39A7" w:rsidRDefault="00CD39A7" w:rsidP="00323EB6">
      <w:pPr>
        <w:pStyle w:val="BodyText"/>
        <w:spacing w:before="1"/>
        <w:rPr>
          <w:b/>
          <w:sz w:val="32"/>
        </w:rPr>
      </w:pPr>
    </w:p>
    <w:p w:rsidR="00CD39A7" w:rsidRDefault="005B3809" w:rsidP="00323EB6">
      <w:pPr>
        <w:pStyle w:val="BodyText"/>
        <w:ind w:left="315"/>
        <w:jc w:val="both"/>
        <w:rPr>
          <w:b/>
        </w:rPr>
      </w:pPr>
      <w:r>
        <w:rPr>
          <w:lang w:val="en"/>
        </w:rPr>
        <w:t xml:space="preserve">Biomedical Research Code no. </w:t>
      </w:r>
      <w:r>
        <w:rPr>
          <w:b/>
          <w:bCs/>
          <w:lang w:val="en"/>
        </w:rPr>
        <w:t>P 070703</w:t>
      </w:r>
    </w:p>
    <w:p w:rsidR="00CD39A7" w:rsidRDefault="00CD39A7" w:rsidP="00323EB6">
      <w:pPr>
        <w:pStyle w:val="BodyText"/>
        <w:rPr>
          <w:b/>
          <w:sz w:val="22"/>
        </w:rPr>
      </w:pPr>
    </w:p>
    <w:p w:rsidR="00CD39A7" w:rsidRDefault="005B3809" w:rsidP="00323EB6">
      <w:pPr>
        <w:pStyle w:val="BodyText"/>
        <w:ind w:left="315" w:right="1036"/>
        <w:jc w:val="both"/>
      </w:pPr>
      <w:r>
        <w:rPr>
          <w:lang w:val="en"/>
        </w:rPr>
        <w:t>Title: "MAINRITSAN" A study comparing the efficacy of rituximab and azathioprine as maintenance therapy for ANCA-associated vasculitis: a prospective, multi-center, controlled, randomized study.</w:t>
      </w:r>
    </w:p>
    <w:p w:rsidR="00CD39A7" w:rsidRDefault="00CD39A7" w:rsidP="00323EB6">
      <w:pPr>
        <w:pStyle w:val="BodyText"/>
        <w:rPr>
          <w:sz w:val="26"/>
        </w:rPr>
      </w:pPr>
    </w:p>
    <w:p w:rsidR="00CD39A7" w:rsidRDefault="005B3809" w:rsidP="00323EB6">
      <w:pPr>
        <w:pStyle w:val="BodyText"/>
        <w:spacing w:before="182"/>
        <w:ind w:left="315"/>
        <w:jc w:val="both"/>
      </w:pPr>
      <w:r>
        <w:rPr>
          <w:lang w:val="en"/>
        </w:rPr>
        <w:t>Version no. 7.0 dated 30/08/2012 including all changes from Amendment No. 10</w:t>
      </w:r>
    </w:p>
    <w:p w:rsidR="00CD39A7" w:rsidRDefault="00CD39A7" w:rsidP="00323EB6">
      <w:pPr>
        <w:pStyle w:val="BodyText"/>
        <w:rPr>
          <w:sz w:val="20"/>
        </w:rPr>
      </w:pPr>
    </w:p>
    <w:p w:rsidR="00CD39A7" w:rsidRDefault="00CD39A7" w:rsidP="00323EB6">
      <w:pPr>
        <w:pStyle w:val="BodyText"/>
        <w:spacing w:before="7"/>
        <w:rPr>
          <w:sz w:val="28"/>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01"/>
      </w:tblGrid>
      <w:tr w:rsidR="00CD39A7">
        <w:trPr>
          <w:trHeight w:hRule="exact" w:val="273"/>
        </w:trPr>
        <w:tc>
          <w:tcPr>
            <w:tcW w:w="10201" w:type="dxa"/>
          </w:tcPr>
          <w:p w:rsidR="00CD39A7" w:rsidRDefault="005B3809" w:rsidP="00323EB6">
            <w:pPr>
              <w:pStyle w:val="TableParagraph"/>
              <w:spacing w:line="240" w:lineRule="auto"/>
              <w:ind w:left="200"/>
              <w:rPr>
                <w:sz w:val="24"/>
              </w:rPr>
            </w:pPr>
            <w:r>
              <w:rPr>
                <w:sz w:val="24"/>
                <w:u w:val="single"/>
                <w:lang w:val="en"/>
              </w:rPr>
              <w:t>Coordinating Investigator:</w:t>
            </w:r>
          </w:p>
        </w:tc>
      </w:tr>
      <w:tr w:rsidR="00CD39A7" w:rsidRPr="001A5673" w:rsidTr="00323EB6">
        <w:trPr>
          <w:trHeight w:hRule="exact" w:val="3431"/>
        </w:trPr>
        <w:tc>
          <w:tcPr>
            <w:tcW w:w="10201" w:type="dxa"/>
          </w:tcPr>
          <w:p w:rsidR="00CD39A7" w:rsidRPr="004961CE" w:rsidRDefault="005B3809" w:rsidP="00323EB6">
            <w:pPr>
              <w:pStyle w:val="TableParagraph"/>
              <w:spacing w:line="240" w:lineRule="auto"/>
              <w:ind w:left="200"/>
              <w:rPr>
                <w:b/>
                <w:i/>
                <w:sz w:val="24"/>
                <w:lang w:val="fr-CA"/>
              </w:rPr>
            </w:pPr>
            <w:r w:rsidRPr="004961CE">
              <w:rPr>
                <w:b/>
                <w:bCs/>
                <w:i/>
                <w:iCs/>
                <w:sz w:val="24"/>
                <w:lang w:val="fr-CA"/>
              </w:rPr>
              <w:t>Prof. Loïc Guillevin</w:t>
            </w:r>
          </w:p>
          <w:p w:rsidR="00CD39A7" w:rsidRPr="004961CE" w:rsidRDefault="00CD39A7" w:rsidP="00323EB6">
            <w:pPr>
              <w:pStyle w:val="TableParagraph"/>
              <w:spacing w:before="6" w:line="240" w:lineRule="auto"/>
              <w:rPr>
                <w:sz w:val="23"/>
                <w:lang w:val="fr-CA"/>
              </w:rPr>
            </w:pPr>
          </w:p>
          <w:p w:rsidR="00CD39A7" w:rsidRPr="004961CE" w:rsidRDefault="005B3809" w:rsidP="00323EB6">
            <w:pPr>
              <w:pStyle w:val="TableParagraph"/>
              <w:spacing w:line="240" w:lineRule="auto"/>
              <w:ind w:left="200"/>
              <w:rPr>
                <w:sz w:val="24"/>
                <w:lang w:val="fr-CA"/>
              </w:rPr>
            </w:pPr>
            <w:r w:rsidRPr="004961CE">
              <w:rPr>
                <w:sz w:val="24"/>
                <w:lang w:val="fr-CA"/>
              </w:rPr>
              <w:t>Pôle de Médecine Interne [Department of Internal Medicine]</w:t>
            </w:r>
          </w:p>
          <w:p w:rsidR="00CD39A7" w:rsidRPr="004961CE" w:rsidRDefault="005B3809" w:rsidP="00323EB6">
            <w:pPr>
              <w:pStyle w:val="TableParagraph"/>
              <w:spacing w:line="240" w:lineRule="auto"/>
              <w:ind w:left="200" w:right="5515"/>
              <w:rPr>
                <w:sz w:val="24"/>
                <w:lang w:val="fr-CA"/>
              </w:rPr>
            </w:pPr>
            <w:r w:rsidRPr="004961CE">
              <w:rPr>
                <w:sz w:val="24"/>
                <w:lang w:val="fr-CA"/>
              </w:rPr>
              <w:t>Reference center "Maladies systémiques et autoimmunes rares, en particulier Vascularites nécrosantes et Sclérodermies systémiques" [Rare autoimmune and systemic diseases,</w:t>
            </w:r>
          </w:p>
          <w:p w:rsidR="00CD39A7" w:rsidRDefault="005B3809" w:rsidP="00323EB6">
            <w:pPr>
              <w:pStyle w:val="TableParagraph"/>
              <w:spacing w:line="240" w:lineRule="auto"/>
              <w:ind w:left="200" w:right="6049"/>
              <w:rPr>
                <w:sz w:val="24"/>
              </w:rPr>
            </w:pPr>
            <w:r>
              <w:rPr>
                <w:sz w:val="24"/>
                <w:lang w:val="en"/>
              </w:rPr>
              <w:t>particularly necrotizing vasculitis and systemic scleroderma]</w:t>
            </w:r>
          </w:p>
          <w:p w:rsidR="00CD39A7" w:rsidRPr="004961CE" w:rsidRDefault="005B3809" w:rsidP="00323EB6">
            <w:pPr>
              <w:pStyle w:val="TableParagraph"/>
              <w:spacing w:line="240" w:lineRule="auto"/>
              <w:ind w:left="200" w:right="5474"/>
              <w:rPr>
                <w:sz w:val="24"/>
                <w:lang w:val="fr-CA"/>
              </w:rPr>
            </w:pPr>
            <w:r w:rsidRPr="004961CE">
              <w:rPr>
                <w:sz w:val="24"/>
                <w:lang w:val="fr-CA"/>
              </w:rPr>
              <w:t>Hôpital Cochin, Assistance Publique-Hôpitaux de Paris [Public hospital of Paris]</w:t>
            </w:r>
          </w:p>
          <w:p w:rsidR="00CD39A7" w:rsidRPr="004961CE" w:rsidRDefault="005B3809" w:rsidP="00323EB6">
            <w:pPr>
              <w:pStyle w:val="TableParagraph"/>
              <w:spacing w:line="240" w:lineRule="auto"/>
              <w:ind w:left="200"/>
              <w:rPr>
                <w:sz w:val="24"/>
                <w:lang w:val="fr-CA"/>
              </w:rPr>
            </w:pPr>
            <w:r w:rsidRPr="004961CE">
              <w:rPr>
                <w:sz w:val="24"/>
                <w:lang w:val="fr-CA"/>
              </w:rPr>
              <w:t>27, rue du Faubourg Saint-Jacques, Paris, France</w:t>
            </w:r>
          </w:p>
        </w:tc>
      </w:tr>
      <w:tr w:rsidR="00CD39A7">
        <w:trPr>
          <w:trHeight w:hRule="exact" w:val="832"/>
        </w:trPr>
        <w:tc>
          <w:tcPr>
            <w:tcW w:w="10201" w:type="dxa"/>
          </w:tcPr>
          <w:p w:rsidR="00CD39A7" w:rsidRDefault="005B3809" w:rsidP="00323EB6">
            <w:pPr>
              <w:pStyle w:val="TableParagraph"/>
              <w:spacing w:before="136" w:line="240" w:lineRule="auto"/>
              <w:ind w:left="200"/>
              <w:rPr>
                <w:rFonts w:ascii="Arial" w:hAnsi="Arial"/>
                <w:b/>
                <w:sz w:val="24"/>
              </w:rPr>
            </w:pPr>
            <w:r>
              <w:rPr>
                <w:rFonts w:ascii="Arial" w:hAnsi="Arial"/>
                <w:b/>
                <w:bCs/>
                <w:sz w:val="24"/>
                <w:lang w:val="en"/>
              </w:rPr>
              <w:t>The Coordinating Investigator authorizes the use of his/her identity and contact information in the biomedical research directory.</w:t>
            </w:r>
          </w:p>
        </w:tc>
      </w:tr>
      <w:tr w:rsidR="00CD39A7">
        <w:trPr>
          <w:trHeight w:hRule="exact" w:val="1240"/>
        </w:trPr>
        <w:tc>
          <w:tcPr>
            <w:tcW w:w="10201" w:type="dxa"/>
          </w:tcPr>
          <w:p w:rsidR="00834E12" w:rsidRDefault="005B3809" w:rsidP="00323EB6">
            <w:pPr>
              <w:pStyle w:val="TableParagraph"/>
              <w:spacing w:before="133" w:line="240" w:lineRule="auto"/>
              <w:ind w:left="200" w:right="6407"/>
              <w:rPr>
                <w:b/>
                <w:bCs/>
                <w:sz w:val="24"/>
                <w:lang w:val="en"/>
              </w:rPr>
            </w:pPr>
            <w:r>
              <w:rPr>
                <w:b/>
                <w:bCs/>
                <w:sz w:val="24"/>
                <w:lang w:val="en"/>
              </w:rPr>
              <w:t xml:space="preserve">Date:……………/………/……….. </w:t>
            </w:r>
          </w:p>
          <w:p w:rsidR="00CD39A7" w:rsidRDefault="005B3809" w:rsidP="00323EB6">
            <w:pPr>
              <w:pStyle w:val="TableParagraph"/>
              <w:spacing w:before="133" w:line="240" w:lineRule="auto"/>
              <w:ind w:left="200" w:right="6407"/>
              <w:rPr>
                <w:b/>
                <w:sz w:val="24"/>
              </w:rPr>
            </w:pPr>
            <w:r>
              <w:rPr>
                <w:b/>
                <w:bCs/>
                <w:sz w:val="24"/>
                <w:lang w:val="en"/>
              </w:rPr>
              <w:t>Signature:</w:t>
            </w:r>
          </w:p>
        </w:tc>
      </w:tr>
      <w:tr w:rsidR="00CD39A7">
        <w:trPr>
          <w:trHeight w:hRule="exact" w:val="718"/>
        </w:trPr>
        <w:tc>
          <w:tcPr>
            <w:tcW w:w="10201" w:type="dxa"/>
          </w:tcPr>
          <w:p w:rsidR="00CD39A7" w:rsidRDefault="00CD39A7" w:rsidP="00323EB6">
            <w:pPr>
              <w:pStyle w:val="TableParagraph"/>
              <w:spacing w:before="4" w:line="240" w:lineRule="auto"/>
              <w:rPr>
                <w:sz w:val="23"/>
              </w:rPr>
            </w:pPr>
          </w:p>
          <w:p w:rsidR="00CD39A7" w:rsidRDefault="005B3809" w:rsidP="00323EB6">
            <w:pPr>
              <w:pStyle w:val="TableParagraph"/>
              <w:spacing w:line="240" w:lineRule="auto"/>
              <w:ind w:left="200"/>
              <w:rPr>
                <w:sz w:val="24"/>
              </w:rPr>
            </w:pPr>
            <w:r>
              <w:rPr>
                <w:sz w:val="24"/>
                <w:u w:val="single"/>
                <w:lang w:val="en"/>
              </w:rPr>
              <w:t>Sponsor:</w:t>
            </w:r>
          </w:p>
        </w:tc>
      </w:tr>
      <w:tr w:rsidR="00CD39A7" w:rsidRPr="001A5673" w:rsidTr="00140386">
        <w:trPr>
          <w:trHeight w:hRule="exact" w:val="1451"/>
        </w:trPr>
        <w:tc>
          <w:tcPr>
            <w:tcW w:w="10201" w:type="dxa"/>
          </w:tcPr>
          <w:p w:rsidR="00CD39A7" w:rsidRPr="004961CE" w:rsidRDefault="005B3809" w:rsidP="00323EB6">
            <w:pPr>
              <w:pStyle w:val="TableParagraph"/>
              <w:spacing w:before="163" w:line="240" w:lineRule="auto"/>
              <w:ind w:left="200"/>
              <w:rPr>
                <w:sz w:val="24"/>
                <w:lang w:val="fr-CA"/>
              </w:rPr>
            </w:pPr>
            <w:r w:rsidRPr="004961CE">
              <w:rPr>
                <w:sz w:val="24"/>
                <w:lang w:val="fr-CA"/>
              </w:rPr>
              <w:t>Assistance Publique – Hôpitaux de Paris [Public hospital of Paris]</w:t>
            </w:r>
          </w:p>
          <w:p w:rsidR="00CD39A7" w:rsidRPr="004961CE" w:rsidRDefault="005B3809" w:rsidP="006603BB">
            <w:pPr>
              <w:pStyle w:val="TableParagraph"/>
              <w:spacing w:before="60" w:line="240" w:lineRule="auto"/>
              <w:ind w:left="200" w:right="2665"/>
              <w:rPr>
                <w:sz w:val="24"/>
                <w:lang w:val="fr-CA"/>
              </w:rPr>
            </w:pPr>
            <w:r w:rsidRPr="004961CE">
              <w:rPr>
                <w:sz w:val="24"/>
                <w:lang w:val="fr-CA"/>
              </w:rPr>
              <w:t xml:space="preserve">Délégation Interrégionale à la Recherche Clinique </w:t>
            </w:r>
            <w:r w:rsidR="006603BB">
              <w:rPr>
                <w:sz w:val="24"/>
                <w:lang w:val="fr-CA"/>
              </w:rPr>
              <w:br/>
            </w:r>
            <w:r w:rsidRPr="004961CE">
              <w:rPr>
                <w:sz w:val="24"/>
                <w:lang w:val="fr-CA"/>
              </w:rPr>
              <w:t xml:space="preserve">[Inter-regional clinical research delegation (DIRRC)] Hôpital Saint Louis </w:t>
            </w:r>
            <w:r w:rsidR="00140386">
              <w:rPr>
                <w:sz w:val="24"/>
                <w:lang w:val="fr-CA"/>
              </w:rPr>
              <w:br/>
            </w:r>
            <w:r w:rsidRPr="004961CE">
              <w:rPr>
                <w:sz w:val="24"/>
                <w:lang w:val="fr-CA"/>
              </w:rPr>
              <w:t>75010 PARIS</w:t>
            </w:r>
          </w:p>
        </w:tc>
      </w:tr>
      <w:tr w:rsidR="00CD39A7" w:rsidTr="00190C1A">
        <w:trPr>
          <w:trHeight w:hRule="exact" w:val="624"/>
        </w:trPr>
        <w:tc>
          <w:tcPr>
            <w:tcW w:w="10201" w:type="dxa"/>
          </w:tcPr>
          <w:p w:rsidR="00CD39A7" w:rsidRDefault="005B3809" w:rsidP="00190C1A">
            <w:pPr>
              <w:pStyle w:val="TableParagraph"/>
              <w:spacing w:before="25" w:line="240" w:lineRule="auto"/>
              <w:ind w:left="200" w:right="6447"/>
              <w:rPr>
                <w:sz w:val="24"/>
              </w:rPr>
            </w:pPr>
            <w:r>
              <w:rPr>
                <w:sz w:val="24"/>
                <w:lang w:val="en"/>
              </w:rPr>
              <w:t>Date:……………/………/……….. Signature:</w:t>
            </w:r>
          </w:p>
        </w:tc>
      </w:tr>
    </w:tbl>
    <w:p w:rsidR="00CD39A7" w:rsidRDefault="00CD39A7">
      <w:pPr>
        <w:spacing w:line="292" w:lineRule="auto"/>
        <w:rPr>
          <w:sz w:val="24"/>
        </w:rPr>
        <w:sectPr w:rsidR="00CD39A7">
          <w:pgSz w:w="11910" w:h="16840"/>
          <w:pgMar w:top="1400" w:right="380" w:bottom="1200" w:left="1100" w:header="0" w:footer="952" w:gutter="0"/>
          <w:cols w:space="720"/>
        </w:sectPr>
      </w:pPr>
    </w:p>
    <w:p w:rsidR="00CD39A7" w:rsidRDefault="005B3809">
      <w:pPr>
        <w:spacing w:before="70"/>
        <w:ind w:left="976"/>
        <w:rPr>
          <w:sz w:val="28"/>
        </w:rPr>
      </w:pPr>
      <w:bookmarkStart w:id="6" w:name="_bookmark86"/>
      <w:bookmarkStart w:id="7" w:name="RESUME"/>
      <w:bookmarkEnd w:id="6"/>
      <w:bookmarkEnd w:id="7"/>
      <w:r>
        <w:rPr>
          <w:sz w:val="28"/>
          <w:u w:val="single"/>
          <w:lang w:val="en"/>
        </w:rPr>
        <w:lastRenderedPageBreak/>
        <w:t>SUMMARY</w:t>
      </w:r>
    </w:p>
    <w:p w:rsidR="00CD39A7" w:rsidRDefault="00CD39A7">
      <w:pPr>
        <w:pStyle w:val="BodyText"/>
        <w:spacing w:before="8"/>
        <w:rPr>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5"/>
        <w:gridCol w:w="7735"/>
      </w:tblGrid>
      <w:tr w:rsidR="00CD39A7" w:rsidTr="0097155F">
        <w:trPr>
          <w:trHeight w:hRule="exact" w:val="1020"/>
        </w:trPr>
        <w:tc>
          <w:tcPr>
            <w:tcW w:w="3065" w:type="dxa"/>
          </w:tcPr>
          <w:p w:rsidR="00CD39A7" w:rsidRPr="00323EB6" w:rsidRDefault="005B3809">
            <w:pPr>
              <w:pStyle w:val="TableParagraph"/>
              <w:spacing w:line="273" w:lineRule="exact"/>
              <w:ind w:left="122"/>
              <w:rPr>
                <w:b/>
              </w:rPr>
            </w:pPr>
            <w:bookmarkStart w:id="8" w:name="Titre_de_l’étude_et_code"/>
            <w:bookmarkEnd w:id="8"/>
            <w:r w:rsidRPr="00323EB6">
              <w:rPr>
                <w:b/>
                <w:bCs/>
                <w:lang w:val="en"/>
              </w:rPr>
              <w:t>Study title and code</w:t>
            </w:r>
          </w:p>
        </w:tc>
        <w:tc>
          <w:tcPr>
            <w:tcW w:w="7735" w:type="dxa"/>
          </w:tcPr>
          <w:p w:rsidR="00CD39A7" w:rsidRPr="00323EB6" w:rsidRDefault="005B3809">
            <w:pPr>
              <w:pStyle w:val="TableParagraph"/>
              <w:spacing w:line="240" w:lineRule="auto"/>
              <w:ind w:left="105" w:right="97"/>
              <w:jc w:val="both"/>
            </w:pPr>
            <w:r w:rsidRPr="00323EB6">
              <w:rPr>
                <w:b/>
                <w:bCs/>
                <w:lang w:val="en"/>
              </w:rPr>
              <w:t>MAINRITSAN</w:t>
            </w:r>
            <w:r w:rsidRPr="00323EB6">
              <w:rPr>
                <w:lang w:val="en"/>
              </w:rPr>
              <w:t>: A study comparing the efficacy of rituximab and azathioprine as maintenance therapy for ANCA-associated vasculitis: a prospective, multi-center, controlled, randomized study.</w:t>
            </w:r>
          </w:p>
          <w:p w:rsidR="00CD39A7" w:rsidRPr="00323EB6" w:rsidRDefault="005B3809">
            <w:pPr>
              <w:pStyle w:val="TableParagraph"/>
              <w:spacing w:before="8" w:line="240" w:lineRule="auto"/>
              <w:ind w:left="105"/>
              <w:jc w:val="both"/>
            </w:pPr>
            <w:r w:rsidRPr="00323EB6">
              <w:rPr>
                <w:lang w:val="en"/>
              </w:rPr>
              <w:t>Code P 070703</w:t>
            </w:r>
          </w:p>
        </w:tc>
      </w:tr>
      <w:tr w:rsidR="00CD39A7" w:rsidTr="0097155F">
        <w:trPr>
          <w:trHeight w:hRule="exact" w:val="2324"/>
        </w:trPr>
        <w:tc>
          <w:tcPr>
            <w:tcW w:w="3065" w:type="dxa"/>
          </w:tcPr>
          <w:p w:rsidR="00CD39A7" w:rsidRPr="00323EB6" w:rsidRDefault="005B3809">
            <w:pPr>
              <w:pStyle w:val="TableParagraph"/>
              <w:spacing w:line="273" w:lineRule="exact"/>
              <w:ind w:left="103"/>
              <w:rPr>
                <w:b/>
              </w:rPr>
            </w:pPr>
            <w:r w:rsidRPr="00323EB6">
              <w:rPr>
                <w:b/>
                <w:bCs/>
                <w:lang w:val="en"/>
              </w:rPr>
              <w:t>Coordinating Investigator</w:t>
            </w:r>
          </w:p>
        </w:tc>
        <w:tc>
          <w:tcPr>
            <w:tcW w:w="7735" w:type="dxa"/>
          </w:tcPr>
          <w:p w:rsidR="00CD39A7" w:rsidRPr="00323EB6" w:rsidRDefault="005B3809">
            <w:pPr>
              <w:pStyle w:val="TableParagraph"/>
              <w:spacing w:line="268" w:lineRule="exact"/>
              <w:ind w:left="105"/>
            </w:pPr>
            <w:r w:rsidRPr="00323EB6">
              <w:rPr>
                <w:lang w:val="en"/>
              </w:rPr>
              <w:t>Prof. Loïc Guillevin</w:t>
            </w:r>
          </w:p>
          <w:p w:rsidR="00CD39A7" w:rsidRPr="00323EB6" w:rsidRDefault="005B3809">
            <w:pPr>
              <w:pStyle w:val="TableParagraph"/>
              <w:spacing w:line="240" w:lineRule="auto"/>
              <w:ind w:left="105"/>
            </w:pPr>
            <w:r w:rsidRPr="00323EB6">
              <w:rPr>
                <w:lang w:val="en"/>
              </w:rPr>
              <w:t>Pôle de Médecine Interne [Department of Internal Medicine]</w:t>
            </w:r>
          </w:p>
          <w:p w:rsidR="00CD39A7" w:rsidRPr="00323EB6" w:rsidRDefault="005B3809">
            <w:pPr>
              <w:pStyle w:val="TableParagraph"/>
              <w:spacing w:line="240" w:lineRule="auto"/>
              <w:ind w:left="105"/>
            </w:pPr>
            <w:r w:rsidRPr="00323EB6">
              <w:rPr>
                <w:lang w:val="en"/>
              </w:rPr>
              <w:t>Reference center "Maladies systémiques et autoimmunes rares, en particulier Vascularites nécrosantes et Sclérodermies systémiques" [Rare autoimmune and systemic diseases, especially necrosis vasculitis and systemic scleroderma]</w:t>
            </w:r>
          </w:p>
          <w:p w:rsidR="00CD39A7" w:rsidRPr="00323EB6" w:rsidRDefault="005B3809" w:rsidP="00323EB6">
            <w:pPr>
              <w:pStyle w:val="TableParagraph"/>
              <w:spacing w:line="240" w:lineRule="auto"/>
              <w:ind w:left="105" w:right="129"/>
              <w:rPr>
                <w:lang w:val="fr-CA"/>
              </w:rPr>
            </w:pPr>
            <w:r w:rsidRPr="00323EB6">
              <w:rPr>
                <w:lang w:val="fr-CA"/>
              </w:rPr>
              <w:t>Cochin Hospital, Assistance Publique – Hôpitaux de Paris [Public hospital of Paris]</w:t>
            </w:r>
          </w:p>
          <w:p w:rsidR="00CD39A7" w:rsidRPr="00323EB6" w:rsidRDefault="005B3809">
            <w:pPr>
              <w:pStyle w:val="TableParagraph"/>
              <w:spacing w:line="240" w:lineRule="auto"/>
              <w:ind w:left="105"/>
              <w:rPr>
                <w:lang w:val="fr-CA"/>
              </w:rPr>
            </w:pPr>
            <w:r w:rsidRPr="00323EB6">
              <w:rPr>
                <w:lang w:val="fr-CA"/>
              </w:rPr>
              <w:t>27, rue du Faubourg Saint-Jacques, Paris, France</w:t>
            </w:r>
          </w:p>
          <w:p w:rsidR="00CD39A7" w:rsidRPr="00323EB6" w:rsidRDefault="005B3809">
            <w:pPr>
              <w:pStyle w:val="TableParagraph"/>
              <w:spacing w:before="2" w:line="252" w:lineRule="exact"/>
              <w:ind w:left="105"/>
            </w:pPr>
            <w:r w:rsidRPr="00323EB6">
              <w:rPr>
                <w:lang w:val="en"/>
              </w:rPr>
              <w:t>Tel: 33 1 58 41 13 21 / Fax: 33 1 58 41 14 60</w:t>
            </w:r>
          </w:p>
          <w:p w:rsidR="00CD39A7" w:rsidRPr="00323EB6" w:rsidRDefault="005B3809">
            <w:pPr>
              <w:pStyle w:val="TableParagraph"/>
              <w:spacing w:line="275" w:lineRule="exact"/>
              <w:ind w:left="105"/>
            </w:pPr>
            <w:r w:rsidRPr="00323EB6">
              <w:rPr>
                <w:lang w:val="en"/>
              </w:rPr>
              <w:t xml:space="preserve">Email: </w:t>
            </w:r>
            <w:hyperlink r:id="rId13">
              <w:r w:rsidRPr="00323EB6">
                <w:rPr>
                  <w:lang w:val="en"/>
                </w:rPr>
                <w:t>loic.guillevin@cch.aphp.fr</w:t>
              </w:r>
            </w:hyperlink>
          </w:p>
        </w:tc>
      </w:tr>
      <w:tr w:rsidR="00CD39A7" w:rsidTr="004265C9">
        <w:trPr>
          <w:trHeight w:hRule="exact" w:val="2381"/>
        </w:trPr>
        <w:tc>
          <w:tcPr>
            <w:tcW w:w="3065" w:type="dxa"/>
          </w:tcPr>
          <w:p w:rsidR="00CD39A7" w:rsidRPr="00323EB6" w:rsidRDefault="005B3809">
            <w:pPr>
              <w:pStyle w:val="TableParagraph"/>
              <w:spacing w:line="275" w:lineRule="exact"/>
              <w:ind w:left="103"/>
              <w:rPr>
                <w:b/>
              </w:rPr>
            </w:pPr>
            <w:r w:rsidRPr="00323EB6">
              <w:rPr>
                <w:b/>
                <w:bCs/>
                <w:lang w:val="en"/>
              </w:rPr>
              <w:t>Scientific Director</w:t>
            </w:r>
          </w:p>
        </w:tc>
        <w:tc>
          <w:tcPr>
            <w:tcW w:w="7735" w:type="dxa"/>
          </w:tcPr>
          <w:p w:rsidR="00CD39A7" w:rsidRPr="00323EB6" w:rsidRDefault="005B3809" w:rsidP="00323EB6">
            <w:pPr>
              <w:pStyle w:val="TableParagraph"/>
              <w:spacing w:line="240" w:lineRule="auto"/>
              <w:ind w:left="105"/>
            </w:pPr>
            <w:r w:rsidRPr="00323EB6">
              <w:rPr>
                <w:lang w:val="en"/>
              </w:rPr>
              <w:t xml:space="preserve">Dr Christian Pagnoux </w:t>
            </w:r>
            <w:r w:rsidR="004265C9">
              <w:rPr>
                <w:lang w:val="en"/>
              </w:rPr>
              <w:br/>
            </w:r>
            <w:r w:rsidRPr="00323EB6">
              <w:rPr>
                <w:lang w:val="en"/>
              </w:rPr>
              <w:t>Pôle de Médecine Interne [Department of Internal Medicine]</w:t>
            </w:r>
          </w:p>
          <w:p w:rsidR="00CD39A7" w:rsidRPr="00323EB6" w:rsidRDefault="005B3809">
            <w:pPr>
              <w:pStyle w:val="TableParagraph"/>
              <w:spacing w:before="5" w:line="275" w:lineRule="exact"/>
              <w:ind w:left="105"/>
            </w:pPr>
            <w:r w:rsidRPr="00323EB6">
              <w:rPr>
                <w:lang w:val="en"/>
              </w:rPr>
              <w:t>Reference center "Maladies systémiques et autoimmunes rares, en particulier Vascularites nécrosantes et Sclérodermies systémiques" [Rare autoimmune and systemic diseases, especially necrosis vasculitis and systemic scleroderma]</w:t>
            </w:r>
          </w:p>
          <w:p w:rsidR="00CD39A7" w:rsidRPr="00323EB6" w:rsidRDefault="005B3809" w:rsidP="00323EB6">
            <w:pPr>
              <w:pStyle w:val="TableParagraph"/>
              <w:spacing w:line="240" w:lineRule="auto"/>
              <w:ind w:left="105"/>
              <w:rPr>
                <w:lang w:val="fr-CA"/>
              </w:rPr>
            </w:pPr>
            <w:r w:rsidRPr="00EB3C48">
              <w:rPr>
                <w:lang w:val="fr-CA"/>
              </w:rPr>
              <w:t>Cochin Hospital, Assistan</w:t>
            </w:r>
            <w:r w:rsidRPr="00323EB6">
              <w:rPr>
                <w:lang w:val="fr-CA"/>
              </w:rPr>
              <w:t>ce Publique – Hôpitaux de Paris [Public hospital of Paris]</w:t>
            </w:r>
          </w:p>
          <w:p w:rsidR="00CD39A7" w:rsidRPr="00323EB6" w:rsidRDefault="005B3809">
            <w:pPr>
              <w:pStyle w:val="TableParagraph"/>
              <w:spacing w:before="2" w:line="240" w:lineRule="auto"/>
              <w:ind w:left="105" w:right="2901"/>
              <w:rPr>
                <w:lang w:val="fr-CA"/>
              </w:rPr>
            </w:pPr>
            <w:r w:rsidRPr="00323EB6">
              <w:rPr>
                <w:lang w:val="fr-CA"/>
              </w:rPr>
              <w:t>27, rue du Faubourg Saint-Jacques, Paris, France Tel: 33 1 58 41 14 61 / Fax: 33 1 58 41 14 60</w:t>
            </w:r>
          </w:p>
          <w:p w:rsidR="00CD39A7" w:rsidRPr="00323EB6" w:rsidRDefault="005B3809">
            <w:pPr>
              <w:pStyle w:val="TableParagraph"/>
              <w:spacing w:line="240" w:lineRule="auto"/>
              <w:ind w:left="105"/>
            </w:pPr>
            <w:r w:rsidRPr="00323EB6">
              <w:rPr>
                <w:lang w:val="en"/>
              </w:rPr>
              <w:t xml:space="preserve">Email: </w:t>
            </w:r>
            <w:hyperlink r:id="rId14">
              <w:r w:rsidRPr="00323EB6">
                <w:rPr>
                  <w:lang w:val="en"/>
                </w:rPr>
                <w:t>christian.pagnoux@cch.aphp.fr</w:t>
              </w:r>
            </w:hyperlink>
          </w:p>
        </w:tc>
      </w:tr>
      <w:tr w:rsidR="00CD39A7">
        <w:trPr>
          <w:trHeight w:hRule="exact" w:val="1392"/>
        </w:trPr>
        <w:tc>
          <w:tcPr>
            <w:tcW w:w="3065" w:type="dxa"/>
          </w:tcPr>
          <w:p w:rsidR="00CD39A7" w:rsidRPr="00323EB6" w:rsidRDefault="005B3809">
            <w:pPr>
              <w:pStyle w:val="TableParagraph"/>
              <w:spacing w:line="275" w:lineRule="exact"/>
              <w:ind w:left="103"/>
              <w:rPr>
                <w:b/>
              </w:rPr>
            </w:pPr>
            <w:r w:rsidRPr="00323EB6">
              <w:rPr>
                <w:b/>
                <w:bCs/>
                <w:lang w:val="en"/>
              </w:rPr>
              <w:t>Primary objective</w:t>
            </w:r>
          </w:p>
        </w:tc>
        <w:tc>
          <w:tcPr>
            <w:tcW w:w="7735" w:type="dxa"/>
          </w:tcPr>
          <w:p w:rsidR="00CD39A7" w:rsidRPr="00323EB6" w:rsidRDefault="005B3809">
            <w:pPr>
              <w:pStyle w:val="TableParagraph"/>
              <w:spacing w:line="240" w:lineRule="auto"/>
              <w:ind w:left="105" w:right="98"/>
              <w:jc w:val="both"/>
            </w:pPr>
            <w:r w:rsidRPr="00323EB6">
              <w:rPr>
                <w:lang w:val="en"/>
              </w:rPr>
              <w:t>To evaluate the efficacy of Rituximab as a maintenance therapy for patients in remission from antineutrophil cytoplasmic autoantibodies (ANCA)-related systemic vasculitis after a first exacerbation or relapse. An evaluation is scheduled at the end of the 18-month maintenance therapy, and 10 months later (after discontinuation of the immunosuppressive therapy). This is the "endpoint" of the study.</w:t>
            </w:r>
          </w:p>
        </w:tc>
      </w:tr>
      <w:tr w:rsidR="00CD39A7" w:rsidTr="0087428E">
        <w:trPr>
          <w:trHeight w:hRule="exact" w:val="1162"/>
        </w:trPr>
        <w:tc>
          <w:tcPr>
            <w:tcW w:w="3065" w:type="dxa"/>
          </w:tcPr>
          <w:p w:rsidR="00CD39A7" w:rsidRPr="00323EB6" w:rsidRDefault="005B3809">
            <w:pPr>
              <w:pStyle w:val="TableParagraph"/>
              <w:spacing w:line="273" w:lineRule="exact"/>
              <w:ind w:left="103"/>
              <w:rPr>
                <w:b/>
              </w:rPr>
            </w:pPr>
            <w:r w:rsidRPr="00323EB6">
              <w:rPr>
                <w:b/>
                <w:bCs/>
                <w:lang w:val="en"/>
              </w:rPr>
              <w:t>Secondary Objectives</w:t>
            </w:r>
          </w:p>
        </w:tc>
        <w:tc>
          <w:tcPr>
            <w:tcW w:w="7735" w:type="dxa"/>
          </w:tcPr>
          <w:p w:rsidR="00CD39A7" w:rsidRPr="00323EB6" w:rsidRDefault="005B3809" w:rsidP="0087428E">
            <w:pPr>
              <w:pStyle w:val="TableParagraph"/>
              <w:spacing w:after="120" w:line="240" w:lineRule="auto"/>
              <w:ind w:left="108" w:right="97"/>
              <w:jc w:val="both"/>
            </w:pPr>
            <w:r w:rsidRPr="00323EB6">
              <w:rPr>
                <w:lang w:val="en"/>
              </w:rPr>
              <w:t>To compare the tolerance to Rituximab to that of Azathioprine (reference treatment)</w:t>
            </w:r>
          </w:p>
          <w:p w:rsidR="00CD39A7" w:rsidRPr="00323EB6" w:rsidRDefault="005B3809" w:rsidP="00323EB6">
            <w:pPr>
              <w:pStyle w:val="TableParagraph"/>
              <w:spacing w:line="240" w:lineRule="auto"/>
              <w:ind w:left="108" w:right="99"/>
              <w:jc w:val="both"/>
            </w:pPr>
            <w:r w:rsidRPr="00323EB6">
              <w:rPr>
                <w:lang w:val="en"/>
              </w:rPr>
              <w:t>To determine the predictive value of the reappearance of ANCA and/or the recurrence of an increase in circulating levels of B CD19+ lymphocytes (CD19+ only for patients included in the Rituximab arm) for relapses.</w:t>
            </w:r>
          </w:p>
        </w:tc>
      </w:tr>
      <w:tr w:rsidR="00CD39A7" w:rsidTr="00323EB6">
        <w:trPr>
          <w:trHeight w:hRule="exact" w:val="4821"/>
        </w:trPr>
        <w:tc>
          <w:tcPr>
            <w:tcW w:w="3065" w:type="dxa"/>
          </w:tcPr>
          <w:p w:rsidR="00CD39A7" w:rsidRPr="00323EB6" w:rsidRDefault="005B3809">
            <w:pPr>
              <w:pStyle w:val="TableParagraph"/>
              <w:spacing w:line="275" w:lineRule="exact"/>
              <w:ind w:left="103"/>
              <w:rPr>
                <w:b/>
              </w:rPr>
            </w:pPr>
            <w:r w:rsidRPr="00323EB6">
              <w:rPr>
                <w:b/>
                <w:bCs/>
                <w:lang w:val="en"/>
              </w:rPr>
              <w:t>Inclusion Criteria</w:t>
            </w:r>
          </w:p>
        </w:tc>
        <w:tc>
          <w:tcPr>
            <w:tcW w:w="7735" w:type="dxa"/>
          </w:tcPr>
          <w:p w:rsidR="00CD39A7" w:rsidRPr="00323EB6" w:rsidRDefault="005B3809">
            <w:pPr>
              <w:pStyle w:val="TableParagraph"/>
              <w:spacing w:line="240" w:lineRule="auto"/>
              <w:ind w:left="105" w:right="96"/>
              <w:jc w:val="both"/>
            </w:pPr>
            <w:r w:rsidRPr="00323EB6">
              <w:rPr>
                <w:lang w:val="en"/>
              </w:rPr>
              <w:t>1/ Age between 18 and 75 (age at the time of disease diagnosis).</w:t>
            </w:r>
            <w:r w:rsidRPr="00323EB6">
              <w:rPr>
                <w:b/>
                <w:bCs/>
                <w:lang w:val="en"/>
              </w:rPr>
              <w:t xml:space="preserve"> </w:t>
            </w:r>
            <w:r w:rsidR="00441452">
              <w:rPr>
                <w:b/>
                <w:bCs/>
                <w:lang w:val="en"/>
              </w:rPr>
              <w:br/>
            </w:r>
            <w:r w:rsidRPr="00323EB6">
              <w:rPr>
                <w:lang w:val="en"/>
              </w:rPr>
              <w:t>2/ ANCA-associated vasculitis: Wegener's granulomatosis (WG), microscopic polyangiitis (MPA) and limited renal forms (pauci-immune glomerulonephritis) with or without ANCA (at the time of diagnosis and remission). There are four types of ANCA-associated vasculitis: limited renal forms, Wegener's granulomatosis, microscopic polyangiitis, Churg-Strauss syndrome. Only the first three diseases on that list are considered in the study. However, certain types of vasculitis do not exhibit ANCA at the time of diagnosis. This absence will not be considered an exclusion criterion upon histological confirmation of the diagnosis.</w:t>
            </w:r>
          </w:p>
          <w:p w:rsidR="00CD39A7" w:rsidRPr="00323EB6" w:rsidRDefault="005B3809" w:rsidP="00B25E13">
            <w:pPr>
              <w:pStyle w:val="TableParagraph"/>
              <w:numPr>
                <w:ilvl w:val="0"/>
                <w:numId w:val="39"/>
              </w:numPr>
              <w:tabs>
                <w:tab w:val="left" w:pos="1546"/>
              </w:tabs>
              <w:spacing w:before="9" w:line="276" w:lineRule="exact"/>
              <w:ind w:right="101"/>
            </w:pPr>
            <w:r w:rsidRPr="00323EB6">
              <w:rPr>
                <w:lang w:val="en"/>
              </w:rPr>
              <w:t>The patients diagnosed with Wegener's granulomatosis who meet the criteria of ACR 1990 and/or Chapel Hill nomenclature, and present either:</w:t>
            </w:r>
          </w:p>
          <w:p w:rsidR="00CD39A7" w:rsidRPr="00323EB6" w:rsidRDefault="005B3809" w:rsidP="00B25E13">
            <w:pPr>
              <w:pStyle w:val="TableParagraph"/>
              <w:numPr>
                <w:ilvl w:val="1"/>
                <w:numId w:val="39"/>
              </w:numPr>
              <w:tabs>
                <w:tab w:val="left" w:pos="2265"/>
                <w:tab w:val="left" w:pos="2266"/>
              </w:tabs>
              <w:spacing w:line="240" w:lineRule="auto"/>
              <w:ind w:right="97"/>
            </w:pPr>
            <w:r w:rsidRPr="00323EB6">
              <w:rPr>
                <w:lang w:val="en"/>
              </w:rPr>
              <w:t>a) Renal, cardiac, central neurological and/or digestive disease</w:t>
            </w:r>
          </w:p>
          <w:p w:rsidR="00CD39A7" w:rsidRPr="00323EB6" w:rsidRDefault="005B3809" w:rsidP="00B25E13">
            <w:pPr>
              <w:pStyle w:val="TableParagraph"/>
              <w:numPr>
                <w:ilvl w:val="1"/>
                <w:numId w:val="39"/>
              </w:numPr>
              <w:tabs>
                <w:tab w:val="left" w:pos="2265"/>
                <w:tab w:val="left" w:pos="2266"/>
              </w:tabs>
              <w:spacing w:before="3" w:line="240" w:lineRule="auto"/>
              <w:ind w:right="97"/>
            </w:pPr>
            <w:r w:rsidRPr="00323EB6">
              <w:rPr>
                <w:lang w:val="en"/>
              </w:rPr>
              <w:t>b) Other general clinical manifestations (non-infectious fever &gt; 38°3C</w:t>
            </w:r>
            <w:r w:rsidR="00323EB6">
              <w:t xml:space="preserve"> </w:t>
            </w:r>
            <w:r w:rsidR="00323EB6">
              <w:rPr>
                <w:sz w:val="24"/>
                <w:lang w:val="en"/>
              </w:rPr>
              <w:t xml:space="preserve">lasting &gt; 1 week; change in general condition with a Karnofsky index &lt; 40; weight loss </w:t>
            </w:r>
            <w:r w:rsidR="00323EB6">
              <w:rPr>
                <w:sz w:val="24"/>
                <w:lang w:val="en"/>
              </w:rPr>
              <w:br/>
              <w:t>&gt; 5 kg in &lt; 3 months),</w:t>
            </w:r>
          </w:p>
        </w:tc>
      </w:tr>
    </w:tbl>
    <w:p w:rsidR="00CD39A7" w:rsidRDefault="00CD39A7">
      <w:pPr>
        <w:rPr>
          <w:sz w:val="24"/>
        </w:rPr>
        <w:sectPr w:rsidR="00CD39A7">
          <w:pgSz w:w="11910" w:h="16840"/>
          <w:pgMar w:top="1320" w:right="440" w:bottom="1200" w:left="440" w:header="0" w:footer="952"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5"/>
        <w:gridCol w:w="7735"/>
      </w:tblGrid>
      <w:tr w:rsidR="00CD39A7" w:rsidTr="00323EB6">
        <w:trPr>
          <w:trHeight w:hRule="exact" w:val="4842"/>
        </w:trPr>
        <w:tc>
          <w:tcPr>
            <w:tcW w:w="3065" w:type="dxa"/>
          </w:tcPr>
          <w:p w:rsidR="00CD39A7" w:rsidRPr="00323EB6" w:rsidRDefault="00CD39A7"/>
        </w:tc>
        <w:tc>
          <w:tcPr>
            <w:tcW w:w="7735" w:type="dxa"/>
          </w:tcPr>
          <w:p w:rsidR="00CD39A7" w:rsidRPr="00323EB6" w:rsidRDefault="005B3809" w:rsidP="00B25E13">
            <w:pPr>
              <w:pStyle w:val="TableParagraph"/>
              <w:numPr>
                <w:ilvl w:val="0"/>
                <w:numId w:val="38"/>
              </w:numPr>
              <w:tabs>
                <w:tab w:val="left" w:pos="2266"/>
              </w:tabs>
              <w:spacing w:before="8" w:line="240" w:lineRule="auto"/>
              <w:ind w:right="101"/>
              <w:jc w:val="both"/>
            </w:pPr>
            <w:r w:rsidRPr="00323EB6">
              <w:rPr>
                <w:lang w:val="en"/>
              </w:rPr>
              <w:t>c) A massive intra-alveolar hemorrhage (drop in hemoglobin level greater than 3 g/dl; hypoxemia with O2 sat &lt; 90%; respiratory distress syndrome),</w:t>
            </w:r>
          </w:p>
          <w:p w:rsidR="00CD39A7" w:rsidRPr="00323EB6" w:rsidRDefault="005B3809" w:rsidP="00B25E13">
            <w:pPr>
              <w:pStyle w:val="TableParagraph"/>
              <w:numPr>
                <w:ilvl w:val="0"/>
                <w:numId w:val="38"/>
              </w:numPr>
              <w:tabs>
                <w:tab w:val="left" w:pos="2266"/>
              </w:tabs>
              <w:spacing w:line="240" w:lineRule="auto"/>
              <w:ind w:right="101"/>
              <w:jc w:val="both"/>
            </w:pPr>
            <w:r w:rsidRPr="00323EB6">
              <w:rPr>
                <w:lang w:val="en"/>
              </w:rPr>
              <w:t>d) Another limited form characterized by pulmonary, ocular or otorhinolaryngological granulomatous manifestations,</w:t>
            </w:r>
          </w:p>
          <w:p w:rsidR="00CD39A7" w:rsidRPr="001B1E31" w:rsidRDefault="005B3809" w:rsidP="001B1E31">
            <w:pPr>
              <w:pStyle w:val="TableParagraph"/>
              <w:numPr>
                <w:ilvl w:val="0"/>
                <w:numId w:val="39"/>
              </w:numPr>
              <w:tabs>
                <w:tab w:val="left" w:pos="1546"/>
              </w:tabs>
              <w:spacing w:before="9" w:line="276" w:lineRule="exact"/>
              <w:ind w:right="101"/>
              <w:rPr>
                <w:lang w:val="en"/>
              </w:rPr>
            </w:pPr>
            <w:r w:rsidRPr="00323EB6">
              <w:rPr>
                <w:lang w:val="en"/>
              </w:rPr>
              <w:t>Microscopic polyangeitis meeting the criteria of the Chapel Hill nomenclature and exhibiting signs of a poor prognosis in accordance with the five factor score (renal failure with serum creatinine &gt;</w:t>
            </w:r>
            <w:r w:rsidR="001B1E31">
              <w:rPr>
                <w:lang w:val="en"/>
              </w:rPr>
              <w:t> </w:t>
            </w:r>
            <w:r w:rsidRPr="00323EB6">
              <w:rPr>
                <w:lang w:val="en"/>
              </w:rPr>
              <w:t>140 µmol/l; proteinuria with &gt;1 g in 24-h urine; specific central nervous system disorders, cardiac and/or digestive disease).</w:t>
            </w:r>
          </w:p>
          <w:p w:rsidR="00CD39A7" w:rsidRPr="00323EB6" w:rsidRDefault="005B3809">
            <w:pPr>
              <w:pStyle w:val="TableParagraph"/>
              <w:spacing w:line="240" w:lineRule="auto"/>
              <w:ind w:left="105" w:right="98"/>
              <w:jc w:val="both"/>
            </w:pPr>
            <w:r w:rsidRPr="00323EB6">
              <w:rPr>
                <w:lang w:val="en"/>
              </w:rPr>
              <w:t>3/ Patients in remission after the first induction therapy or a relapse, obtained with any treatment combining corticosteroids and at least one immunosuppressant, in accordance with the currently accepted good practice, with the exception of anti-CD20 and/or anti-TNFα.</w:t>
            </w:r>
          </w:p>
          <w:p w:rsidR="00CD39A7" w:rsidRPr="00323EB6" w:rsidRDefault="005B3809">
            <w:pPr>
              <w:pStyle w:val="TableParagraph"/>
              <w:spacing w:before="3" w:line="240" w:lineRule="auto"/>
              <w:ind w:left="105" w:right="96"/>
              <w:jc w:val="both"/>
            </w:pPr>
            <w:r w:rsidRPr="00323EB6">
              <w:rPr>
                <w:lang w:val="en"/>
              </w:rPr>
              <w:t>4/ Patients who read and signed the informed consent form for their participation in the study.</w:t>
            </w:r>
          </w:p>
          <w:p w:rsidR="00CD39A7" w:rsidRPr="00323EB6" w:rsidRDefault="005B3809">
            <w:pPr>
              <w:pStyle w:val="TableParagraph"/>
              <w:spacing w:before="4" w:line="240" w:lineRule="auto"/>
              <w:ind w:left="105" w:right="98"/>
              <w:jc w:val="both"/>
              <w:rPr>
                <w:b/>
              </w:rPr>
            </w:pPr>
            <w:r w:rsidRPr="00323EB6">
              <w:rPr>
                <w:b/>
                <w:bCs/>
                <w:lang w:val="en"/>
              </w:rPr>
              <w:t>5/ The period between the end of the immunosuppressive therapy and randomization into the study must not exceed one month.</w:t>
            </w:r>
          </w:p>
        </w:tc>
      </w:tr>
      <w:tr w:rsidR="00CD39A7" w:rsidTr="00515437">
        <w:trPr>
          <w:trHeight w:hRule="exact" w:val="8922"/>
        </w:trPr>
        <w:tc>
          <w:tcPr>
            <w:tcW w:w="3065" w:type="dxa"/>
          </w:tcPr>
          <w:p w:rsidR="00CD39A7" w:rsidRPr="00323EB6" w:rsidRDefault="005B3809">
            <w:pPr>
              <w:pStyle w:val="TableParagraph"/>
              <w:spacing w:line="273" w:lineRule="exact"/>
              <w:ind w:left="103"/>
              <w:rPr>
                <w:b/>
              </w:rPr>
            </w:pPr>
            <w:r w:rsidRPr="00323EB6">
              <w:rPr>
                <w:b/>
                <w:bCs/>
                <w:lang w:val="en"/>
              </w:rPr>
              <w:t>Exclusion criteria</w:t>
            </w:r>
          </w:p>
        </w:tc>
        <w:tc>
          <w:tcPr>
            <w:tcW w:w="7735" w:type="dxa"/>
          </w:tcPr>
          <w:p w:rsidR="00CD39A7" w:rsidRPr="00323EB6" w:rsidRDefault="005B3809" w:rsidP="008A03B0">
            <w:pPr>
              <w:pStyle w:val="TableParagraph"/>
              <w:spacing w:line="240" w:lineRule="auto"/>
              <w:ind w:left="105" w:right="2247"/>
            </w:pPr>
            <w:r w:rsidRPr="00323EB6">
              <w:rPr>
                <w:lang w:val="en"/>
              </w:rPr>
              <w:t xml:space="preserve">1/ Churg-Strauss syndrome. </w:t>
            </w:r>
            <w:r w:rsidR="008A03B0">
              <w:rPr>
                <w:lang w:val="en"/>
              </w:rPr>
              <w:br/>
            </w:r>
            <w:r w:rsidRPr="00323EB6">
              <w:rPr>
                <w:lang w:val="en"/>
              </w:rPr>
              <w:t>2/ Other types of systemic vasculitis.</w:t>
            </w:r>
          </w:p>
          <w:p w:rsidR="00CD39A7" w:rsidRPr="00323EB6" w:rsidRDefault="005B3809">
            <w:pPr>
              <w:pStyle w:val="TableParagraph"/>
              <w:spacing w:before="8" w:line="275" w:lineRule="exact"/>
              <w:ind w:left="105"/>
              <w:jc w:val="both"/>
            </w:pPr>
            <w:r w:rsidRPr="00323EB6">
              <w:rPr>
                <w:lang w:val="en"/>
              </w:rPr>
              <w:t>3/ Secondary vasculitis (in particular paraneoplastic or infectious forms).</w:t>
            </w:r>
          </w:p>
          <w:p w:rsidR="00CD39A7" w:rsidRPr="00323EB6" w:rsidRDefault="005B3809">
            <w:pPr>
              <w:pStyle w:val="TableParagraph"/>
              <w:spacing w:line="240" w:lineRule="auto"/>
              <w:ind w:left="105" w:right="99"/>
              <w:jc w:val="both"/>
            </w:pPr>
            <w:r w:rsidRPr="00323EB6">
              <w:rPr>
                <w:lang w:val="en"/>
              </w:rPr>
              <w:t>4/ Patients in whom remission was not induced by the corticosteroid and immunosuppressant therapy (disease still active).</w:t>
            </w:r>
          </w:p>
          <w:p w:rsidR="00CD39A7" w:rsidRPr="00323EB6" w:rsidRDefault="005B3809">
            <w:pPr>
              <w:pStyle w:val="TableParagraph"/>
              <w:spacing w:before="1" w:line="240" w:lineRule="auto"/>
              <w:ind w:left="105" w:right="96"/>
              <w:jc w:val="both"/>
            </w:pPr>
            <w:r w:rsidRPr="00323EB6">
              <w:rPr>
                <w:lang w:val="en"/>
              </w:rPr>
              <w:t>5/ Patients previously treated with monoclonal antibodies such as anti-CD20 or anti-TNFα.</w:t>
            </w:r>
          </w:p>
          <w:p w:rsidR="00CD39A7" w:rsidRPr="00323EB6" w:rsidRDefault="005B3809">
            <w:pPr>
              <w:pStyle w:val="TableParagraph"/>
              <w:spacing w:line="240" w:lineRule="auto"/>
              <w:ind w:left="105" w:right="98"/>
              <w:jc w:val="both"/>
            </w:pPr>
            <w:r w:rsidRPr="00323EB6">
              <w:rPr>
                <w:lang w:val="en"/>
              </w:rPr>
              <w:t>6/ History of severe allergic or anaphylactic reactions to humanized or murine monoclonal antibodies</w:t>
            </w:r>
            <w:r w:rsidR="004A66F0">
              <w:rPr>
                <w:lang w:val="en"/>
              </w:rPr>
              <w:t>.</w:t>
            </w:r>
          </w:p>
          <w:p w:rsidR="00CD39A7" w:rsidRPr="00323EB6" w:rsidRDefault="005B3809">
            <w:pPr>
              <w:pStyle w:val="TableParagraph"/>
              <w:spacing w:line="240" w:lineRule="auto"/>
              <w:ind w:left="105" w:right="97"/>
              <w:jc w:val="both"/>
            </w:pPr>
            <w:r w:rsidRPr="00323EB6">
              <w:rPr>
                <w:lang w:val="en"/>
              </w:rPr>
              <w:t>7/ Inability or refusal to read or sign the informed consent form for their participation in the study.</w:t>
            </w:r>
          </w:p>
          <w:p w:rsidR="00CD39A7" w:rsidRPr="00323EB6" w:rsidRDefault="005B3809">
            <w:pPr>
              <w:pStyle w:val="TableParagraph"/>
              <w:spacing w:line="240" w:lineRule="auto"/>
              <w:ind w:left="105" w:right="100"/>
              <w:jc w:val="both"/>
            </w:pPr>
            <w:r w:rsidRPr="00323EB6">
              <w:rPr>
                <w:lang w:val="en"/>
              </w:rPr>
              <w:t>8/ Inability or refusal to follow the treatment or undergo follow-up examinations required for the study. Non-compliance.</w:t>
            </w:r>
          </w:p>
          <w:p w:rsidR="00CD39A7" w:rsidRPr="00323EB6" w:rsidRDefault="005B3809">
            <w:pPr>
              <w:pStyle w:val="TableParagraph"/>
              <w:spacing w:line="240" w:lineRule="auto"/>
              <w:ind w:left="105" w:right="98"/>
              <w:jc w:val="both"/>
            </w:pPr>
            <w:r w:rsidRPr="00323EB6">
              <w:rPr>
                <w:lang w:val="en"/>
              </w:rPr>
              <w:t>9/ Allergy, known hypersensitivity or contraindication to the medications used and investigated in the study (Cyclophosphamide, Corticosteroids, Azathioprine, Rituximab)</w:t>
            </w:r>
            <w:r w:rsidR="004A66F0">
              <w:rPr>
                <w:lang w:val="en"/>
              </w:rPr>
              <w:t>.</w:t>
            </w:r>
          </w:p>
          <w:p w:rsidR="00CD39A7" w:rsidRPr="00323EB6" w:rsidRDefault="005B3809">
            <w:pPr>
              <w:pStyle w:val="TableParagraph"/>
              <w:spacing w:line="240" w:lineRule="auto"/>
              <w:ind w:left="105" w:right="97"/>
              <w:jc w:val="both"/>
            </w:pPr>
            <w:r w:rsidRPr="00323EB6">
              <w:rPr>
                <w:lang w:val="en"/>
              </w:rPr>
              <w:t>10/ Patients receiving Allopurinol will not be included if the Allopurinol treatment cannot be discontinued (risk of enhanced Azathioprine toxicity).</w:t>
            </w:r>
          </w:p>
          <w:p w:rsidR="00CD39A7" w:rsidRPr="00323EB6" w:rsidRDefault="005B3809">
            <w:pPr>
              <w:pStyle w:val="TableParagraph"/>
              <w:spacing w:line="240" w:lineRule="auto"/>
              <w:ind w:left="105" w:right="98"/>
              <w:jc w:val="both"/>
            </w:pPr>
            <w:r w:rsidRPr="00323EB6">
              <w:rPr>
                <w:lang w:val="en"/>
              </w:rPr>
              <w:t>11/ Pregnancy, lactation. Women of childbearing age must use a reliable form of contraception during the entire immunosuppressive therapy.</w:t>
            </w:r>
          </w:p>
          <w:p w:rsidR="00CD39A7" w:rsidRPr="00323EB6" w:rsidRDefault="005B3809">
            <w:pPr>
              <w:pStyle w:val="TableParagraph"/>
              <w:spacing w:line="240" w:lineRule="auto"/>
              <w:ind w:left="105"/>
              <w:jc w:val="both"/>
            </w:pPr>
            <w:r w:rsidRPr="00323EB6">
              <w:rPr>
                <w:lang w:val="en"/>
              </w:rPr>
              <w:t>12/ Infection with HIV, HBV or HCV.</w:t>
            </w:r>
          </w:p>
          <w:p w:rsidR="00CD39A7" w:rsidRPr="00323EB6" w:rsidRDefault="005B3809">
            <w:pPr>
              <w:pStyle w:val="TableParagraph"/>
              <w:spacing w:line="240" w:lineRule="auto"/>
              <w:ind w:left="105" w:right="100"/>
              <w:jc w:val="both"/>
            </w:pPr>
            <w:r w:rsidRPr="00323EB6">
              <w:rPr>
                <w:lang w:val="en"/>
              </w:rPr>
              <w:t>13) Progressive, uncontrolled infection requiring long-term treatment (tuberculosis, etc.).</w:t>
            </w:r>
          </w:p>
          <w:p w:rsidR="00515437" w:rsidRPr="00323EB6" w:rsidRDefault="005B3809" w:rsidP="00515437">
            <w:pPr>
              <w:pStyle w:val="TableParagraph"/>
              <w:spacing w:line="240" w:lineRule="auto"/>
              <w:ind w:left="105" w:right="-20"/>
            </w:pPr>
            <w:r w:rsidRPr="00323EB6">
              <w:rPr>
                <w:lang w:val="en"/>
              </w:rPr>
              <w:t>14/ Other types of severe infection reported less than 3 months prior to randomization (CMV, HHV-8, etc.).</w:t>
            </w:r>
            <w:r w:rsidR="00515437" w:rsidRPr="00323EB6">
              <w:rPr>
                <w:lang w:val="en"/>
              </w:rPr>
              <w:t xml:space="preserve"> </w:t>
            </w:r>
            <w:r w:rsidR="00515437">
              <w:rPr>
                <w:lang w:val="en"/>
              </w:rPr>
              <w:br/>
            </w:r>
            <w:r w:rsidR="00515437" w:rsidRPr="00323EB6">
              <w:rPr>
                <w:lang w:val="en"/>
              </w:rPr>
              <w:t>15/ Bacterial, viral, fungal or mycobacterial infection (with the exception of fungal infection of the nail bed) or any other progressive infection or significant episode of infection requiring hospitalization or treatment with anti-infective medication either intravenously within the 4 weeks preceding trial selection or orally within the 2</w:t>
            </w:r>
            <w:r w:rsidR="00515437">
              <w:rPr>
                <w:lang w:val="en"/>
              </w:rPr>
              <w:t> </w:t>
            </w:r>
            <w:r w:rsidR="00515437" w:rsidRPr="00323EB6">
              <w:rPr>
                <w:lang w:val="en"/>
              </w:rPr>
              <w:t>weeks preceding trial selection.</w:t>
            </w:r>
          </w:p>
          <w:p w:rsidR="00CD39A7" w:rsidRPr="00323EB6" w:rsidRDefault="00515437" w:rsidP="00515437">
            <w:pPr>
              <w:pStyle w:val="TableParagraph"/>
              <w:spacing w:before="8" w:line="240" w:lineRule="auto"/>
              <w:ind w:left="105" w:right="189"/>
            </w:pPr>
            <w:r w:rsidRPr="00323EB6">
              <w:rPr>
                <w:lang w:val="en"/>
              </w:rPr>
              <w:t xml:space="preserve">16/ History of deep tissue infection (fasciitis, abscess, osteomyelitis, articular septic arthritis) in the year preceding inclusion in the trial. </w:t>
            </w:r>
            <w:r>
              <w:rPr>
                <w:lang w:val="en"/>
              </w:rPr>
              <w:br/>
            </w:r>
            <w:r w:rsidRPr="00323EB6">
              <w:rPr>
                <w:lang w:val="en"/>
              </w:rPr>
              <w:t>17/ History of severe chronic or recurrent infection, or any other underlying condition which predisposes the patient to severe infections</w:t>
            </w:r>
            <w:r>
              <w:rPr>
                <w:lang w:val="en"/>
              </w:rPr>
              <w:t>.</w:t>
            </w:r>
          </w:p>
        </w:tc>
      </w:tr>
    </w:tbl>
    <w:p w:rsidR="00CD39A7" w:rsidRDefault="00CD39A7">
      <w:pPr>
        <w:jc w:val="both"/>
        <w:rPr>
          <w:sz w:val="24"/>
        </w:rPr>
        <w:sectPr w:rsidR="00CD39A7">
          <w:pgSz w:w="11910" w:h="16840"/>
          <w:pgMar w:top="1400" w:right="440" w:bottom="1140" w:left="440" w:header="0" w:footer="952"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5"/>
        <w:gridCol w:w="7735"/>
      </w:tblGrid>
      <w:tr w:rsidR="00CD39A7" w:rsidTr="00515437">
        <w:trPr>
          <w:trHeight w:hRule="exact" w:val="5102"/>
        </w:trPr>
        <w:tc>
          <w:tcPr>
            <w:tcW w:w="3065" w:type="dxa"/>
          </w:tcPr>
          <w:p w:rsidR="00CD39A7" w:rsidRPr="00323EB6" w:rsidRDefault="00CD39A7"/>
        </w:tc>
        <w:tc>
          <w:tcPr>
            <w:tcW w:w="7735" w:type="dxa"/>
          </w:tcPr>
          <w:p w:rsidR="00CD39A7" w:rsidRPr="00323EB6" w:rsidRDefault="005B3809">
            <w:pPr>
              <w:pStyle w:val="TableParagraph"/>
              <w:spacing w:line="240" w:lineRule="auto"/>
              <w:ind w:left="105" w:right="99"/>
              <w:jc w:val="both"/>
            </w:pPr>
            <w:r w:rsidRPr="00323EB6">
              <w:rPr>
                <w:lang w:val="en"/>
              </w:rPr>
              <w:t>18/ Administration of a live vaccine in the 4 weeks preceding inclusion in the trial</w:t>
            </w:r>
            <w:r w:rsidR="00515437">
              <w:rPr>
                <w:lang w:val="en"/>
              </w:rPr>
              <w:t>.</w:t>
            </w:r>
          </w:p>
          <w:p w:rsidR="00CD39A7" w:rsidRPr="00323EB6" w:rsidRDefault="005B3809">
            <w:pPr>
              <w:pStyle w:val="TableParagraph"/>
              <w:spacing w:line="240" w:lineRule="auto"/>
              <w:ind w:left="105"/>
              <w:jc w:val="both"/>
            </w:pPr>
            <w:r w:rsidRPr="00323EB6">
              <w:rPr>
                <w:lang w:val="en"/>
              </w:rPr>
              <w:t>19/ Known severe chronic obstructive pulmonary disease (FEV1 &lt;50</w:t>
            </w:r>
            <w:r w:rsidR="00515437">
              <w:rPr>
                <w:lang w:val="en"/>
              </w:rPr>
              <w:t xml:space="preserve"> </w:t>
            </w:r>
            <w:r w:rsidRPr="00323EB6">
              <w:rPr>
                <w:lang w:val="en"/>
              </w:rPr>
              <w:t>% or functional dyspnea grade 3)</w:t>
            </w:r>
            <w:r w:rsidR="00515437">
              <w:rPr>
                <w:lang w:val="en"/>
              </w:rPr>
              <w:t>.</w:t>
            </w:r>
          </w:p>
          <w:p w:rsidR="00CD39A7" w:rsidRPr="00323EB6" w:rsidRDefault="005B3809" w:rsidP="00515437">
            <w:pPr>
              <w:pStyle w:val="TableParagraph"/>
              <w:spacing w:line="240" w:lineRule="auto"/>
              <w:ind w:left="105" w:right="-21"/>
            </w:pPr>
            <w:r w:rsidRPr="00323EB6">
              <w:rPr>
                <w:lang w:val="en"/>
              </w:rPr>
              <w:t>20/ NYHA stage III or IV heart failure 21/ Recent history of acute coronary syndrome</w:t>
            </w:r>
            <w:r w:rsidR="00515437">
              <w:rPr>
                <w:lang w:val="en"/>
              </w:rPr>
              <w:t>.</w:t>
            </w:r>
          </w:p>
          <w:p w:rsidR="00CD39A7" w:rsidRPr="00323EB6" w:rsidRDefault="005B3809">
            <w:pPr>
              <w:pStyle w:val="TableParagraph"/>
              <w:spacing w:line="240" w:lineRule="auto"/>
              <w:ind w:left="105" w:right="97"/>
              <w:jc w:val="both"/>
            </w:pPr>
            <w:r w:rsidRPr="00323EB6">
              <w:rPr>
                <w:lang w:val="en"/>
              </w:rPr>
              <w:t>22/ Progressive cancer or hematological malignancy diagnosed within the 5 years preceding the diagnosis of vasculitis. The patients with non-metastatic prostate cancer or basal cell carcinoma, or patients cured from cancer or a hematologic malignancy more than 5 years ago, and received no cancer treatment in the past 5</w:t>
            </w:r>
            <w:r w:rsidR="00515437">
              <w:rPr>
                <w:lang w:val="en"/>
              </w:rPr>
              <w:t> </w:t>
            </w:r>
            <w:r w:rsidRPr="00323EB6">
              <w:rPr>
                <w:lang w:val="en"/>
              </w:rPr>
              <w:t>years may be included.</w:t>
            </w:r>
          </w:p>
          <w:p w:rsidR="00CD39A7" w:rsidRPr="00323EB6" w:rsidRDefault="005B3809">
            <w:pPr>
              <w:pStyle w:val="TableParagraph"/>
              <w:spacing w:line="240" w:lineRule="auto"/>
              <w:ind w:left="105" w:right="99"/>
              <w:jc w:val="both"/>
            </w:pPr>
            <w:r w:rsidRPr="00323EB6">
              <w:rPr>
                <w:lang w:val="en"/>
              </w:rPr>
              <w:t>23/ Patients with systemic diseases which could render the effects of the study treatments (Azathioprine or Rituximab) unpredictable and inappropriate.</w:t>
            </w:r>
          </w:p>
          <w:p w:rsidR="00CD39A7" w:rsidRPr="00323EB6" w:rsidRDefault="005B3809">
            <w:pPr>
              <w:pStyle w:val="TableParagraph"/>
              <w:spacing w:line="240" w:lineRule="auto"/>
              <w:ind w:left="105"/>
              <w:jc w:val="both"/>
            </w:pPr>
            <w:r w:rsidRPr="00323EB6">
              <w:rPr>
                <w:lang w:val="en"/>
              </w:rPr>
              <w:t>24/ Severe immunosuppression</w:t>
            </w:r>
            <w:r w:rsidR="00515437">
              <w:rPr>
                <w:lang w:val="en"/>
              </w:rPr>
              <w:t>.</w:t>
            </w:r>
          </w:p>
          <w:p w:rsidR="00CD39A7" w:rsidRPr="00323EB6" w:rsidRDefault="005B3809">
            <w:pPr>
              <w:pStyle w:val="TableParagraph"/>
              <w:spacing w:line="240" w:lineRule="auto"/>
              <w:ind w:left="105" w:right="96"/>
              <w:jc w:val="both"/>
            </w:pPr>
            <w:r w:rsidRPr="00323EB6">
              <w:rPr>
                <w:lang w:val="en"/>
              </w:rPr>
              <w:t>25/ Participation in another clinical research study within the 4 weeks preceding inclusion.</w:t>
            </w:r>
          </w:p>
          <w:p w:rsidR="00CD39A7" w:rsidRPr="00323EB6" w:rsidRDefault="005B3809">
            <w:pPr>
              <w:pStyle w:val="TableParagraph"/>
              <w:spacing w:line="240" w:lineRule="auto"/>
              <w:ind w:left="105" w:right="96"/>
              <w:jc w:val="both"/>
            </w:pPr>
            <w:r w:rsidRPr="00323EB6">
              <w:rPr>
                <w:lang w:val="en"/>
              </w:rPr>
              <w:t>26/ Any medical or psychiatric condition which may prevent the administration of the treatments and patient follow-up in accordance with the protocol, and/or which would expose the patient to highly significant risks of adverse effects, based on the judgment of the study investigator.</w:t>
            </w:r>
          </w:p>
          <w:p w:rsidR="00CD39A7" w:rsidRPr="00323EB6" w:rsidRDefault="005B3809">
            <w:pPr>
              <w:pStyle w:val="TableParagraph"/>
              <w:spacing w:line="240" w:lineRule="auto"/>
              <w:ind w:left="105"/>
              <w:jc w:val="both"/>
            </w:pPr>
            <w:r w:rsidRPr="00323EB6">
              <w:rPr>
                <w:lang w:val="en"/>
              </w:rPr>
              <w:t>27/ Not a member of a social security scheme</w:t>
            </w:r>
          </w:p>
        </w:tc>
      </w:tr>
      <w:tr w:rsidR="00CD39A7">
        <w:trPr>
          <w:trHeight w:hRule="exact" w:val="286"/>
        </w:trPr>
        <w:tc>
          <w:tcPr>
            <w:tcW w:w="3065" w:type="dxa"/>
          </w:tcPr>
          <w:p w:rsidR="00CD39A7" w:rsidRPr="00323EB6" w:rsidRDefault="005B3809">
            <w:pPr>
              <w:pStyle w:val="TableParagraph"/>
              <w:spacing w:line="270" w:lineRule="exact"/>
              <w:ind w:left="103"/>
              <w:rPr>
                <w:b/>
              </w:rPr>
            </w:pPr>
            <w:r w:rsidRPr="00323EB6">
              <w:rPr>
                <w:b/>
                <w:bCs/>
                <w:lang w:val="en"/>
              </w:rPr>
              <w:t>Number of patients</w:t>
            </w:r>
          </w:p>
        </w:tc>
        <w:tc>
          <w:tcPr>
            <w:tcW w:w="7735" w:type="dxa"/>
          </w:tcPr>
          <w:p w:rsidR="00CD39A7" w:rsidRPr="00323EB6" w:rsidRDefault="005B3809">
            <w:pPr>
              <w:pStyle w:val="TableParagraph"/>
              <w:spacing w:line="266" w:lineRule="exact"/>
              <w:ind w:left="105"/>
            </w:pPr>
            <w:r w:rsidRPr="00323EB6">
              <w:rPr>
                <w:lang w:val="en"/>
              </w:rPr>
              <w:t>56 subjects in each group, for a total of 112 subjects.</w:t>
            </w:r>
          </w:p>
        </w:tc>
      </w:tr>
      <w:tr w:rsidR="00CD39A7">
        <w:trPr>
          <w:trHeight w:hRule="exact" w:val="288"/>
        </w:trPr>
        <w:tc>
          <w:tcPr>
            <w:tcW w:w="3065" w:type="dxa"/>
          </w:tcPr>
          <w:p w:rsidR="00CD39A7" w:rsidRPr="00323EB6" w:rsidRDefault="005B3809">
            <w:pPr>
              <w:pStyle w:val="TableParagraph"/>
              <w:spacing w:line="273" w:lineRule="exact"/>
              <w:ind w:left="103"/>
              <w:rPr>
                <w:b/>
              </w:rPr>
            </w:pPr>
            <w:r w:rsidRPr="00323EB6">
              <w:rPr>
                <w:b/>
                <w:bCs/>
                <w:lang w:val="en"/>
              </w:rPr>
              <w:t>Total duration of study</w:t>
            </w:r>
          </w:p>
        </w:tc>
        <w:tc>
          <w:tcPr>
            <w:tcW w:w="7735" w:type="dxa"/>
          </w:tcPr>
          <w:p w:rsidR="00CD39A7" w:rsidRPr="00323EB6" w:rsidRDefault="005B3809">
            <w:pPr>
              <w:pStyle w:val="TableParagraph"/>
              <w:spacing w:line="268" w:lineRule="exact"/>
              <w:ind w:left="105"/>
            </w:pPr>
            <w:r w:rsidRPr="00323EB6">
              <w:rPr>
                <w:lang w:val="en"/>
              </w:rPr>
              <w:t>52 months</w:t>
            </w:r>
          </w:p>
        </w:tc>
      </w:tr>
      <w:tr w:rsidR="00CD39A7">
        <w:trPr>
          <w:trHeight w:hRule="exact" w:val="562"/>
        </w:trPr>
        <w:tc>
          <w:tcPr>
            <w:tcW w:w="3065" w:type="dxa"/>
          </w:tcPr>
          <w:p w:rsidR="00CD39A7" w:rsidRPr="00323EB6" w:rsidRDefault="005B3809">
            <w:pPr>
              <w:pStyle w:val="TableParagraph"/>
              <w:spacing w:line="240" w:lineRule="auto"/>
              <w:ind w:left="103" w:right="312"/>
              <w:rPr>
                <w:b/>
              </w:rPr>
            </w:pPr>
            <w:r w:rsidRPr="00323EB6">
              <w:rPr>
                <w:b/>
                <w:bCs/>
                <w:lang w:val="en"/>
              </w:rPr>
              <w:t>Duration of participation for each patient</w:t>
            </w:r>
          </w:p>
        </w:tc>
        <w:tc>
          <w:tcPr>
            <w:tcW w:w="7735" w:type="dxa"/>
          </w:tcPr>
          <w:p w:rsidR="00CD39A7" w:rsidRPr="00323EB6" w:rsidRDefault="005B3809">
            <w:pPr>
              <w:pStyle w:val="TableParagraph"/>
              <w:spacing w:before="126" w:line="240" w:lineRule="auto"/>
              <w:ind w:left="105"/>
            </w:pPr>
            <w:r w:rsidRPr="00323EB6">
              <w:rPr>
                <w:lang w:val="en"/>
              </w:rPr>
              <w:t>28 months</w:t>
            </w:r>
          </w:p>
        </w:tc>
      </w:tr>
      <w:tr w:rsidR="00CD39A7">
        <w:trPr>
          <w:trHeight w:hRule="exact" w:val="562"/>
        </w:trPr>
        <w:tc>
          <w:tcPr>
            <w:tcW w:w="3065" w:type="dxa"/>
          </w:tcPr>
          <w:p w:rsidR="00CD39A7" w:rsidRPr="00323EB6" w:rsidRDefault="005B3809">
            <w:pPr>
              <w:pStyle w:val="TableParagraph"/>
              <w:spacing w:line="270" w:lineRule="exact"/>
              <w:ind w:left="103"/>
              <w:rPr>
                <w:b/>
              </w:rPr>
            </w:pPr>
            <w:r w:rsidRPr="00323EB6">
              <w:rPr>
                <w:b/>
                <w:bCs/>
                <w:lang w:val="en"/>
              </w:rPr>
              <w:t>Methodology</w:t>
            </w:r>
          </w:p>
        </w:tc>
        <w:tc>
          <w:tcPr>
            <w:tcW w:w="7735" w:type="dxa"/>
          </w:tcPr>
          <w:p w:rsidR="00CD39A7" w:rsidRPr="00323EB6" w:rsidRDefault="005B3809">
            <w:pPr>
              <w:pStyle w:val="TableParagraph"/>
              <w:spacing w:line="240" w:lineRule="auto"/>
              <w:ind w:left="105"/>
            </w:pPr>
            <w:r w:rsidRPr="00323EB6">
              <w:rPr>
                <w:lang w:val="en"/>
              </w:rPr>
              <w:t>Phase III, prospective, international, multi-center, comparative, controlled, randomized, open-label study, parallel-arm study</w:t>
            </w:r>
          </w:p>
        </w:tc>
      </w:tr>
      <w:tr w:rsidR="00CD39A7" w:rsidTr="002D605B">
        <w:trPr>
          <w:trHeight w:hRule="exact" w:val="7107"/>
        </w:trPr>
        <w:tc>
          <w:tcPr>
            <w:tcW w:w="3065" w:type="dxa"/>
          </w:tcPr>
          <w:p w:rsidR="00CD39A7" w:rsidRPr="00323EB6" w:rsidRDefault="005B3809">
            <w:pPr>
              <w:pStyle w:val="TableParagraph"/>
              <w:spacing w:line="270" w:lineRule="exact"/>
              <w:ind w:left="103"/>
              <w:rPr>
                <w:b/>
              </w:rPr>
            </w:pPr>
            <w:r w:rsidRPr="00323EB6">
              <w:rPr>
                <w:b/>
                <w:bCs/>
                <w:lang w:val="en"/>
              </w:rPr>
              <w:t>Study treatments</w:t>
            </w:r>
          </w:p>
        </w:tc>
        <w:tc>
          <w:tcPr>
            <w:tcW w:w="7735" w:type="dxa"/>
          </w:tcPr>
          <w:p w:rsidR="00CD39A7" w:rsidRPr="0004198F" w:rsidRDefault="005B3809">
            <w:pPr>
              <w:pStyle w:val="TableParagraph"/>
              <w:spacing w:line="273" w:lineRule="exact"/>
              <w:ind w:left="105"/>
              <w:jc w:val="both"/>
              <w:rPr>
                <w:b/>
              </w:rPr>
            </w:pPr>
            <w:r w:rsidRPr="0004198F">
              <w:rPr>
                <w:b/>
                <w:bCs/>
                <w:lang w:val="en"/>
              </w:rPr>
              <w:t>Maintenance therapy</w:t>
            </w:r>
          </w:p>
          <w:p w:rsidR="00CD39A7" w:rsidRPr="0004198F" w:rsidRDefault="005B3809">
            <w:pPr>
              <w:pStyle w:val="TableParagraph"/>
              <w:spacing w:before="45" w:line="240" w:lineRule="auto"/>
              <w:ind w:left="105" w:right="98"/>
              <w:jc w:val="both"/>
            </w:pPr>
            <w:r w:rsidRPr="0004198F">
              <w:rPr>
                <w:lang w:val="en"/>
              </w:rPr>
              <w:t>Once remission is reached, centralized randomization will be carried out for the Rituximab and Azathioprine treatments. The two groups will be stratified based on a recent or recurrent disease (</w:t>
            </w:r>
            <w:r w:rsidRPr="0004198F">
              <w:rPr>
                <w:i/>
                <w:iCs/>
                <w:lang w:val="en"/>
              </w:rPr>
              <w:t>a priori</w:t>
            </w:r>
            <w:r w:rsidRPr="0004198F">
              <w:rPr>
                <w:lang w:val="en"/>
              </w:rPr>
              <w:t>, 66% of new patients and 33% of relapsers).</w:t>
            </w:r>
          </w:p>
          <w:p w:rsidR="00CD39A7" w:rsidRPr="0004198F" w:rsidRDefault="00CD39A7">
            <w:pPr>
              <w:pStyle w:val="TableParagraph"/>
              <w:spacing w:before="10" w:line="240" w:lineRule="auto"/>
            </w:pPr>
          </w:p>
          <w:p w:rsidR="00CD39A7" w:rsidRPr="0004198F" w:rsidRDefault="005B3809" w:rsidP="002E7FCA">
            <w:pPr>
              <w:pStyle w:val="TableParagraph"/>
              <w:spacing w:before="1" w:line="240" w:lineRule="auto"/>
              <w:ind w:left="825" w:right="95" w:hanging="360"/>
              <w:jc w:val="both"/>
            </w:pPr>
            <w:r w:rsidRPr="0004198F">
              <w:rPr>
                <w:lang w:val="en"/>
              </w:rPr>
              <w:t xml:space="preserve">- </w:t>
            </w:r>
            <w:r w:rsidRPr="0004198F">
              <w:rPr>
                <w:b/>
                <w:bCs/>
                <w:lang w:val="en"/>
              </w:rPr>
              <w:t xml:space="preserve">Rituximab </w:t>
            </w:r>
            <w:r w:rsidRPr="0004198F">
              <w:rPr>
                <w:lang w:val="en"/>
              </w:rPr>
              <w:t>will be administered intravenously at a</w:t>
            </w:r>
            <w:r w:rsidRPr="0004198F">
              <w:rPr>
                <w:b/>
                <w:bCs/>
                <w:lang w:val="en"/>
              </w:rPr>
              <w:t xml:space="preserve"> fixed dose</w:t>
            </w:r>
            <w:r w:rsidRPr="0004198F">
              <w:rPr>
                <w:lang w:val="en"/>
              </w:rPr>
              <w:t xml:space="preserve"> of 500 mg during the first month following discontinuation of the immunosuppressive therapy that allowed the patient to go into remission (J0).</w:t>
            </w:r>
          </w:p>
          <w:p w:rsidR="00CD39A7" w:rsidRPr="002D605B" w:rsidRDefault="005B3809" w:rsidP="002E7FCA">
            <w:pPr>
              <w:pStyle w:val="TableParagraph"/>
              <w:numPr>
                <w:ilvl w:val="0"/>
                <w:numId w:val="39"/>
              </w:numPr>
              <w:tabs>
                <w:tab w:val="left" w:pos="1546"/>
              </w:tabs>
              <w:spacing w:before="9" w:line="276" w:lineRule="exact"/>
              <w:ind w:right="101"/>
              <w:jc w:val="both"/>
            </w:pPr>
            <w:r w:rsidRPr="0004198F">
              <w:rPr>
                <w:lang w:val="en"/>
              </w:rPr>
              <w:t>Before each infusion, the patients will receive premedication consisting of an analgesic/antipyretic drug (Paracetamol), a brief intravenous infusion of</w:t>
            </w:r>
            <w:r w:rsidR="00323EB6" w:rsidRPr="00472D89">
              <w:rPr>
                <w:lang w:val="en"/>
              </w:rPr>
              <w:t xml:space="preserve"> </w:t>
            </w:r>
            <w:r w:rsidR="00323EB6" w:rsidRPr="0004198F">
              <w:rPr>
                <w:lang w:val="en"/>
              </w:rPr>
              <w:t>100 mg Methylprednisolone and 1 ampoule of 5 mg Dexchlorpheniramine.</w:t>
            </w:r>
          </w:p>
          <w:p w:rsidR="002D605B" w:rsidRPr="009013A9" w:rsidRDefault="002D605B" w:rsidP="002E7FCA">
            <w:pPr>
              <w:pStyle w:val="TableParagraph"/>
              <w:numPr>
                <w:ilvl w:val="0"/>
                <w:numId w:val="39"/>
              </w:numPr>
              <w:tabs>
                <w:tab w:val="left" w:pos="1546"/>
              </w:tabs>
              <w:spacing w:before="9" w:line="276" w:lineRule="exact"/>
              <w:ind w:right="101"/>
              <w:jc w:val="both"/>
              <w:rPr>
                <w:lang w:val="en"/>
              </w:rPr>
            </w:pPr>
            <w:r w:rsidRPr="009013A9">
              <w:rPr>
                <w:lang w:val="en"/>
              </w:rPr>
              <w:t xml:space="preserve">Other injections of Rituximab will be administered at the D15, M6, M12 and M18 visits (5 infusions total), </w:t>
            </w:r>
            <w:r w:rsidRPr="009013A9">
              <w:rPr>
                <w:b/>
                <w:lang w:val="en"/>
              </w:rPr>
              <w:t>(the dates of each infusion are defined based on the first infusion, in other words the third infusion will take place 5 1/2 months after the second infusion)</w:t>
            </w:r>
            <w:r w:rsidRPr="009013A9">
              <w:rPr>
                <w:lang w:val="en"/>
              </w:rPr>
              <w:t>, regardless of the ANCA titer and the level of circulating CD19+ lymphocytes.</w:t>
            </w:r>
          </w:p>
          <w:p w:rsidR="002D605B" w:rsidRPr="002D605B" w:rsidRDefault="002D605B" w:rsidP="002E7FCA">
            <w:pPr>
              <w:pStyle w:val="TableParagraph"/>
              <w:numPr>
                <w:ilvl w:val="0"/>
                <w:numId w:val="39"/>
              </w:numPr>
              <w:tabs>
                <w:tab w:val="left" w:pos="1546"/>
              </w:tabs>
              <w:spacing w:before="9" w:line="276" w:lineRule="exact"/>
              <w:ind w:right="101"/>
              <w:jc w:val="both"/>
              <w:rPr>
                <w:lang w:val="en"/>
              </w:rPr>
            </w:pPr>
            <w:r w:rsidRPr="009013A9">
              <w:rPr>
                <w:lang w:val="en"/>
              </w:rPr>
              <w:t>Quantitative immunoglobulin testing and lymphocyte CD19 immunophenotyping will be carried out before each infusion, namely at visits D0, D15, M6, M12 and M18, as recommended, and at visits M24 and M28. The ANCA titer will be measured every 3</w:t>
            </w:r>
            <w:r w:rsidR="002E7FCA">
              <w:rPr>
                <w:lang w:val="en"/>
              </w:rPr>
              <w:t> </w:t>
            </w:r>
            <w:r w:rsidRPr="009013A9">
              <w:rPr>
                <w:lang w:val="en"/>
              </w:rPr>
              <w:t>months over a period of 2 years. These results will not be used to adjust the treatment, but they will be collected for data analysis and interpretation.</w:t>
            </w:r>
          </w:p>
        </w:tc>
      </w:tr>
    </w:tbl>
    <w:p w:rsidR="00CD39A7" w:rsidRDefault="00CD39A7">
      <w:pPr>
        <w:spacing w:line="276" w:lineRule="exact"/>
        <w:jc w:val="both"/>
        <w:rPr>
          <w:sz w:val="24"/>
        </w:rPr>
        <w:sectPr w:rsidR="00CD39A7">
          <w:pgSz w:w="11910" w:h="16840"/>
          <w:pgMar w:top="1400" w:right="440" w:bottom="1140" w:left="440" w:header="0" w:footer="952"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5"/>
        <w:gridCol w:w="7735"/>
      </w:tblGrid>
      <w:tr w:rsidR="00CD39A7" w:rsidTr="002D605B">
        <w:trPr>
          <w:trHeight w:hRule="exact" w:val="2551"/>
        </w:trPr>
        <w:tc>
          <w:tcPr>
            <w:tcW w:w="3065" w:type="dxa"/>
          </w:tcPr>
          <w:p w:rsidR="00CD39A7" w:rsidRDefault="00CD39A7"/>
        </w:tc>
        <w:tc>
          <w:tcPr>
            <w:tcW w:w="7735" w:type="dxa"/>
          </w:tcPr>
          <w:p w:rsidR="00CD39A7" w:rsidRDefault="005B3809">
            <w:pPr>
              <w:pStyle w:val="TableParagraph"/>
              <w:spacing w:line="240" w:lineRule="auto"/>
              <w:ind w:left="825" w:right="98" w:hanging="360"/>
              <w:jc w:val="both"/>
              <w:rPr>
                <w:sz w:val="24"/>
              </w:rPr>
            </w:pPr>
            <w:r>
              <w:rPr>
                <w:sz w:val="24"/>
                <w:lang w:val="en"/>
              </w:rPr>
              <w:t xml:space="preserve">- In the other arm, </w:t>
            </w:r>
            <w:r>
              <w:rPr>
                <w:b/>
                <w:bCs/>
                <w:sz w:val="24"/>
                <w:lang w:val="en"/>
              </w:rPr>
              <w:t xml:space="preserve">Azathioprine </w:t>
            </w:r>
            <w:r>
              <w:rPr>
                <w:sz w:val="24"/>
                <w:lang w:val="en"/>
              </w:rPr>
              <w:t>will be administered orally at a dose of 2 mg/kg/d during 12 months, then 1.5 mg/kg/d during 6 months, and finally 1 mg/kg/d over 4 months (treatment discontinuation after these 22 months). The daily dose, based on body weight, will be rounded to the nearest multiple dose of 25, without exceeding 200 mg/day. For example, a patient weighing 70 kg would take 150 mg/d of Azathioprine to receive a dose of 2 mg/kg/d. The maintenance therapy will be initiated within a month following the last cyclophosphamide administration.</w:t>
            </w:r>
          </w:p>
        </w:tc>
      </w:tr>
      <w:tr w:rsidR="00CD39A7" w:rsidTr="00E0701C">
        <w:trPr>
          <w:trHeight w:hRule="exact" w:val="11356"/>
        </w:trPr>
        <w:tc>
          <w:tcPr>
            <w:tcW w:w="3065" w:type="dxa"/>
          </w:tcPr>
          <w:p w:rsidR="00CD39A7" w:rsidRDefault="005B3809">
            <w:pPr>
              <w:pStyle w:val="TableParagraph"/>
              <w:spacing w:line="270" w:lineRule="exact"/>
              <w:ind w:left="103"/>
              <w:rPr>
                <w:b/>
                <w:sz w:val="24"/>
              </w:rPr>
            </w:pPr>
            <w:r>
              <w:rPr>
                <w:b/>
                <w:bCs/>
                <w:sz w:val="24"/>
                <w:lang w:val="en"/>
              </w:rPr>
              <w:t>Examinations</w:t>
            </w:r>
          </w:p>
        </w:tc>
        <w:tc>
          <w:tcPr>
            <w:tcW w:w="7735" w:type="dxa"/>
          </w:tcPr>
          <w:p w:rsidR="00CD39A7" w:rsidRDefault="005B3809">
            <w:pPr>
              <w:pStyle w:val="TableParagraph"/>
              <w:spacing w:line="240" w:lineRule="auto"/>
              <w:ind w:left="105" w:right="98"/>
              <w:jc w:val="both"/>
              <w:rPr>
                <w:sz w:val="24"/>
              </w:rPr>
            </w:pPr>
            <w:r>
              <w:rPr>
                <w:sz w:val="24"/>
                <w:lang w:val="en"/>
              </w:rPr>
              <w:t>The Inclusion visit at D1, one visit at D15 only for the patients treated with Rituximab, then visits every 3 months up to M24, and a the End of Study visit at M28.</w:t>
            </w:r>
          </w:p>
          <w:p w:rsidR="00CD39A7" w:rsidRDefault="00CD39A7">
            <w:pPr>
              <w:pStyle w:val="TableParagraph"/>
              <w:spacing w:before="10" w:line="240" w:lineRule="auto"/>
              <w:rPr>
                <w:sz w:val="24"/>
              </w:rPr>
            </w:pPr>
          </w:p>
          <w:p w:rsidR="00CD39A7" w:rsidRDefault="005B3809">
            <w:pPr>
              <w:pStyle w:val="TableParagraph"/>
              <w:spacing w:line="240" w:lineRule="auto"/>
              <w:ind w:left="105"/>
              <w:jc w:val="both"/>
              <w:rPr>
                <w:sz w:val="24"/>
              </w:rPr>
            </w:pPr>
            <w:r>
              <w:rPr>
                <w:sz w:val="24"/>
                <w:lang w:val="en"/>
              </w:rPr>
              <w:t>The initial test panel will be as follows:</w:t>
            </w:r>
          </w:p>
          <w:p w:rsidR="00CD39A7" w:rsidRDefault="005B3809">
            <w:pPr>
              <w:pStyle w:val="TableParagraph"/>
              <w:numPr>
                <w:ilvl w:val="0"/>
                <w:numId w:val="1"/>
              </w:numPr>
              <w:tabs>
                <w:tab w:val="left" w:pos="1546"/>
              </w:tabs>
              <w:spacing w:before="2" w:line="276" w:lineRule="exact"/>
              <w:ind w:right="99" w:hanging="357"/>
              <w:jc w:val="both"/>
              <w:rPr>
                <w:sz w:val="24"/>
              </w:rPr>
            </w:pPr>
            <w:r>
              <w:rPr>
                <w:sz w:val="24"/>
                <w:lang w:val="en"/>
              </w:rPr>
              <w:t>Standard laboratory tests: complete blood count, PT/APTT, blood electrolytes, renal function, lymphocyte immunophenotyping for CD3, CD4, CD8 and CD19, urine sediment testing, CRP, transaminases, alkaline phosphatases, GGT, protein electrophoresis, albumin and cryoglobulinemia.</w:t>
            </w:r>
          </w:p>
          <w:p w:rsidR="00CD39A7" w:rsidRDefault="005B3809">
            <w:pPr>
              <w:pStyle w:val="TableParagraph"/>
              <w:numPr>
                <w:ilvl w:val="0"/>
                <w:numId w:val="1"/>
              </w:numPr>
              <w:tabs>
                <w:tab w:val="left" w:pos="1546"/>
              </w:tabs>
              <w:spacing w:line="283" w:lineRule="exact"/>
              <w:ind w:hanging="357"/>
              <w:rPr>
                <w:sz w:val="24"/>
              </w:rPr>
            </w:pPr>
            <w:r>
              <w:rPr>
                <w:sz w:val="24"/>
                <w:lang w:val="en"/>
              </w:rPr>
              <w:t>ANCA by IF and ELISA</w:t>
            </w:r>
          </w:p>
          <w:p w:rsidR="00CD39A7" w:rsidRDefault="005B3809">
            <w:pPr>
              <w:pStyle w:val="TableParagraph"/>
              <w:numPr>
                <w:ilvl w:val="0"/>
                <w:numId w:val="1"/>
              </w:numPr>
              <w:tabs>
                <w:tab w:val="left" w:pos="1546"/>
              </w:tabs>
              <w:spacing w:line="230" w:lineRule="auto"/>
              <w:ind w:right="99" w:hanging="357"/>
              <w:jc w:val="both"/>
              <w:rPr>
                <w:sz w:val="24"/>
              </w:rPr>
            </w:pPr>
            <w:r>
              <w:rPr>
                <w:sz w:val="24"/>
                <w:lang w:val="en"/>
              </w:rPr>
              <w:t>Serum bank, Plasma bank, Cell bank and DNA bank (these samples will be shipped to the coordinating center where they will be stored).</w:t>
            </w:r>
          </w:p>
          <w:p w:rsidR="00CD39A7" w:rsidRDefault="00CD39A7">
            <w:pPr>
              <w:pStyle w:val="TableParagraph"/>
              <w:spacing w:before="2" w:line="240" w:lineRule="auto"/>
              <w:rPr>
                <w:sz w:val="24"/>
              </w:rPr>
            </w:pPr>
          </w:p>
          <w:p w:rsidR="00CD39A7" w:rsidRDefault="005B3809" w:rsidP="00323EB6">
            <w:pPr>
              <w:pStyle w:val="TableParagraph"/>
              <w:tabs>
                <w:tab w:val="left" w:pos="1305"/>
                <w:tab w:val="left" w:pos="2116"/>
                <w:tab w:val="left" w:pos="3026"/>
                <w:tab w:val="left" w:pos="4370"/>
                <w:tab w:val="left" w:pos="5181"/>
                <w:tab w:val="left" w:pos="6086"/>
                <w:tab w:val="left" w:pos="6950"/>
              </w:tabs>
              <w:spacing w:line="240" w:lineRule="auto"/>
              <w:ind w:left="105" w:right="97"/>
              <w:jc w:val="both"/>
              <w:rPr>
                <w:sz w:val="24"/>
              </w:rPr>
            </w:pPr>
            <w:r>
              <w:rPr>
                <w:sz w:val="24"/>
                <w:lang w:val="en"/>
              </w:rPr>
              <w:t>The patients will be monitored at each visit using the initial test panel</w:t>
            </w:r>
            <w:r w:rsidR="00323EB6">
              <w:rPr>
                <w:sz w:val="24"/>
                <w:lang w:val="en"/>
              </w:rPr>
              <w:t xml:space="preserve"> </w:t>
            </w:r>
            <w:r>
              <w:rPr>
                <w:sz w:val="24"/>
                <w:lang w:val="en"/>
              </w:rPr>
              <w:t>until</w:t>
            </w:r>
            <w:r w:rsidR="00323EB6">
              <w:rPr>
                <w:sz w:val="24"/>
                <w:lang w:val="en"/>
              </w:rPr>
              <w:t xml:space="preserve"> </w:t>
            </w:r>
            <w:r>
              <w:rPr>
                <w:sz w:val="24"/>
                <w:lang w:val="en"/>
              </w:rPr>
              <w:t>the</w:t>
            </w:r>
            <w:r w:rsidR="00323EB6">
              <w:rPr>
                <w:sz w:val="24"/>
                <w:lang w:val="en"/>
              </w:rPr>
              <w:t xml:space="preserve"> </w:t>
            </w:r>
            <w:r>
              <w:rPr>
                <w:sz w:val="24"/>
                <w:lang w:val="en"/>
              </w:rPr>
              <w:t>end</w:t>
            </w:r>
            <w:r w:rsidR="00323EB6">
              <w:rPr>
                <w:sz w:val="24"/>
                <w:lang w:val="en"/>
              </w:rPr>
              <w:t xml:space="preserve"> </w:t>
            </w:r>
            <w:r>
              <w:rPr>
                <w:sz w:val="24"/>
                <w:lang w:val="en"/>
              </w:rPr>
              <w:t>of the study.</w:t>
            </w:r>
          </w:p>
          <w:p w:rsidR="00CD39A7" w:rsidRDefault="005B3809">
            <w:pPr>
              <w:pStyle w:val="TableParagraph"/>
              <w:spacing w:line="240" w:lineRule="auto"/>
              <w:ind w:left="105" w:right="97"/>
              <w:jc w:val="both"/>
              <w:rPr>
                <w:sz w:val="24"/>
              </w:rPr>
            </w:pPr>
            <w:r>
              <w:rPr>
                <w:sz w:val="24"/>
                <w:lang w:val="en"/>
              </w:rPr>
              <w:t>At the D15 visit, complete blood count and creatinine levels will be measured only for the patients receiving Rituximab.</w:t>
            </w:r>
          </w:p>
          <w:p w:rsidR="00CD39A7" w:rsidRDefault="005B3809">
            <w:pPr>
              <w:pStyle w:val="TableParagraph"/>
              <w:spacing w:line="240" w:lineRule="auto"/>
              <w:ind w:left="105" w:right="99"/>
              <w:jc w:val="both"/>
              <w:rPr>
                <w:sz w:val="24"/>
                <w:lang w:val="en"/>
              </w:rPr>
            </w:pPr>
            <w:r>
              <w:rPr>
                <w:sz w:val="24"/>
                <w:lang w:val="en"/>
              </w:rPr>
              <w:t>For the patients on Rituximab, quantitative immunoglobulin testing and lymphocyte CD19 immunophenotyping will be carried out before each infusion, namely at the D15, M6, M12 and M18 visits, as recommended, and at visits M24 and M28.</w:t>
            </w:r>
          </w:p>
          <w:p w:rsidR="00E0701C" w:rsidRDefault="00E0701C" w:rsidP="00E0701C">
            <w:pPr>
              <w:pStyle w:val="TableParagraph"/>
              <w:spacing w:line="240" w:lineRule="auto"/>
              <w:ind w:left="105" w:right="99"/>
              <w:jc w:val="both"/>
              <w:rPr>
                <w:sz w:val="24"/>
              </w:rPr>
            </w:pPr>
            <w:r>
              <w:rPr>
                <w:sz w:val="24"/>
                <w:lang w:val="en"/>
              </w:rPr>
              <w:t>For the patients on Azathioprine, protein electrophoresis will be carried out every 6 months (M6, M12, M18 and M24). If protein electrophoresis reveals hypogammaglobulinemia, quantitative immunoglobulin testing will be carried out.</w:t>
            </w:r>
          </w:p>
          <w:p w:rsidR="00E0701C" w:rsidRDefault="00E0701C" w:rsidP="00E0701C">
            <w:pPr>
              <w:pStyle w:val="TableParagraph"/>
              <w:spacing w:before="8" w:line="240" w:lineRule="auto"/>
              <w:ind w:left="105" w:right="97"/>
              <w:jc w:val="both"/>
              <w:rPr>
                <w:sz w:val="24"/>
              </w:rPr>
            </w:pPr>
            <w:r>
              <w:rPr>
                <w:sz w:val="24"/>
                <w:lang w:val="en"/>
              </w:rPr>
              <w:t>At each visit, in addition to the abovementioned tests, the BVAS and VDI scores will be determined by the investigator, and the patients will complete the SF36 and HAQ questionnaires.</w:t>
            </w:r>
          </w:p>
          <w:p w:rsidR="00E0701C" w:rsidRDefault="00E0701C" w:rsidP="00E0701C">
            <w:pPr>
              <w:pStyle w:val="TableParagraph"/>
              <w:spacing w:line="240" w:lineRule="auto"/>
              <w:ind w:left="105" w:right="98"/>
              <w:jc w:val="both"/>
              <w:rPr>
                <w:sz w:val="24"/>
              </w:rPr>
            </w:pPr>
            <w:r>
              <w:rPr>
                <w:sz w:val="24"/>
                <w:lang w:val="en"/>
              </w:rPr>
              <w:t>Antinuclear and anti-DNA antibody testing will be done yearly and/or whenever the patient develops clinical signs requiring these tests.</w:t>
            </w:r>
          </w:p>
          <w:p w:rsidR="00E0701C" w:rsidRDefault="00E0701C" w:rsidP="00E0701C">
            <w:pPr>
              <w:pStyle w:val="TableParagraph"/>
              <w:spacing w:line="240" w:lineRule="auto"/>
              <w:ind w:left="105" w:right="97"/>
              <w:jc w:val="both"/>
              <w:rPr>
                <w:sz w:val="24"/>
              </w:rPr>
            </w:pPr>
            <w:r>
              <w:rPr>
                <w:sz w:val="24"/>
                <w:lang w:val="en"/>
              </w:rPr>
              <w:t>Optional examination: a study may be conducted on the activity of thiopurine methyltransferase (TPMT) during the initial treatment period of the patients included in the Azathioprine arm. These results will not be used to adjust the dose of Azathioprine, but the patients whose TPMT activity is low are more at risk of side-effects. This is why closer monitoring, even treatment discontinuation (and withdrawal from the study) will be considered for patients exhibiting even small changes in laboratory values, notably for liver function tests (for example, an elevation of transaminases 1.5–2 times above normal) or the hematological tests (anemia &lt;11 g/dL, neutropenia &lt;1500/mm3, lymphopenia &lt;500/mm3, thrombocytopenia &lt;125000/mm3).</w:t>
            </w:r>
          </w:p>
          <w:p w:rsidR="00E0701C" w:rsidRDefault="00E0701C" w:rsidP="00E0701C">
            <w:pPr>
              <w:pStyle w:val="TableParagraph"/>
              <w:spacing w:line="240" w:lineRule="auto"/>
              <w:ind w:left="105" w:right="99"/>
              <w:jc w:val="both"/>
              <w:rPr>
                <w:sz w:val="24"/>
              </w:rPr>
            </w:pPr>
            <w:r>
              <w:rPr>
                <w:sz w:val="24"/>
                <w:lang w:val="en"/>
              </w:rPr>
              <w:t>The second phase of the study will end 10 months after the 18-month maintenance therapy (i.e. 28 months after inclusion).</w:t>
            </w:r>
          </w:p>
        </w:tc>
      </w:tr>
    </w:tbl>
    <w:p w:rsidR="00CD39A7" w:rsidRDefault="00CD39A7">
      <w:pPr>
        <w:jc w:val="both"/>
        <w:rPr>
          <w:sz w:val="24"/>
        </w:rPr>
        <w:sectPr w:rsidR="00CD39A7">
          <w:pgSz w:w="11910" w:h="16840"/>
          <w:pgMar w:top="1400" w:right="440" w:bottom="1140" w:left="440" w:header="0" w:footer="952"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5"/>
        <w:gridCol w:w="7735"/>
      </w:tblGrid>
      <w:tr w:rsidR="00CD39A7" w:rsidTr="00E0701C">
        <w:trPr>
          <w:trHeight w:hRule="exact" w:val="907"/>
        </w:trPr>
        <w:tc>
          <w:tcPr>
            <w:tcW w:w="3065" w:type="dxa"/>
          </w:tcPr>
          <w:p w:rsidR="00CD39A7" w:rsidRDefault="00CD39A7"/>
        </w:tc>
        <w:tc>
          <w:tcPr>
            <w:tcW w:w="7735" w:type="dxa"/>
          </w:tcPr>
          <w:p w:rsidR="00CD39A7" w:rsidRDefault="005B3809">
            <w:pPr>
              <w:pStyle w:val="TableParagraph"/>
              <w:spacing w:line="240" w:lineRule="auto"/>
              <w:ind w:left="105" w:right="97"/>
              <w:jc w:val="both"/>
              <w:rPr>
                <w:sz w:val="24"/>
              </w:rPr>
            </w:pPr>
            <w:r>
              <w:rPr>
                <w:sz w:val="24"/>
                <w:lang w:val="en"/>
              </w:rPr>
              <w:t>&lt;1500/mm3, lymphopenia</w:t>
            </w:r>
            <w:r w:rsidR="00E0701C">
              <w:rPr>
                <w:sz w:val="24"/>
                <w:lang w:val="en"/>
              </w:rPr>
              <w:t xml:space="preserve"> </w:t>
            </w:r>
            <w:r>
              <w:rPr>
                <w:sz w:val="24"/>
                <w:lang w:val="en"/>
              </w:rPr>
              <w:t>&lt;500/mm3, thrombocytopenia &lt;125000/mm3).</w:t>
            </w:r>
          </w:p>
          <w:p w:rsidR="00CD39A7" w:rsidRDefault="005B3809">
            <w:pPr>
              <w:pStyle w:val="TableParagraph"/>
              <w:spacing w:line="240" w:lineRule="auto"/>
              <w:ind w:left="139" w:right="98"/>
              <w:jc w:val="both"/>
              <w:rPr>
                <w:sz w:val="24"/>
              </w:rPr>
            </w:pPr>
            <w:r>
              <w:rPr>
                <w:sz w:val="24"/>
                <w:lang w:val="en"/>
              </w:rPr>
              <w:t>The second phase of the study will end 10 months after the 18-month maintenance therapy (i.e. 28 months after inclusion).</w:t>
            </w:r>
          </w:p>
        </w:tc>
      </w:tr>
      <w:tr w:rsidR="00CD39A7" w:rsidTr="00634836">
        <w:trPr>
          <w:trHeight w:hRule="exact" w:val="5135"/>
        </w:trPr>
        <w:tc>
          <w:tcPr>
            <w:tcW w:w="3065" w:type="dxa"/>
          </w:tcPr>
          <w:p w:rsidR="00CD39A7" w:rsidRDefault="005B3809">
            <w:pPr>
              <w:pStyle w:val="TableParagraph"/>
              <w:spacing w:line="240" w:lineRule="auto"/>
              <w:ind w:left="103" w:right="505"/>
              <w:rPr>
                <w:b/>
                <w:sz w:val="24"/>
              </w:rPr>
            </w:pPr>
            <w:r>
              <w:rPr>
                <w:b/>
                <w:bCs/>
                <w:sz w:val="24"/>
                <w:lang w:val="en"/>
              </w:rPr>
              <w:t>Primary and secondary endpoints</w:t>
            </w:r>
          </w:p>
        </w:tc>
        <w:tc>
          <w:tcPr>
            <w:tcW w:w="7735" w:type="dxa"/>
          </w:tcPr>
          <w:p w:rsidR="00CD39A7" w:rsidRDefault="005B3809">
            <w:pPr>
              <w:pStyle w:val="TableParagraph"/>
              <w:spacing w:line="268" w:lineRule="exact"/>
              <w:ind w:left="105"/>
              <w:jc w:val="both"/>
              <w:rPr>
                <w:sz w:val="24"/>
              </w:rPr>
            </w:pPr>
            <w:r>
              <w:rPr>
                <w:sz w:val="24"/>
                <w:u w:val="single"/>
                <w:lang w:val="en"/>
              </w:rPr>
              <w:t>Primary endpoint:</w:t>
            </w:r>
          </w:p>
          <w:p w:rsidR="00CD39A7" w:rsidRDefault="005B3809">
            <w:pPr>
              <w:pStyle w:val="TableParagraph"/>
              <w:spacing w:line="240" w:lineRule="auto"/>
              <w:ind w:left="105" w:right="96"/>
              <w:jc w:val="both"/>
              <w:rPr>
                <w:sz w:val="24"/>
              </w:rPr>
            </w:pPr>
            <w:r>
              <w:rPr>
                <w:sz w:val="24"/>
                <w:lang w:val="en"/>
              </w:rPr>
              <w:t xml:space="preserve">Number of major relapses (defined as the reappearance of clinical and/or biological signs of vasculitis activity which could lead to organ failure/destruction or be life-threatening) in each arm at the end of the </w:t>
            </w:r>
            <w:r w:rsidR="00EE187A">
              <w:rPr>
                <w:sz w:val="24"/>
                <w:lang w:val="en"/>
              </w:rPr>
              <w:br/>
            </w:r>
            <w:r>
              <w:rPr>
                <w:sz w:val="24"/>
                <w:lang w:val="en"/>
              </w:rPr>
              <w:t>28-month period (18-month maintenance therapy + 10 months of follow-up).</w:t>
            </w:r>
          </w:p>
          <w:p w:rsidR="00CD39A7" w:rsidRDefault="005B3809">
            <w:pPr>
              <w:pStyle w:val="TableParagraph"/>
              <w:spacing w:line="240" w:lineRule="auto"/>
              <w:ind w:left="105"/>
              <w:jc w:val="both"/>
              <w:rPr>
                <w:sz w:val="24"/>
              </w:rPr>
            </w:pPr>
            <w:r>
              <w:rPr>
                <w:sz w:val="24"/>
                <w:u w:val="single"/>
                <w:lang w:val="en"/>
              </w:rPr>
              <w:t>Secondary endpoint:</w:t>
            </w:r>
          </w:p>
          <w:p w:rsidR="00CD39A7" w:rsidRDefault="005B3809" w:rsidP="00B25E13">
            <w:pPr>
              <w:pStyle w:val="TableParagraph"/>
              <w:numPr>
                <w:ilvl w:val="0"/>
                <w:numId w:val="36"/>
              </w:numPr>
              <w:tabs>
                <w:tab w:val="left" w:pos="825"/>
                <w:tab w:val="left" w:pos="826"/>
              </w:tabs>
              <w:spacing w:line="240" w:lineRule="auto"/>
              <w:rPr>
                <w:sz w:val="24"/>
              </w:rPr>
            </w:pPr>
            <w:r>
              <w:rPr>
                <w:sz w:val="24"/>
                <w:lang w:val="en"/>
              </w:rPr>
              <w:t>Number of side-effects and their severity, in each arm.</w:t>
            </w:r>
          </w:p>
          <w:p w:rsidR="00CD39A7" w:rsidRDefault="005B3809" w:rsidP="00B25E13">
            <w:pPr>
              <w:pStyle w:val="TableParagraph"/>
              <w:numPr>
                <w:ilvl w:val="0"/>
                <w:numId w:val="36"/>
              </w:numPr>
              <w:tabs>
                <w:tab w:val="left" w:pos="825"/>
                <w:tab w:val="left" w:pos="826"/>
              </w:tabs>
              <w:spacing w:line="240" w:lineRule="auto"/>
              <w:rPr>
                <w:sz w:val="24"/>
              </w:rPr>
            </w:pPr>
            <w:r>
              <w:rPr>
                <w:sz w:val="24"/>
                <w:lang w:val="en"/>
              </w:rPr>
              <w:t>Number of patients with detectable ANCA in each group.</w:t>
            </w:r>
          </w:p>
          <w:p w:rsidR="00CD39A7" w:rsidRDefault="005B3809" w:rsidP="00B25E13">
            <w:pPr>
              <w:pStyle w:val="TableParagraph"/>
              <w:numPr>
                <w:ilvl w:val="0"/>
                <w:numId w:val="36"/>
              </w:numPr>
              <w:tabs>
                <w:tab w:val="left" w:pos="825"/>
                <w:tab w:val="left" w:pos="826"/>
              </w:tabs>
              <w:spacing w:line="240" w:lineRule="auto"/>
              <w:rPr>
                <w:sz w:val="24"/>
              </w:rPr>
            </w:pPr>
            <w:r>
              <w:rPr>
                <w:sz w:val="24"/>
                <w:lang w:val="en"/>
              </w:rPr>
              <w:t>Mortality in each arm.</w:t>
            </w:r>
          </w:p>
          <w:p w:rsidR="00CD39A7" w:rsidRDefault="005B3809" w:rsidP="00B25E13">
            <w:pPr>
              <w:pStyle w:val="TableParagraph"/>
              <w:numPr>
                <w:ilvl w:val="0"/>
                <w:numId w:val="36"/>
              </w:numPr>
              <w:tabs>
                <w:tab w:val="left" w:pos="825"/>
                <w:tab w:val="left" w:pos="826"/>
              </w:tabs>
              <w:spacing w:line="240" w:lineRule="auto"/>
              <w:rPr>
                <w:sz w:val="24"/>
              </w:rPr>
            </w:pPr>
            <w:r>
              <w:rPr>
                <w:sz w:val="24"/>
                <w:lang w:val="en"/>
              </w:rPr>
              <w:t>Number of minor relapses in each arm.</w:t>
            </w:r>
          </w:p>
          <w:p w:rsidR="00CD39A7" w:rsidRDefault="005B3809" w:rsidP="00B25E13">
            <w:pPr>
              <w:pStyle w:val="TableParagraph"/>
              <w:numPr>
                <w:ilvl w:val="0"/>
                <w:numId w:val="36"/>
              </w:numPr>
              <w:tabs>
                <w:tab w:val="left" w:pos="825"/>
                <w:tab w:val="left" w:pos="826"/>
              </w:tabs>
              <w:spacing w:line="240" w:lineRule="auto"/>
              <w:ind w:right="100"/>
              <w:rPr>
                <w:sz w:val="24"/>
              </w:rPr>
            </w:pPr>
            <w:r>
              <w:rPr>
                <w:sz w:val="24"/>
                <w:lang w:val="en"/>
              </w:rPr>
              <w:t>Cumulative dose and duration of the corticosteroid treatment in each arm 10 months after the end of the maintenance therapy.</w:t>
            </w:r>
          </w:p>
          <w:p w:rsidR="00CD39A7" w:rsidRDefault="005B3809" w:rsidP="00B25E13">
            <w:pPr>
              <w:pStyle w:val="TableParagraph"/>
              <w:numPr>
                <w:ilvl w:val="0"/>
                <w:numId w:val="36"/>
              </w:numPr>
              <w:tabs>
                <w:tab w:val="left" w:pos="826"/>
              </w:tabs>
              <w:spacing w:line="240" w:lineRule="auto"/>
              <w:ind w:right="96"/>
              <w:jc w:val="both"/>
              <w:rPr>
                <w:sz w:val="24"/>
              </w:rPr>
            </w:pPr>
            <w:r>
              <w:rPr>
                <w:sz w:val="24"/>
                <w:lang w:val="en"/>
              </w:rPr>
              <w:t>The same endpoints will be assessed 6 months after the end of the maintenance therapy (post-treatment observation phase). The patients experiencing a relapse during this phase of the study will be treated with immunosuppressants, in accordance with the Good Clinical Practice (GCP), or possibly a new infusion of Rituximab (outside of the protocol) for those in the Rituximab arm.</w:t>
            </w:r>
          </w:p>
        </w:tc>
      </w:tr>
    </w:tbl>
    <w:p w:rsidR="00CD39A7" w:rsidRDefault="00CD39A7">
      <w:pPr>
        <w:jc w:val="both"/>
        <w:rPr>
          <w:sz w:val="24"/>
        </w:rPr>
        <w:sectPr w:rsidR="00CD39A7">
          <w:pgSz w:w="11910" w:h="16840"/>
          <w:pgMar w:top="1400" w:right="440" w:bottom="1140" w:left="440" w:header="0" w:footer="952" w:gutter="0"/>
          <w:cols w:space="720"/>
        </w:sectPr>
      </w:pPr>
    </w:p>
    <w:p w:rsidR="00CD39A7" w:rsidRPr="003239C1" w:rsidRDefault="005B3809" w:rsidP="003239C1">
      <w:pPr>
        <w:pStyle w:val="Heading1"/>
        <w:numPr>
          <w:ilvl w:val="0"/>
          <w:numId w:val="35"/>
        </w:numPr>
        <w:tabs>
          <w:tab w:val="left" w:pos="397"/>
        </w:tabs>
        <w:spacing w:before="360" w:line="480" w:lineRule="auto"/>
        <w:ind w:hanging="280"/>
        <w:rPr>
          <w:lang w:val="en"/>
        </w:rPr>
      </w:pPr>
      <w:bookmarkStart w:id="9" w:name="_bookmark87"/>
      <w:bookmarkStart w:id="10" w:name="1._INTRODUCTION"/>
      <w:bookmarkEnd w:id="9"/>
      <w:bookmarkEnd w:id="10"/>
      <w:r w:rsidRPr="003239C1">
        <w:rPr>
          <w:lang w:val="en"/>
        </w:rPr>
        <w:lastRenderedPageBreak/>
        <w:t>INTRODUCTION</w:t>
      </w:r>
    </w:p>
    <w:p w:rsidR="00CD39A7" w:rsidRDefault="005B3809" w:rsidP="007468DD">
      <w:pPr>
        <w:pStyle w:val="BodyText"/>
        <w:spacing w:before="90" w:line="480" w:lineRule="auto"/>
        <w:ind w:left="115" w:right="113"/>
        <w:jc w:val="both"/>
      </w:pPr>
      <w:r>
        <w:rPr>
          <w:lang w:val="en"/>
        </w:rPr>
        <w:t>The treatment of systemic vasculitis associated with antineutrophil cytoplasmic antibodies (ANCA) is partially regimented and consists of an initial treatment with corticosteriods and immunosuppressants to achieve remission followed by maintenance therapy with an immunosuppressant, usually azathioprine or methotrexate, for a minimum of 12 to 18 months. More than 80% of the patients achieve remission following initial treatment. However, despite maintenance therapy, regardless of the immunosuppressant selected, the rate of relapse is high at approximately 50% for those suffering from Wegener's granulomatosis (WG) and 33% for those suffering from microscopic polyangiitis (MPA).</w:t>
      </w:r>
    </w:p>
    <w:p w:rsidR="00CD39A7" w:rsidRDefault="005B3809">
      <w:pPr>
        <w:pStyle w:val="BodyText"/>
        <w:spacing w:before="10" w:line="480" w:lineRule="auto"/>
        <w:ind w:left="115" w:right="113"/>
        <w:jc w:val="both"/>
      </w:pPr>
      <w:r>
        <w:rPr>
          <w:lang w:val="en"/>
        </w:rPr>
        <w:t>Of the newest available biotherapies, numerous published cases have shown a specific efficacy in ANCA-positive vasculitis, particularly with anti-CD20 monoclonal antibodies, in patients resistant to standard treatments and/or with multiple relapses. Rituximab (the only anti-CD20 currently on the market) is widely used to treat lymphoma (label) and several autoimmune diseases (off-label). It is currently being evaluated as an initial treatment for WG in the USA (RAVE protocol, led by the Vasculitis Clinical Research Consortium). However, the main issue with ANCA-associated vasculitis is the maintenance of remission. As a result, it would be more beneficial and pertinent to evaluate the efficacy of rituximab as a maintenance therapy, which will hopefully provide an alternative immunosuppressive therapy and significantly reduce the number of relapses.</w:t>
      </w:r>
    </w:p>
    <w:p w:rsidR="00CD39A7" w:rsidRDefault="005B3809" w:rsidP="009814C8">
      <w:pPr>
        <w:pStyle w:val="Heading4"/>
        <w:numPr>
          <w:ilvl w:val="1"/>
          <w:numId w:val="35"/>
        </w:numPr>
        <w:tabs>
          <w:tab w:val="left" w:pos="476"/>
        </w:tabs>
        <w:spacing w:before="240" w:after="120" w:line="480" w:lineRule="auto"/>
      </w:pPr>
      <w:bookmarkStart w:id="11" w:name="_bookmark88"/>
      <w:bookmarkStart w:id="12" w:name="1.1_Revue_de_la_littérature_:_Traitement"/>
      <w:bookmarkEnd w:id="11"/>
      <w:bookmarkEnd w:id="12"/>
      <w:r>
        <w:rPr>
          <w:lang w:val="en"/>
        </w:rPr>
        <w:t>Literature Review: Treatment of ANCA-associated Vasculitis</w:t>
      </w:r>
    </w:p>
    <w:p w:rsidR="00CD39A7" w:rsidRDefault="005B3809" w:rsidP="009814C8">
      <w:pPr>
        <w:spacing w:after="120" w:line="480" w:lineRule="auto"/>
        <w:ind w:left="691"/>
        <w:rPr>
          <w:b/>
          <w:sz w:val="24"/>
        </w:rPr>
      </w:pPr>
      <w:bookmarkStart w:id="13" w:name="_bookmark89"/>
      <w:bookmarkStart w:id="14" w:name="A_/_Traitement_de_la_Granulomatose_de_We"/>
      <w:bookmarkEnd w:id="13"/>
      <w:bookmarkEnd w:id="14"/>
      <w:r>
        <w:rPr>
          <w:b/>
          <w:bCs/>
          <w:sz w:val="24"/>
          <w:lang w:val="en"/>
        </w:rPr>
        <w:t>A) Treatment of Wegener's Granulomatosis</w:t>
      </w:r>
    </w:p>
    <w:p w:rsidR="00CD39A7" w:rsidRDefault="005B3809" w:rsidP="009814C8">
      <w:pPr>
        <w:pStyle w:val="BodyText"/>
        <w:spacing w:line="480" w:lineRule="auto"/>
        <w:ind w:left="116" w:right="115"/>
        <w:jc w:val="both"/>
        <w:rPr>
          <w:sz w:val="22"/>
        </w:rPr>
      </w:pPr>
      <w:r>
        <w:rPr>
          <w:lang w:val="en"/>
        </w:rPr>
        <w:t xml:space="preserve">A combination of corticosteroids and immunosuppressant(s) is the benchmark treatment for systemic forms of WG. Corticosteroids, alone, do not lead to, or maintain, remission. Some consider a combination of orally administered corticosteroids and cyclophosphamide to be the </w:t>
      </w:r>
      <w:r>
        <w:rPr>
          <w:lang w:val="en"/>
        </w:rPr>
        <w:lastRenderedPageBreak/>
        <w:t>"gold standard" [1]. Nevertheless, even when this combination is prescribed for an extended period of time, relapses occur in more than half of patients [1] and a treatment of at least 18</w:t>
      </w:r>
      <w:r w:rsidR="00193AAB">
        <w:rPr>
          <w:lang w:val="en"/>
        </w:rPr>
        <w:t> </w:t>
      </w:r>
      <w:r>
        <w:rPr>
          <w:lang w:val="en"/>
        </w:rPr>
        <w:t>months is needed to control the disease. One of the consequences of using immunosuppressants is the high rate of severe side-effects. Hoffman et al. [1] have shown that the risk of bladder cancer increases 33-fold, the risk of lymphoma by 11-fold, and the risk of solid tumor by 2.4-fold.</w:t>
      </w:r>
    </w:p>
    <w:p w:rsidR="00CD39A7" w:rsidRDefault="005B3809" w:rsidP="009814C8">
      <w:pPr>
        <w:pStyle w:val="Heading4"/>
        <w:numPr>
          <w:ilvl w:val="2"/>
          <w:numId w:val="35"/>
        </w:numPr>
        <w:tabs>
          <w:tab w:val="left" w:pos="835"/>
          <w:tab w:val="left" w:pos="836"/>
        </w:tabs>
        <w:spacing w:before="240" w:after="120" w:line="480" w:lineRule="auto"/>
        <w:jc w:val="left"/>
      </w:pPr>
      <w:bookmarkStart w:id="15" w:name="_bookmark90"/>
      <w:bookmarkStart w:id="16" w:name="_Corticoïdes"/>
      <w:bookmarkEnd w:id="15"/>
      <w:bookmarkEnd w:id="16"/>
      <w:r>
        <w:rPr>
          <w:lang w:val="en"/>
        </w:rPr>
        <w:t>Corticosteroids</w:t>
      </w:r>
    </w:p>
    <w:p w:rsidR="00CD39A7" w:rsidRDefault="005B3809" w:rsidP="009814C8">
      <w:pPr>
        <w:pStyle w:val="BodyText"/>
        <w:spacing w:line="480" w:lineRule="auto"/>
        <w:ind w:left="116" w:right="113"/>
        <w:jc w:val="both"/>
      </w:pPr>
      <w:r>
        <w:rPr>
          <w:lang w:val="en"/>
        </w:rPr>
        <w:t>The initial dose of corticosteroids is 1 mg/kg/day. Depending on disease severity, this may be preceded by one or more bolus doses of methylprednisolone (7.5 to 15 mg/kg/day). After an initial treatment for 3 to 4 weeks, the corticosteroid dose must be reduced. Thus, the disease is essentially controlled with cyclophosphamide. The European Vasculitis Group (EUVAS) recommends reducing the dose more rapidly than that currently prescribed in France [2]. Nonetheless, regardless of the rate of corticosteroid tapering, all clinical results are objectively comparable and based on our experiences, it is currently not beneficial to continue prescribing corticosteroids in France for such an extended period of time.</w:t>
      </w:r>
    </w:p>
    <w:p w:rsidR="00CD39A7" w:rsidRDefault="005B3809" w:rsidP="009814C8">
      <w:pPr>
        <w:pStyle w:val="Heading4"/>
        <w:numPr>
          <w:ilvl w:val="2"/>
          <w:numId w:val="35"/>
        </w:numPr>
        <w:tabs>
          <w:tab w:val="left" w:pos="835"/>
          <w:tab w:val="left" w:pos="836"/>
        </w:tabs>
        <w:spacing w:before="240" w:after="120" w:line="480" w:lineRule="auto"/>
        <w:jc w:val="left"/>
      </w:pPr>
      <w:bookmarkStart w:id="17" w:name="_bookmark91"/>
      <w:bookmarkStart w:id="18" w:name="_Le_cyclophosphamide"/>
      <w:bookmarkEnd w:id="17"/>
      <w:bookmarkEnd w:id="18"/>
      <w:r>
        <w:rPr>
          <w:lang w:val="en"/>
        </w:rPr>
        <w:t>Cyclophosphamide</w:t>
      </w:r>
    </w:p>
    <w:p w:rsidR="00CD39A7" w:rsidRDefault="005B3809" w:rsidP="009814C8">
      <w:pPr>
        <w:pStyle w:val="BodyText"/>
        <w:spacing w:line="480" w:lineRule="auto"/>
        <w:ind w:left="116" w:right="113"/>
        <w:jc w:val="both"/>
      </w:pPr>
      <w:r>
        <w:rPr>
          <w:lang w:val="en"/>
        </w:rPr>
        <w:t>An oral dose of 2 mg/kg/day has been commonly prescribed [1] [3], adjusted for age and therapeutic response, along with the development of side-effects. The duration of a cyclophosphamide treatment partly depends on the choice of maintenance therapy. A study by EUVAS [2] showed that WG can be controlled with 3</w:t>
      </w:r>
      <w:r w:rsidR="00674DC6">
        <w:rPr>
          <w:lang w:val="en"/>
        </w:rPr>
        <w:t>–</w:t>
      </w:r>
      <w:r>
        <w:rPr>
          <w:lang w:val="en"/>
        </w:rPr>
        <w:t>6 months of cyclophosphamide treatment, followed by minimum of 12 months of azathioprine.</w:t>
      </w:r>
    </w:p>
    <w:p w:rsidR="00CD39A7" w:rsidRDefault="005B3809" w:rsidP="00B94536">
      <w:pPr>
        <w:pStyle w:val="BodyText"/>
        <w:spacing w:before="10" w:line="470" w:lineRule="auto"/>
        <w:ind w:left="115" w:right="114"/>
        <w:jc w:val="both"/>
      </w:pPr>
      <w:r>
        <w:rPr>
          <w:lang w:val="en"/>
        </w:rPr>
        <w:t>Bolus doses of cyclophosphamide have also been recommended (especially by us [4] [5]) as initial treatment and in combination with corticosteroids. Therefore, cyclophosphamide is prescribed every 3 weeks at a dose of 0.5</w:t>
      </w:r>
      <w:r w:rsidR="00674DC6">
        <w:rPr>
          <w:lang w:val="en"/>
        </w:rPr>
        <w:t>–</w:t>
      </w:r>
      <w:r>
        <w:rPr>
          <w:lang w:val="en"/>
        </w:rPr>
        <w:t>0.7 g/m</w:t>
      </w:r>
      <w:r>
        <w:rPr>
          <w:vertAlign w:val="superscript"/>
          <w:lang w:val="en"/>
        </w:rPr>
        <w:t>2</w:t>
      </w:r>
      <w:r>
        <w:rPr>
          <w:lang w:val="en"/>
        </w:rPr>
        <w:t xml:space="preserve">. The intravenous or oral administration of cyclophosphamide over a short period of time produces the same results. However, the </w:t>
      </w:r>
      <w:r>
        <w:rPr>
          <w:lang w:val="en"/>
        </w:rPr>
        <w:lastRenderedPageBreak/>
        <w:t>number of relapses is higher when the patients continue to receive bolus doses of cyclophosphamide after the onset of remission [4].</w:t>
      </w:r>
    </w:p>
    <w:p w:rsidR="00CD39A7" w:rsidRDefault="005B3809" w:rsidP="009814C8">
      <w:pPr>
        <w:pStyle w:val="BodyText"/>
        <w:spacing w:before="9" w:line="480" w:lineRule="auto"/>
        <w:ind w:left="115" w:right="113"/>
        <w:jc w:val="both"/>
      </w:pPr>
      <w:r>
        <w:rPr>
          <w:lang w:val="en"/>
        </w:rPr>
        <w:t>Furthermore, since high doses of intravenously administered cyclophosphamide can be detrimental for patients with renal failure, the dose must be adjusted based on renal function. Significant hydration is essential, possibly combined with the administration of MESNA during and after each cyclophosphamide infusion. These measures prevent hemorrhagic cystitis and bladder cancer.</w:t>
      </w:r>
    </w:p>
    <w:p w:rsidR="00CD39A7" w:rsidRDefault="005B3809" w:rsidP="009814C8">
      <w:pPr>
        <w:pStyle w:val="Heading4"/>
        <w:numPr>
          <w:ilvl w:val="2"/>
          <w:numId w:val="35"/>
        </w:numPr>
        <w:tabs>
          <w:tab w:val="left" w:pos="835"/>
          <w:tab w:val="left" w:pos="836"/>
        </w:tabs>
        <w:spacing w:before="240" w:after="120" w:line="480" w:lineRule="auto"/>
        <w:jc w:val="left"/>
      </w:pPr>
      <w:bookmarkStart w:id="19" w:name="_bookmark92"/>
      <w:bookmarkStart w:id="20" w:name="_Les_immunoglobulines"/>
      <w:bookmarkEnd w:id="19"/>
      <w:bookmarkEnd w:id="20"/>
      <w:r>
        <w:rPr>
          <w:lang w:val="en"/>
        </w:rPr>
        <w:t>Immunoglobulins</w:t>
      </w:r>
    </w:p>
    <w:p w:rsidR="00CD39A7" w:rsidRDefault="005B3809" w:rsidP="005534DD">
      <w:pPr>
        <w:pStyle w:val="BodyText"/>
        <w:spacing w:line="480" w:lineRule="auto"/>
        <w:ind w:left="115" w:right="115"/>
        <w:jc w:val="both"/>
      </w:pPr>
      <w:r>
        <w:rPr>
          <w:lang w:val="en"/>
        </w:rPr>
        <w:t>Immunoglobulins have the capacity to bind ANCA and decrease their activity. Intravenously administered immunoglobulins have been mainly used in patients experiencing a relapse. Studies have demonstrated significant efficacy with this treatment resulting in a decrease in ANCA titer [6, 7]. Results from a prospective study conducted by the Groupe Français d’Etude des Vascularites (GFEV) [French Group on Vasculitis Studies]</w:t>
      </w:r>
      <w:r w:rsidR="00B94536">
        <w:rPr>
          <w:lang w:val="en"/>
        </w:rPr>
        <w:t xml:space="preserve"> confirmed that </w:t>
      </w:r>
      <w:r w:rsidR="00B94536">
        <w:t>the</w:t>
      </w:r>
      <w:r w:rsidR="001B79D2">
        <w:t xml:space="preserve"> </w:t>
      </w:r>
      <w:r>
        <w:rPr>
          <w:lang w:val="en"/>
        </w:rPr>
        <w:t>patients unable to achieve remission with a combination of corticosteroids and immunosuppressant(s) were able to achieve remission when immunoglobulins were added to their treatment [8]. Immunoglobulins are administered intravenously at a dose of 2 g/kg/day once a month. The dose is administered over a period of 2 days. However, we recommend that the infusion be spread over 4 days for patients who suffer from renal failure. Overall, this treatment is very well tolerated.</w:t>
      </w:r>
    </w:p>
    <w:p w:rsidR="00CD39A7" w:rsidRDefault="005B3809" w:rsidP="005534DD">
      <w:pPr>
        <w:pStyle w:val="Heading4"/>
        <w:numPr>
          <w:ilvl w:val="2"/>
          <w:numId w:val="35"/>
        </w:numPr>
        <w:tabs>
          <w:tab w:val="left" w:pos="835"/>
          <w:tab w:val="left" w:pos="836"/>
        </w:tabs>
        <w:spacing w:before="240" w:after="120" w:line="480" w:lineRule="auto"/>
        <w:jc w:val="left"/>
      </w:pPr>
      <w:bookmarkStart w:id="21" w:name="_bookmark93"/>
      <w:bookmarkStart w:id="22" w:name="_Les_échanges_plasmatiques"/>
      <w:bookmarkEnd w:id="21"/>
      <w:bookmarkEnd w:id="22"/>
      <w:r>
        <w:rPr>
          <w:lang w:val="en"/>
        </w:rPr>
        <w:t>Plasma Exchanges</w:t>
      </w:r>
    </w:p>
    <w:p w:rsidR="00CD39A7" w:rsidRDefault="005B3809" w:rsidP="005534DD">
      <w:pPr>
        <w:pStyle w:val="BodyText"/>
        <w:spacing w:line="480" w:lineRule="auto"/>
        <w:ind w:left="116" w:right="115"/>
        <w:jc w:val="both"/>
      </w:pPr>
      <w:r>
        <w:rPr>
          <w:lang w:val="en"/>
        </w:rPr>
        <w:t>There is currently no evidence that therapeutic plasma exchanges (TPE; [plasmapheresis]) may contribute to the treatment of ANCA-associated vasculitis. On the other hand, Pusey [9] has demonstrated the benefits of PE on renal function. A EUVAS study conducted in patients with serum creatinine levels &gt; 500 µmol/L revealed that TPE could significantly reduce the number of patients requiring dialysis at 3 months and 12 months [10].</w:t>
      </w:r>
    </w:p>
    <w:p w:rsidR="00CD39A7" w:rsidRDefault="00CD39A7">
      <w:pPr>
        <w:pStyle w:val="BodyText"/>
        <w:spacing w:before="3"/>
        <w:rPr>
          <w:sz w:val="22"/>
        </w:rPr>
      </w:pPr>
    </w:p>
    <w:p w:rsidR="00CD39A7" w:rsidRDefault="005B3809" w:rsidP="005534DD">
      <w:pPr>
        <w:pStyle w:val="Heading4"/>
        <w:numPr>
          <w:ilvl w:val="2"/>
          <w:numId w:val="35"/>
        </w:numPr>
        <w:tabs>
          <w:tab w:val="left" w:pos="835"/>
          <w:tab w:val="left" w:pos="836"/>
        </w:tabs>
        <w:spacing w:before="240" w:after="120" w:line="480" w:lineRule="auto"/>
        <w:jc w:val="left"/>
      </w:pPr>
      <w:bookmarkStart w:id="23" w:name="_bookmark94"/>
      <w:bookmarkStart w:id="24" w:name="_Autres_traitements_immunosuppresseurs."/>
      <w:bookmarkEnd w:id="23"/>
      <w:bookmarkEnd w:id="24"/>
      <w:r>
        <w:rPr>
          <w:lang w:val="en"/>
        </w:rPr>
        <w:t>Other Immunosuppressive Therapies: The New and “Old" Medications</w:t>
      </w:r>
    </w:p>
    <w:p w:rsidR="00CD39A7" w:rsidRDefault="005B3809" w:rsidP="005534DD">
      <w:pPr>
        <w:pStyle w:val="BodyText"/>
        <w:spacing w:line="480" w:lineRule="auto"/>
        <w:ind w:left="116" w:right="117"/>
        <w:jc w:val="both"/>
      </w:pPr>
      <w:r>
        <w:rPr>
          <w:b/>
          <w:bCs/>
          <w:lang w:val="en"/>
        </w:rPr>
        <w:t>Azathioprine</w:t>
      </w:r>
      <w:r>
        <w:rPr>
          <w:lang w:val="en"/>
        </w:rPr>
        <w:t xml:space="preserve"> is the recommended first-line maintenance therapy. It is both effective and well tolerated. It induces fewer long-term side-effects than cyclophosphamide. The initial dose is 2</w:t>
      </w:r>
      <w:r w:rsidR="00C965E5">
        <w:rPr>
          <w:lang w:val="en"/>
        </w:rPr>
        <w:t>–</w:t>
      </w:r>
      <w:r>
        <w:rPr>
          <w:lang w:val="en"/>
        </w:rPr>
        <w:t>3 mg/kg/day.</w:t>
      </w:r>
    </w:p>
    <w:p w:rsidR="00CD39A7" w:rsidRDefault="005B3809" w:rsidP="005534DD">
      <w:pPr>
        <w:pStyle w:val="BodyText"/>
        <w:spacing w:before="9" w:line="480" w:lineRule="auto"/>
        <w:ind w:left="116" w:right="115"/>
        <w:jc w:val="both"/>
      </w:pPr>
      <w:r>
        <w:rPr>
          <w:b/>
          <w:bCs/>
          <w:lang w:val="en"/>
        </w:rPr>
        <w:t>Methotrexate</w:t>
      </w:r>
      <w:r>
        <w:rPr>
          <w:lang w:val="en"/>
        </w:rPr>
        <w:t xml:space="preserve"> is also considered a good maintenance therapy and has been prescribed in some cases of WG relapse [11]. The dose is 0.3 mg/kg/week. Despite some encouraging results, its efficacy is inferior to cyclophosphamide. Methotrexate has been the subject of numerous prospective studies (NIH, EUVAS and GFEV) [12]. A number of side-effects have been associated with this drug, including hepatotoxicity, hypersensitivity pneumonitis, and transient medullary hypoplasia, etc.</w:t>
      </w:r>
    </w:p>
    <w:p w:rsidR="00CD39A7" w:rsidRDefault="005B3809" w:rsidP="005534DD">
      <w:pPr>
        <w:pStyle w:val="BodyText"/>
        <w:spacing w:before="69" w:line="480" w:lineRule="auto"/>
        <w:ind w:left="115" w:right="116"/>
        <w:jc w:val="both"/>
        <w:rPr>
          <w:sz w:val="22"/>
        </w:rPr>
      </w:pPr>
      <w:r>
        <w:rPr>
          <w:lang w:val="en"/>
        </w:rPr>
        <w:t>Other medications are occasionally prescribed despite their relevance not being confirmed in any of the controlled studies. Cyclosporine has limited indications. More recent medications (mycophenolate mofetil [13], deoxyspergualin and leflunomide [14]) have been tested in a limited number of patients. These medications were only prescribed as maintenance therapy in relapsing patients or in patients resistant to combinations of corticosteroids and cyclophosphamide. As a result, their use is not presently widespread. Anti-TNFα could also be used as rescue therapy in these vasculitis patients who do not respond to or fail corticosteroid treatment combinations with various immunosuppressants. In a pilot study [15], we showed that most patients treated with infliximab achieve remission. However, the long-term effects of this treatment are currently unknown.</w:t>
      </w:r>
    </w:p>
    <w:p w:rsidR="00CD39A7" w:rsidRDefault="005B3809" w:rsidP="005534DD">
      <w:pPr>
        <w:pStyle w:val="Heading4"/>
        <w:numPr>
          <w:ilvl w:val="2"/>
          <w:numId w:val="35"/>
        </w:numPr>
        <w:tabs>
          <w:tab w:val="left" w:pos="835"/>
          <w:tab w:val="left" w:pos="836"/>
        </w:tabs>
        <w:spacing w:before="240" w:after="120" w:line="480" w:lineRule="auto"/>
        <w:jc w:val="left"/>
      </w:pPr>
      <w:bookmarkStart w:id="25" w:name="_bookmark95"/>
      <w:bookmarkStart w:id="26" w:name="_Cas_particulier_des_anti-CD20"/>
      <w:bookmarkEnd w:id="25"/>
      <w:bookmarkEnd w:id="26"/>
      <w:r>
        <w:rPr>
          <w:lang w:val="en"/>
        </w:rPr>
        <w:t>The Special Case of Anti-CD20 Antibodies</w:t>
      </w:r>
    </w:p>
    <w:p w:rsidR="00CD39A7" w:rsidRDefault="005B3809" w:rsidP="006E3EFB">
      <w:pPr>
        <w:pStyle w:val="BodyText"/>
        <w:spacing w:line="480" w:lineRule="auto"/>
        <w:ind w:left="116" w:right="113"/>
        <w:jc w:val="both"/>
      </w:pPr>
      <w:r>
        <w:rPr>
          <w:lang w:val="en"/>
        </w:rPr>
        <w:t xml:space="preserve">Rituximab is the leading chimeric anti-CD20 monoclonal antibody produced by genetic engineering. Initially developed to treat low-grade CD20-positive B-cell lymphoma, it is now prescribed for a number of partial or complete B-cell medicated autoimmune diseases, most </w:t>
      </w:r>
      <w:r>
        <w:rPr>
          <w:lang w:val="en"/>
        </w:rPr>
        <w:lastRenderedPageBreak/>
        <w:t>notably rheumatoid arthritis and lupus. The proposed B-cell depletion by rituximab upon binding to CD20 antigens appears to involve several mechanisms (cell-mediated lysis, complement-dependent or via apoptosis) for any condition involving autoantibodies. Clinical efficacy of rituximab has been demonstrated in rheumatoid arthritis, even though this disease is considered a T-cell mediated disease. However, the indirect, but essential, pathogenic role of B cells intervenes upstream in several steps of the inflammatory cascade (antigen presentation, production and regulation of various proinflammatory cytokines and autoantibodies)</w:t>
      </w:r>
      <w:r>
        <w:rPr>
          <w:b/>
          <w:bCs/>
          <w:lang w:val="en"/>
        </w:rPr>
        <w:t xml:space="preserve">. </w:t>
      </w:r>
      <w:r>
        <w:rPr>
          <w:lang w:val="en"/>
        </w:rPr>
        <w:t>Similar to the proposed roles for B and T cells in the immunopathogenesis of</w:t>
      </w:r>
      <w:r w:rsidR="001B79D2">
        <w:rPr>
          <w:lang w:val="en"/>
        </w:rPr>
        <w:t xml:space="preserve"> </w:t>
      </w:r>
      <w:r>
        <w:rPr>
          <w:lang w:val="en"/>
        </w:rPr>
        <w:t>rheumatoid arthritis, B cell depletion induced by anti-CD20 antibodies appears to be an equally plausible treatment approach for Wegener's disease. In fact, it has been recognized that B cells and ANCA have direct and indirect implications in the growth of vasculitis lesions and granulomatosis [16, 17, 18, 19].</w:t>
      </w:r>
    </w:p>
    <w:p w:rsidR="00CD39A7" w:rsidRDefault="005B3809" w:rsidP="006E3EFB">
      <w:pPr>
        <w:pStyle w:val="Heading4"/>
        <w:numPr>
          <w:ilvl w:val="2"/>
          <w:numId w:val="35"/>
        </w:numPr>
        <w:tabs>
          <w:tab w:val="left" w:pos="835"/>
          <w:tab w:val="left" w:pos="836"/>
        </w:tabs>
        <w:spacing w:before="240" w:after="120" w:line="480" w:lineRule="auto"/>
        <w:ind w:right="115"/>
        <w:jc w:val="left"/>
      </w:pPr>
      <w:r>
        <w:rPr>
          <w:lang w:val="en"/>
        </w:rPr>
        <w:t>Inconsistent Clinical Data for Rituximab in WG Based on Anatomical and Clinical Characteristics of the Disease?</w:t>
      </w:r>
    </w:p>
    <w:p w:rsidR="00CD39A7" w:rsidRDefault="005B3809" w:rsidP="006E3EFB">
      <w:pPr>
        <w:pStyle w:val="BodyText"/>
        <w:spacing w:before="24" w:line="480" w:lineRule="auto"/>
        <w:ind w:left="116" w:right="115"/>
        <w:jc w:val="both"/>
      </w:pPr>
      <w:r>
        <w:rPr>
          <w:lang w:val="en"/>
        </w:rPr>
        <w:t>Since 2001, 16 studies have been published evaluating rituximab in combination with immunosuppressants to treat resistant or recurrent forms of WG [20, 21, 22, 23, 24]. Although the results are contradictory, an encouraging trend did emerge, which motivated the "Vasculitis Consortium" to undertake a multi-center prospective study in the USA to determine whether rituximab could produce comparable or superior efficacy compared to cyclophosphamide as initial treatment for ANCA-associated vasculitis.</w:t>
      </w:r>
    </w:p>
    <w:p w:rsidR="00CD39A7" w:rsidRDefault="005B3809">
      <w:pPr>
        <w:pStyle w:val="BodyText"/>
        <w:spacing w:line="480" w:lineRule="auto"/>
        <w:ind w:left="116" w:right="116"/>
        <w:jc w:val="both"/>
      </w:pPr>
      <w:r>
        <w:rPr>
          <w:lang w:val="en"/>
        </w:rPr>
        <w:t xml:space="preserve">Follow-up of patients indicated that remission could be maintained for 16 to 35 months (median: 21 months) after the last injection. Partial responses and failures were observed in 2/31 (6.5%) and 6/31 (19.5%) patients treated with rituximab and cyclophosphamide, respectively. Detailed analysis of the treatment responses, in particular those reported in the studies of Keogh </w:t>
      </w:r>
      <w:r>
        <w:rPr>
          <w:i/>
          <w:iCs/>
          <w:lang w:val="en"/>
        </w:rPr>
        <w:t>et al.</w:t>
      </w:r>
      <w:r>
        <w:rPr>
          <w:lang w:val="en"/>
        </w:rPr>
        <w:t xml:space="preserve"> [21] and Aries </w:t>
      </w:r>
      <w:r>
        <w:rPr>
          <w:i/>
          <w:iCs/>
          <w:lang w:val="en"/>
        </w:rPr>
        <w:t xml:space="preserve">et al. </w:t>
      </w:r>
      <w:r>
        <w:rPr>
          <w:lang w:val="en"/>
        </w:rPr>
        <w:t xml:space="preserve">[25], showed a priori contradictory results with </w:t>
      </w:r>
      <w:r>
        <w:rPr>
          <w:lang w:val="en"/>
        </w:rPr>
        <w:lastRenderedPageBreak/>
        <w:t>complete responses observed in 10/10 and 2/8 of patients, and failures in 0/10 versus 5/8 of patients, respectively.</w:t>
      </w:r>
    </w:p>
    <w:p w:rsidR="00CD39A7" w:rsidRDefault="005B3809">
      <w:pPr>
        <w:pStyle w:val="BodyText"/>
        <w:spacing w:before="10" w:line="480" w:lineRule="auto"/>
        <w:ind w:left="116" w:right="116"/>
        <w:jc w:val="both"/>
      </w:pPr>
      <w:r>
        <w:rPr>
          <w:lang w:val="en"/>
        </w:rPr>
        <w:t xml:space="preserve">As other WG specialists have done, we will treat the two phenotypes of the disease separately </w:t>
      </w:r>
      <w:r w:rsidR="006C5276">
        <w:rPr>
          <w:lang w:val="en"/>
        </w:rPr>
        <w:t>—</w:t>
      </w:r>
      <w:r>
        <w:rPr>
          <w:lang w:val="en"/>
        </w:rPr>
        <w:t xml:space="preserve"> predominantly granulomatous and inflammatory vasculitis.</w:t>
      </w:r>
    </w:p>
    <w:p w:rsidR="00CD39A7" w:rsidRDefault="005B3809">
      <w:pPr>
        <w:pStyle w:val="BodyText"/>
        <w:spacing w:before="69" w:line="480" w:lineRule="auto"/>
        <w:ind w:left="115" w:right="113"/>
        <w:jc w:val="both"/>
        <w:rPr>
          <w:lang w:val="en"/>
        </w:rPr>
      </w:pPr>
      <w:r>
        <w:rPr>
          <w:lang w:val="en"/>
        </w:rPr>
        <w:t>Different responses were reported in patients based on their general disease characteristics, where predominantly vascular manifestations (glomerulonephritis, intra-alveolar hemorrhage, peripheral neuropathy, uveitis, arthralgia, purpura, cerebral angiitis, etc.) recorded within days or weeks after treatment were different compared to those presenting with predominantly granulomatous signs (ENT signs, pulmonary nodules, orbital pseudotumors, subglottic stenosis, etc.), which showed slower improvement or sometimes none at all. The response appears to be worse in the presence of an orbital tumor and/or subglottic stenosis.</w:t>
      </w:r>
    </w:p>
    <w:p w:rsidR="00CD39A7" w:rsidRDefault="005B3809">
      <w:pPr>
        <w:pStyle w:val="BodyText"/>
        <w:spacing w:before="129" w:line="480" w:lineRule="auto"/>
        <w:ind w:left="115" w:right="114"/>
        <w:jc w:val="both"/>
      </w:pPr>
      <w:r>
        <w:rPr>
          <w:lang w:val="en"/>
        </w:rPr>
        <w:t>A more refined analysis of the predominantly granulomatous cases identified a second subgroup that responds better with rituximab than patients with an orbital tumor or tracheal stenosis. This subgroup exhibits pulmonary nodules and nasal polyps, whose response is gradual and delayed, sometimes by several months [24, 26].</w:t>
      </w:r>
    </w:p>
    <w:p w:rsidR="00CD39A7" w:rsidRDefault="005B3809">
      <w:pPr>
        <w:pStyle w:val="BodyText"/>
        <w:spacing w:before="129" w:line="480" w:lineRule="auto"/>
        <w:ind w:left="116" w:right="117"/>
        <w:jc w:val="both"/>
      </w:pPr>
      <w:r>
        <w:rPr>
          <w:lang w:val="en"/>
        </w:rPr>
        <w:t>Through monitoring titres, ANCA levels typically show a gradual decline, followed by their disappearance, but in some cases, ANCAs persist over the long term, making these results unreliable predictors of clinical response.</w:t>
      </w:r>
    </w:p>
    <w:p w:rsidR="00CD39A7" w:rsidRDefault="005B3809">
      <w:pPr>
        <w:pStyle w:val="BodyText"/>
        <w:spacing w:before="9" w:line="480" w:lineRule="auto"/>
        <w:ind w:left="116" w:right="115"/>
        <w:jc w:val="both"/>
      </w:pPr>
      <w:r>
        <w:rPr>
          <w:lang w:val="en"/>
        </w:rPr>
        <w:t>If rituximab is likely to be a short-term loading treatment (4 infusions per week or 2 infusions every 2 weeks), uncertainties regarding response duration and the need for additional maintenance infusions arise. ANCA-associated vasculitis, particularly WG, is characterized by a high risk of relapse.</w:t>
      </w:r>
    </w:p>
    <w:p w:rsidR="00CD39A7" w:rsidRDefault="005B3809">
      <w:pPr>
        <w:pStyle w:val="BodyText"/>
        <w:spacing w:before="9" w:line="480" w:lineRule="auto"/>
        <w:ind w:left="116" w:right="118"/>
        <w:jc w:val="both"/>
      </w:pPr>
      <w:r>
        <w:rPr>
          <w:lang w:val="en"/>
        </w:rPr>
        <w:t>Monitoring circulating levels of B lymphocytes may provide a useful decision making tool regarding additional rituximab infusions as secondary prophylaxis for patients in remission.</w:t>
      </w:r>
    </w:p>
    <w:p w:rsidR="00CD39A7" w:rsidRDefault="005B3809" w:rsidP="00970A58">
      <w:pPr>
        <w:pStyle w:val="BodyText"/>
        <w:spacing w:before="9" w:line="480" w:lineRule="auto"/>
        <w:ind w:left="116" w:right="114"/>
        <w:jc w:val="both"/>
      </w:pPr>
      <w:r>
        <w:rPr>
          <w:lang w:val="en"/>
        </w:rPr>
        <w:t xml:space="preserve">Immunophenotyping of residual circulating CD19 and/or CD20 cells indicated that B cells </w:t>
      </w:r>
      <w:r>
        <w:rPr>
          <w:lang w:val="en"/>
        </w:rPr>
        <w:lastRenderedPageBreak/>
        <w:t>become rapidly undetectable after an effective treatment with</w:t>
      </w:r>
      <w:r w:rsidR="00916DC0">
        <w:t xml:space="preserve"> </w:t>
      </w:r>
      <w:r w:rsidR="00916DC0">
        <w:rPr>
          <w:lang w:val="en"/>
        </w:rPr>
        <w:t>rituximab with a subsequent</w:t>
      </w:r>
      <w:r w:rsidR="00970A58">
        <w:rPr>
          <w:lang w:val="en"/>
        </w:rPr>
        <w:t xml:space="preserve"> </w:t>
      </w:r>
      <w:r>
        <w:rPr>
          <w:lang w:val="en"/>
        </w:rPr>
        <w:t>tendency for the levels in peripheral blood to increase again, usually after the 6th month. Certain patients exhibit a more prolonged effect and very low levels of circulating B cells, which is maintained near the detection limit up to the 20th month. Some authors have suggested a correlation between the restoration of circulating B cells and the occurrence of clinical relapses [27]. However, this correlation is hypothetical, as the treatment response is based on the suppression of ANCAs and B cells, whereas this family of vasculitis, in particular Wegener's disease, also involves T cell mechanisms.</w:t>
      </w:r>
    </w:p>
    <w:p w:rsidR="00970A58" w:rsidRDefault="005B3809">
      <w:pPr>
        <w:pStyle w:val="BodyText"/>
        <w:spacing w:before="20" w:line="480" w:lineRule="auto"/>
        <w:ind w:left="116" w:right="114"/>
        <w:jc w:val="both"/>
        <w:rPr>
          <w:lang w:val="en"/>
        </w:rPr>
      </w:pPr>
      <w:r>
        <w:rPr>
          <w:lang w:val="en"/>
        </w:rPr>
        <w:t xml:space="preserve">Few data are available on the possible development of human anti-chimeric antibodies (HACA) targeting rituximab after successive treatments; their effect on the maintenance of rituximab efficacy or tolerance remains unclear. The tolerance to rituximab is relatively good. </w:t>
      </w:r>
    </w:p>
    <w:p w:rsidR="00CD39A7" w:rsidRDefault="005B3809" w:rsidP="006E3EFB">
      <w:pPr>
        <w:pStyle w:val="BodyText"/>
        <w:spacing w:before="20" w:line="480" w:lineRule="auto"/>
        <w:ind w:left="116" w:right="114"/>
        <w:jc w:val="both"/>
        <w:rPr>
          <w:lang w:val="en"/>
        </w:rPr>
      </w:pPr>
      <w:r>
        <w:rPr>
          <w:lang w:val="en"/>
        </w:rPr>
        <w:t>Bacterial or viral infections are relatively rare or less severe. In contrast, cases of progressive multifocal leukoencephalopathy (PML) caused by the reactivation of the JC virus, have been reported primarily in cases of lymphoproliferative syndrome. A few rare cases of PML in lupus patients were recently reported by ROCHE Laboratories. Since these cases almost always involved patients who received multiple treatments for relapses, and are thus already heavily treated and/or still undergoing other immunosuppressive therapies in combination with rituximab, the direct causality of these latter treatments for the occurrence of this appalling infection is unclear, but advocates the need to investigate new indications for anti-CD20s in controlled studies.</w:t>
      </w:r>
    </w:p>
    <w:p w:rsidR="00CD39A7" w:rsidRDefault="005B3809" w:rsidP="00630B9C">
      <w:pPr>
        <w:pStyle w:val="Heading4"/>
        <w:spacing w:before="240" w:after="120" w:line="480" w:lineRule="auto"/>
        <w:ind w:left="691" w:firstLine="0"/>
        <w:jc w:val="left"/>
      </w:pPr>
      <w:bookmarkStart w:id="27" w:name="_bookmark96"/>
      <w:bookmarkStart w:id="28" w:name="B_/_Traitement_de_la_polyangéite_microsc"/>
      <w:bookmarkEnd w:id="27"/>
      <w:bookmarkEnd w:id="28"/>
      <w:r>
        <w:rPr>
          <w:lang w:val="en"/>
        </w:rPr>
        <w:t>B) Treatment of Microscopic Polyangiitis</w:t>
      </w:r>
    </w:p>
    <w:p w:rsidR="00CD39A7" w:rsidRDefault="005B3809" w:rsidP="00444F9D">
      <w:pPr>
        <w:pStyle w:val="BodyText"/>
        <w:spacing w:line="480" w:lineRule="auto"/>
        <w:ind w:left="116" w:right="117"/>
        <w:jc w:val="both"/>
        <w:rPr>
          <w:lang w:val="en"/>
        </w:rPr>
      </w:pPr>
      <w:r>
        <w:rPr>
          <w:lang w:val="en"/>
        </w:rPr>
        <w:t>The same approach is used for the treatment of MPA and WG, at least for the severe cases of the disease. Both a retrospective analysis</w:t>
      </w:r>
      <w:r w:rsidR="00916DC0">
        <w:rPr>
          <w:lang w:val="en"/>
        </w:rPr>
        <w:t xml:space="preserve"> </w:t>
      </w:r>
      <w:r>
        <w:rPr>
          <w:lang w:val="en"/>
        </w:rPr>
        <w:t xml:space="preserve">[28] and therapeutic study [29] that we conducted indicated that only severe cases of MPA respond to combinations of corticosteroids and cyclophosphamide. The addition of cyclophosphamide offers no significant benefit to MPA </w:t>
      </w:r>
      <w:r>
        <w:rPr>
          <w:lang w:val="en"/>
        </w:rPr>
        <w:lastRenderedPageBreak/>
        <w:t>patients with no poor prognosis risk factors (FFS = 0). We therefore recommend treating severe cases of MPA with the treatment recommended for WG, while less severe cases should first be treated with corticosteroid as first line therapy.</w:t>
      </w:r>
    </w:p>
    <w:p w:rsidR="00CD39A7" w:rsidRDefault="005B3809" w:rsidP="00444F9D">
      <w:pPr>
        <w:pStyle w:val="Heading4"/>
        <w:numPr>
          <w:ilvl w:val="1"/>
          <w:numId w:val="35"/>
        </w:numPr>
        <w:tabs>
          <w:tab w:val="left" w:pos="476"/>
        </w:tabs>
        <w:spacing w:before="240" w:after="120" w:line="480" w:lineRule="auto"/>
      </w:pPr>
      <w:bookmarkStart w:id="29" w:name="_bookmark97"/>
      <w:bookmarkStart w:id="30" w:name="1.2_Bénéfices_/_risques"/>
      <w:bookmarkEnd w:id="29"/>
      <w:bookmarkEnd w:id="30"/>
      <w:r>
        <w:rPr>
          <w:lang w:val="en"/>
        </w:rPr>
        <w:t>Benefits/Risks</w:t>
      </w:r>
    </w:p>
    <w:p w:rsidR="00CD39A7" w:rsidRDefault="005B3809" w:rsidP="00444F9D">
      <w:pPr>
        <w:pStyle w:val="ListParagraph"/>
        <w:numPr>
          <w:ilvl w:val="2"/>
          <w:numId w:val="35"/>
        </w:numPr>
        <w:tabs>
          <w:tab w:val="left" w:pos="835"/>
          <w:tab w:val="left" w:pos="836"/>
        </w:tabs>
        <w:spacing w:after="120" w:line="480" w:lineRule="auto"/>
        <w:rPr>
          <w:b/>
          <w:sz w:val="24"/>
        </w:rPr>
      </w:pPr>
      <w:bookmarkStart w:id="31" w:name="_bookmark98"/>
      <w:bookmarkStart w:id="32" w:name="_Bénéfices"/>
      <w:bookmarkEnd w:id="31"/>
      <w:bookmarkEnd w:id="32"/>
      <w:r>
        <w:rPr>
          <w:b/>
          <w:bCs/>
          <w:sz w:val="24"/>
          <w:lang w:val="en"/>
        </w:rPr>
        <w:t>Benefits</w:t>
      </w:r>
    </w:p>
    <w:p w:rsidR="00CD39A7" w:rsidRDefault="005B3809" w:rsidP="0061183E">
      <w:pPr>
        <w:pStyle w:val="BodyText"/>
        <w:spacing w:line="480" w:lineRule="auto"/>
        <w:ind w:left="142" w:right="116"/>
        <w:jc w:val="both"/>
      </w:pPr>
      <w:r>
        <w:rPr>
          <w:lang w:val="en"/>
        </w:rPr>
        <w:t>The expected benefits are a reduction in the incidence of disease relapses (which is approximately 40% following 28 months after achievement of remission with azathioprine) and a reduction in the number of side-effects in the rituximab arm.</w:t>
      </w:r>
    </w:p>
    <w:p w:rsidR="00CD39A7" w:rsidRDefault="005B3809" w:rsidP="0061183E">
      <w:pPr>
        <w:pStyle w:val="BodyText"/>
        <w:spacing w:before="10" w:line="480" w:lineRule="auto"/>
        <w:ind w:left="142" w:right="114"/>
        <w:jc w:val="both"/>
      </w:pPr>
      <w:r>
        <w:rPr>
          <w:lang w:val="en"/>
        </w:rPr>
        <w:t>Other parameters may also be improved: quality of life, reduced need for patient care associated the chronic disease activity, and a reduction in sequelae.</w:t>
      </w:r>
    </w:p>
    <w:p w:rsidR="00CD39A7" w:rsidRDefault="005B3809" w:rsidP="00444F9D">
      <w:pPr>
        <w:pStyle w:val="Heading4"/>
        <w:numPr>
          <w:ilvl w:val="2"/>
          <w:numId w:val="35"/>
        </w:numPr>
        <w:tabs>
          <w:tab w:val="left" w:pos="835"/>
          <w:tab w:val="left" w:pos="836"/>
        </w:tabs>
        <w:spacing w:before="240" w:after="120" w:line="480" w:lineRule="auto"/>
        <w:jc w:val="left"/>
      </w:pPr>
      <w:bookmarkStart w:id="33" w:name="_bookmark99"/>
      <w:bookmarkStart w:id="34" w:name="_Risques_prévisibles_et_connus_pour_les"/>
      <w:bookmarkEnd w:id="33"/>
      <w:bookmarkEnd w:id="34"/>
      <w:r>
        <w:rPr>
          <w:lang w:val="en"/>
        </w:rPr>
        <w:t>Foreseeable and Known Risks for Research Participants</w:t>
      </w:r>
    </w:p>
    <w:p w:rsidR="00CD39A7" w:rsidRDefault="005B3809" w:rsidP="00444F9D">
      <w:pPr>
        <w:pStyle w:val="ListParagraph"/>
        <w:numPr>
          <w:ilvl w:val="0"/>
          <w:numId w:val="34"/>
        </w:numPr>
        <w:tabs>
          <w:tab w:val="left" w:pos="836"/>
        </w:tabs>
        <w:spacing w:before="1" w:line="480" w:lineRule="auto"/>
        <w:ind w:right="117"/>
        <w:jc w:val="both"/>
        <w:rPr>
          <w:sz w:val="24"/>
        </w:rPr>
      </w:pPr>
      <w:r>
        <w:rPr>
          <w:sz w:val="24"/>
          <w:lang w:val="en"/>
        </w:rPr>
        <w:t>Toxicity due to prolonged corticosteroid therapy, which is expected to be comparable in the two study arms due to the identical initial treatment plans. This corticosteroid therapy is the standard of care treatment (no additional risk).</w:t>
      </w:r>
    </w:p>
    <w:p w:rsidR="00CD39A7" w:rsidRDefault="005B3809" w:rsidP="00B25E13">
      <w:pPr>
        <w:pStyle w:val="ListParagraph"/>
        <w:numPr>
          <w:ilvl w:val="0"/>
          <w:numId w:val="34"/>
        </w:numPr>
        <w:tabs>
          <w:tab w:val="left" w:pos="836"/>
        </w:tabs>
        <w:spacing w:before="69" w:line="480" w:lineRule="auto"/>
        <w:ind w:right="113"/>
        <w:jc w:val="both"/>
        <w:rPr>
          <w:sz w:val="24"/>
        </w:rPr>
      </w:pPr>
      <w:r>
        <w:rPr>
          <w:sz w:val="24"/>
          <w:lang w:val="en"/>
        </w:rPr>
        <w:t>Toxicity associated with azathioprine: In previous studies of severe forms of vasculitis, azathioprine and corticosteroids were used as the standard maintenance therapy, due to its usual excellent tolerance, in lieu of cyclophosphamide. Digestive intolerance (in 5% of the patients) or hepatic intolerance (moderate cytolysis in 7% of patients, reversible after treatment discontinuation) may occur in these patients (the only reasons for azathioprine discontinuation in a recent GFEV–WEGENT study).</w:t>
      </w:r>
    </w:p>
    <w:p w:rsidR="00CD39A7" w:rsidRDefault="005B3809">
      <w:pPr>
        <w:pStyle w:val="BodyText"/>
        <w:spacing w:before="9" w:line="480" w:lineRule="auto"/>
        <w:ind w:left="116" w:right="116"/>
        <w:jc w:val="both"/>
      </w:pPr>
      <w:r>
        <w:rPr>
          <w:lang w:val="en"/>
        </w:rPr>
        <w:t xml:space="preserve">A possible side-effect of azathioprine is a decrease in white blood cells, which can lead to infections. It can also cause a decrease in red blood cells (anemia) or platelets, which requires close monitoring of blood samples to modify the treatment dose. A transient decrease in fertility is also often observed with this disease. Gastrointestinal disorders (nausea, vomiting, </w:t>
      </w:r>
      <w:r>
        <w:rPr>
          <w:lang w:val="en"/>
        </w:rPr>
        <w:lastRenderedPageBreak/>
        <w:t>diarrhea), abnormal liver function (reversible after treatment discontinuation), and hypersensitivity reactions (shivering, myalgia, arthralgia, skin rashes, pancreatitis, acute respiratory disease) are more rarely observed.</w:t>
      </w:r>
    </w:p>
    <w:p w:rsidR="00CD39A7" w:rsidRPr="00444F9D" w:rsidRDefault="005B3809" w:rsidP="003239C1">
      <w:pPr>
        <w:pStyle w:val="ListParagraph"/>
        <w:numPr>
          <w:ilvl w:val="0"/>
          <w:numId w:val="34"/>
        </w:numPr>
        <w:tabs>
          <w:tab w:val="left" w:pos="836"/>
        </w:tabs>
        <w:spacing w:before="9" w:line="480" w:lineRule="auto"/>
        <w:ind w:right="115" w:firstLine="0"/>
        <w:jc w:val="both"/>
        <w:rPr>
          <w:sz w:val="24"/>
          <w:szCs w:val="24"/>
        </w:rPr>
      </w:pPr>
      <w:r w:rsidRPr="00444F9D">
        <w:rPr>
          <w:sz w:val="24"/>
          <w:lang w:val="en"/>
        </w:rPr>
        <w:t>Toxicity associated with rituximab: Rituximab is usually well tolerated, but the known possibility of allergic reactions means that is should be administered in a hospital setting with close monitoring over the few hours following the injection. Monitoring of complete blood count is essential to ensure that white blood cell counts do not drop. Unlike immunosuppressants, there is no cancer risk with rituximab. However, similar to immunosuppressants, it can cause an increase in infections. These infections can sometimes be severe. Among them was a fatal case of encephalitis; however, this complication is extremely rare. This complication was also reported in patients taki</w:t>
      </w:r>
      <w:r w:rsidR="00A63408" w:rsidRPr="00444F9D">
        <w:rPr>
          <w:sz w:val="24"/>
          <w:lang w:val="en"/>
        </w:rPr>
        <w:t xml:space="preserve">ng </w:t>
      </w:r>
      <w:r w:rsidR="00A63408" w:rsidRPr="00444F9D">
        <w:rPr>
          <w:sz w:val="24"/>
          <w:szCs w:val="24"/>
          <w:lang w:val="en"/>
        </w:rPr>
        <w:t xml:space="preserve">cyclophosphamide (Endoxan). </w:t>
      </w:r>
      <w:r w:rsidRPr="00444F9D">
        <w:rPr>
          <w:sz w:val="24"/>
          <w:szCs w:val="24"/>
          <w:lang w:val="en"/>
        </w:rPr>
        <w:t xml:space="preserve">Rituximab does not increase the frequency of infections </w:t>
      </w:r>
      <w:r w:rsidR="00A63408" w:rsidRPr="00444F9D">
        <w:rPr>
          <w:sz w:val="24"/>
          <w:szCs w:val="24"/>
          <w:lang w:val="en"/>
        </w:rPr>
        <w:t>compared to immunosuppressants normally used to treat the disease.</w:t>
      </w:r>
    </w:p>
    <w:p w:rsidR="00CD39A7" w:rsidRDefault="005B3809">
      <w:pPr>
        <w:pStyle w:val="BodyText"/>
        <w:spacing w:before="9" w:line="480" w:lineRule="auto"/>
        <w:ind w:left="115" w:right="117"/>
        <w:jc w:val="both"/>
      </w:pPr>
      <w:r>
        <w:rPr>
          <w:lang w:val="en"/>
        </w:rPr>
        <w:t>Infusion-related reactions with Rituximab administration may occur, especially during the first infusion. These events mainly include fever, shivering and shaking. Other less frequent symptoms such as skin redness, angioedema, nausea, rash/hives, asthenia, headaches, throat irritation, rhinitis, vomiting and pain at the tumor site may appear, but less commonly.</w:t>
      </w:r>
    </w:p>
    <w:p w:rsidR="00CD39A7" w:rsidRDefault="005B3809">
      <w:pPr>
        <w:pStyle w:val="BodyText"/>
        <w:spacing w:before="9" w:line="480" w:lineRule="auto"/>
        <w:ind w:left="116" w:right="115"/>
        <w:jc w:val="both"/>
      </w:pPr>
      <w:r>
        <w:rPr>
          <w:lang w:val="en"/>
        </w:rPr>
        <w:t>Less frequently observed are exacerbations of pre-existing heart disease, such as angina or heart failure. Symptoms occurring during the first infusion decrease considerably for the subsequent infusions.</w:t>
      </w:r>
    </w:p>
    <w:p w:rsidR="00CD39A7" w:rsidRDefault="005B3809">
      <w:pPr>
        <w:pStyle w:val="BodyText"/>
        <w:spacing w:before="9" w:line="480" w:lineRule="auto"/>
        <w:ind w:left="116" w:right="115"/>
        <w:jc w:val="both"/>
      </w:pPr>
      <w:r>
        <w:rPr>
          <w:lang w:val="en"/>
        </w:rPr>
        <w:t>Hematologic disorders (neutropenia, thrombocytopenia) may occur, but they are usually mild and reversible. Rare cases of hemolytic anemia due to rituximab have also been observed. Cardiovascular events have also been reported with the most frequent being hypotension and arterial hypertension.</w:t>
      </w:r>
    </w:p>
    <w:p w:rsidR="00CD39A7" w:rsidRDefault="005B3809">
      <w:pPr>
        <w:pStyle w:val="BodyText"/>
        <w:spacing w:before="9" w:line="480" w:lineRule="auto"/>
        <w:ind w:left="115" w:right="114"/>
        <w:jc w:val="both"/>
      </w:pPr>
      <w:r>
        <w:rPr>
          <w:lang w:val="en"/>
        </w:rPr>
        <w:t xml:space="preserve">Gastrointestinal perforations have been reported in patients treated with a combination of </w:t>
      </w:r>
      <w:r>
        <w:rPr>
          <w:lang w:val="en"/>
        </w:rPr>
        <w:lastRenderedPageBreak/>
        <w:t>rituximab and chemotherapy for disorders other than vasculitis.</w:t>
      </w:r>
    </w:p>
    <w:p w:rsidR="00CD39A7" w:rsidRDefault="005B3809" w:rsidP="00444F9D">
      <w:pPr>
        <w:pStyle w:val="Heading4"/>
        <w:numPr>
          <w:ilvl w:val="1"/>
          <w:numId w:val="35"/>
        </w:numPr>
        <w:tabs>
          <w:tab w:val="left" w:pos="476"/>
        </w:tabs>
        <w:spacing w:before="240" w:after="120" w:line="480" w:lineRule="auto"/>
      </w:pPr>
      <w:bookmarkStart w:id="35" w:name="_bookmark100"/>
      <w:bookmarkStart w:id="36" w:name="1.3_Justification"/>
      <w:bookmarkEnd w:id="35"/>
      <w:bookmarkEnd w:id="36"/>
      <w:r>
        <w:rPr>
          <w:lang w:val="en"/>
        </w:rPr>
        <w:t>Justification</w:t>
      </w:r>
    </w:p>
    <w:p w:rsidR="00CD39A7" w:rsidRDefault="005B3809" w:rsidP="00444F9D">
      <w:pPr>
        <w:pStyle w:val="ListParagraph"/>
        <w:numPr>
          <w:ilvl w:val="0"/>
          <w:numId w:val="33"/>
        </w:numPr>
        <w:tabs>
          <w:tab w:val="left" w:pos="835"/>
          <w:tab w:val="left" w:pos="836"/>
        </w:tabs>
        <w:spacing w:line="480" w:lineRule="auto"/>
        <w:rPr>
          <w:sz w:val="24"/>
        </w:rPr>
      </w:pPr>
      <w:r>
        <w:rPr>
          <w:sz w:val="24"/>
          <w:lang w:val="en"/>
        </w:rPr>
        <w:t>Improved treatment of the disease by reducing the number of relapses</w:t>
      </w:r>
    </w:p>
    <w:p w:rsidR="00CD39A7" w:rsidRPr="003F3E82" w:rsidRDefault="005B3809" w:rsidP="00444F9D">
      <w:pPr>
        <w:pStyle w:val="ListParagraph"/>
        <w:numPr>
          <w:ilvl w:val="0"/>
          <w:numId w:val="33"/>
        </w:numPr>
        <w:tabs>
          <w:tab w:val="left" w:pos="835"/>
          <w:tab w:val="left" w:pos="836"/>
        </w:tabs>
        <w:spacing w:before="1" w:line="480" w:lineRule="auto"/>
        <w:rPr>
          <w:sz w:val="24"/>
        </w:rPr>
      </w:pPr>
      <w:r>
        <w:rPr>
          <w:sz w:val="24"/>
          <w:lang w:val="en"/>
        </w:rPr>
        <w:t>A decrease in the number of side-effects</w:t>
      </w:r>
    </w:p>
    <w:p w:rsidR="00CD39A7" w:rsidRDefault="005B3809" w:rsidP="00444F9D">
      <w:pPr>
        <w:pStyle w:val="Heading4"/>
        <w:numPr>
          <w:ilvl w:val="1"/>
          <w:numId w:val="35"/>
        </w:numPr>
        <w:tabs>
          <w:tab w:val="left" w:pos="476"/>
        </w:tabs>
        <w:spacing w:before="240" w:after="120" w:line="480" w:lineRule="auto"/>
      </w:pPr>
      <w:bookmarkStart w:id="37" w:name="_bookmark101"/>
      <w:bookmarkStart w:id="38" w:name="1.4_Population"/>
      <w:bookmarkEnd w:id="37"/>
      <w:bookmarkEnd w:id="38"/>
      <w:r>
        <w:rPr>
          <w:lang w:val="en"/>
        </w:rPr>
        <w:t>Population</w:t>
      </w:r>
    </w:p>
    <w:p w:rsidR="00CD39A7" w:rsidRDefault="005B3809" w:rsidP="00444F9D">
      <w:pPr>
        <w:pStyle w:val="BodyText"/>
        <w:spacing w:line="480" w:lineRule="auto"/>
        <w:ind w:left="115" w:right="116"/>
        <w:jc w:val="both"/>
        <w:rPr>
          <w:lang w:val="en"/>
        </w:rPr>
      </w:pPr>
      <w:r>
        <w:rPr>
          <w:lang w:val="en"/>
        </w:rPr>
        <w:t>Patients diagnosed with ANCA-associated vasculitis: WG, PMA, and limited renal forms (pauci-immune glomerulonephritis) with/without ANCAs (at the time of diagnosis and remission).</w:t>
      </w:r>
    </w:p>
    <w:p w:rsidR="00CD39A7" w:rsidRDefault="005B3809" w:rsidP="00444F9D">
      <w:pPr>
        <w:pStyle w:val="Heading4"/>
        <w:numPr>
          <w:ilvl w:val="1"/>
          <w:numId w:val="35"/>
        </w:numPr>
        <w:tabs>
          <w:tab w:val="left" w:pos="476"/>
        </w:tabs>
        <w:spacing w:before="240" w:after="120" w:line="480" w:lineRule="auto"/>
      </w:pPr>
      <w:bookmarkStart w:id="39" w:name="_bookmark102"/>
      <w:bookmarkStart w:id="40" w:name="1.5_Références_bibliographiques"/>
      <w:bookmarkEnd w:id="39"/>
      <w:bookmarkEnd w:id="40"/>
      <w:r>
        <w:rPr>
          <w:lang w:val="en"/>
        </w:rPr>
        <w:t>References</w:t>
      </w:r>
    </w:p>
    <w:p w:rsidR="00CD39A7" w:rsidRDefault="005B3809" w:rsidP="00444F9D">
      <w:pPr>
        <w:pStyle w:val="BodyText"/>
        <w:spacing w:line="480" w:lineRule="auto"/>
        <w:ind w:left="115"/>
        <w:jc w:val="both"/>
      </w:pPr>
      <w:r>
        <w:rPr>
          <w:lang w:val="en"/>
        </w:rPr>
        <w:t>See References section in Appendix I</w:t>
      </w:r>
    </w:p>
    <w:p w:rsidR="00CD39A7" w:rsidRDefault="005B3809" w:rsidP="00444F9D">
      <w:pPr>
        <w:pStyle w:val="Heading4"/>
        <w:numPr>
          <w:ilvl w:val="1"/>
          <w:numId w:val="35"/>
        </w:numPr>
        <w:tabs>
          <w:tab w:val="left" w:pos="476"/>
        </w:tabs>
        <w:spacing w:before="240" w:after="120" w:line="480" w:lineRule="auto"/>
      </w:pPr>
      <w:bookmarkStart w:id="41" w:name="_bookmark103"/>
      <w:bookmarkStart w:id="42" w:name="1.6_Déclarations_légales_et_éthiques"/>
      <w:bookmarkEnd w:id="41"/>
      <w:bookmarkEnd w:id="42"/>
      <w:r>
        <w:rPr>
          <w:lang w:val="en"/>
        </w:rPr>
        <w:t>Legal and Ethical Declarations</w:t>
      </w:r>
    </w:p>
    <w:p w:rsidR="00CD39A7" w:rsidRDefault="005B3809" w:rsidP="00444F9D">
      <w:pPr>
        <w:pStyle w:val="BodyText"/>
        <w:spacing w:line="480" w:lineRule="auto"/>
        <w:ind w:left="115"/>
        <w:jc w:val="both"/>
      </w:pPr>
      <w:r>
        <w:rPr>
          <w:lang w:val="en"/>
        </w:rPr>
        <w:t>The study will be conducted in accordance with:</w:t>
      </w:r>
    </w:p>
    <w:p w:rsidR="00CD39A7" w:rsidRDefault="005B3809" w:rsidP="00444F9D">
      <w:pPr>
        <w:pStyle w:val="ListParagraph"/>
        <w:numPr>
          <w:ilvl w:val="0"/>
          <w:numId w:val="32"/>
        </w:numPr>
        <w:tabs>
          <w:tab w:val="left" w:pos="256"/>
        </w:tabs>
        <w:spacing w:line="480" w:lineRule="auto"/>
        <w:ind w:firstLine="0"/>
        <w:jc w:val="both"/>
        <w:rPr>
          <w:sz w:val="24"/>
        </w:rPr>
      </w:pPr>
      <w:r>
        <w:rPr>
          <w:sz w:val="24"/>
          <w:lang w:val="en"/>
        </w:rPr>
        <w:t>The current version of the protocol</w:t>
      </w:r>
    </w:p>
    <w:p w:rsidR="00CD39A7" w:rsidRDefault="005B3809" w:rsidP="00444F9D">
      <w:pPr>
        <w:pStyle w:val="ListParagraph"/>
        <w:numPr>
          <w:ilvl w:val="0"/>
          <w:numId w:val="32"/>
        </w:numPr>
        <w:tabs>
          <w:tab w:val="left" w:pos="256"/>
        </w:tabs>
        <w:spacing w:line="480" w:lineRule="auto"/>
        <w:ind w:left="255" w:hanging="139"/>
        <w:jc w:val="both"/>
        <w:rPr>
          <w:sz w:val="24"/>
        </w:rPr>
      </w:pPr>
      <w:r>
        <w:rPr>
          <w:sz w:val="24"/>
          <w:lang w:val="en"/>
        </w:rPr>
        <w:t>The current version of the Declaration of Helsinki</w:t>
      </w:r>
    </w:p>
    <w:p w:rsidR="00CD39A7" w:rsidRDefault="005B3809" w:rsidP="00444F9D">
      <w:pPr>
        <w:pStyle w:val="ListParagraph"/>
        <w:numPr>
          <w:ilvl w:val="0"/>
          <w:numId w:val="32"/>
        </w:numPr>
        <w:tabs>
          <w:tab w:val="left" w:pos="284"/>
        </w:tabs>
        <w:spacing w:line="480" w:lineRule="auto"/>
        <w:ind w:right="115" w:firstLine="0"/>
        <w:jc w:val="both"/>
        <w:rPr>
          <w:sz w:val="24"/>
        </w:rPr>
      </w:pPr>
      <w:r>
        <w:rPr>
          <w:sz w:val="24"/>
          <w:lang w:val="en"/>
        </w:rPr>
        <w:t>The guidelines of the Bonnes Pratiques Cliniques françaises (French Good Clinical Practice), version dated 30 November 2006.</w:t>
      </w:r>
    </w:p>
    <w:p w:rsidR="00CD39A7" w:rsidRDefault="005B3809" w:rsidP="007468DD">
      <w:pPr>
        <w:pStyle w:val="Heading1"/>
        <w:numPr>
          <w:ilvl w:val="0"/>
          <w:numId w:val="35"/>
        </w:numPr>
        <w:tabs>
          <w:tab w:val="left" w:pos="397"/>
        </w:tabs>
        <w:spacing w:before="360" w:line="480" w:lineRule="auto"/>
        <w:ind w:hanging="280"/>
      </w:pPr>
      <w:bookmarkStart w:id="43" w:name="_bookmark104"/>
      <w:bookmarkStart w:id="44" w:name="2._OBJECTIF(S)_DE_L'ETUDE"/>
      <w:bookmarkEnd w:id="43"/>
      <w:bookmarkEnd w:id="44"/>
      <w:r>
        <w:rPr>
          <w:lang w:val="en"/>
        </w:rPr>
        <w:t>STUDY OBJECTIVE(S)</w:t>
      </w:r>
    </w:p>
    <w:p w:rsidR="00CD39A7" w:rsidRDefault="005B3809" w:rsidP="00AE26C5">
      <w:pPr>
        <w:pStyle w:val="BodyText"/>
        <w:spacing w:line="480" w:lineRule="auto"/>
        <w:ind w:left="115" w:right="116"/>
        <w:jc w:val="both"/>
      </w:pPr>
      <w:r>
        <w:rPr>
          <w:lang w:val="en"/>
        </w:rPr>
        <w:t>This is a therapeutic, multi-center, prospective, randomized, open-label study comparing the efficacy of azathioprine and rituximab in combination with low dose corticosteroids for the treatment of ANCA-associated vasculitis.</w:t>
      </w:r>
    </w:p>
    <w:p w:rsidR="00CD39A7" w:rsidRDefault="005B3809" w:rsidP="00AE26C5">
      <w:pPr>
        <w:pStyle w:val="Heading4"/>
        <w:numPr>
          <w:ilvl w:val="1"/>
          <w:numId w:val="35"/>
        </w:numPr>
        <w:tabs>
          <w:tab w:val="left" w:pos="476"/>
        </w:tabs>
        <w:spacing w:before="240" w:after="120" w:line="480" w:lineRule="auto"/>
      </w:pPr>
      <w:bookmarkStart w:id="45" w:name="_bookmark105"/>
      <w:bookmarkStart w:id="46" w:name="2.1_Objectif_principal"/>
      <w:bookmarkEnd w:id="45"/>
      <w:bookmarkEnd w:id="46"/>
      <w:r>
        <w:rPr>
          <w:lang w:val="en"/>
        </w:rPr>
        <w:t>Primary Objective</w:t>
      </w:r>
    </w:p>
    <w:p w:rsidR="00CD39A7" w:rsidRDefault="005B3809" w:rsidP="00AE26C5">
      <w:pPr>
        <w:pStyle w:val="BodyText"/>
        <w:spacing w:line="480" w:lineRule="auto"/>
        <w:ind w:left="115" w:right="115"/>
        <w:jc w:val="both"/>
      </w:pPr>
      <w:r>
        <w:rPr>
          <w:lang w:val="en"/>
        </w:rPr>
        <w:t xml:space="preserve">The primary objective of this study is to evaluate the efficacy of rituximab as maintenance </w:t>
      </w:r>
      <w:r>
        <w:rPr>
          <w:lang w:val="en"/>
        </w:rPr>
        <w:lastRenderedPageBreak/>
        <w:t>therapy for patients in remission from ANCA-related systemic vasculitis after a first exacerbation or relapse.</w:t>
      </w:r>
    </w:p>
    <w:p w:rsidR="00CD39A7" w:rsidRPr="00143F04" w:rsidRDefault="005B3809" w:rsidP="00B07DEE">
      <w:pPr>
        <w:spacing w:before="74" w:line="480" w:lineRule="auto"/>
        <w:ind w:left="116" w:right="113"/>
        <w:jc w:val="both"/>
        <w:rPr>
          <w:sz w:val="24"/>
        </w:rPr>
      </w:pPr>
      <w:r>
        <w:rPr>
          <w:b/>
          <w:bCs/>
          <w:sz w:val="24"/>
          <w:lang w:val="en"/>
        </w:rPr>
        <w:t xml:space="preserve">An interim analysis will be conducted after half of the patients have been enrolled, and the final analysis will be conducted at M28 (10 months </w:t>
      </w:r>
      <w:r>
        <w:rPr>
          <w:sz w:val="24"/>
          <w:lang w:val="en"/>
        </w:rPr>
        <w:t>after discontinuation of immunosuppressive therapy). This is</w:t>
      </w:r>
      <w:r w:rsidR="00143F04">
        <w:rPr>
          <w:sz w:val="24"/>
          <w:lang w:val="en"/>
        </w:rPr>
        <w:t xml:space="preserve"> </w:t>
      </w:r>
      <w:r>
        <w:rPr>
          <w:lang w:val="en"/>
        </w:rPr>
        <w:t>the study "endpoint".</w:t>
      </w:r>
    </w:p>
    <w:p w:rsidR="00CD39A7" w:rsidRDefault="005B3809" w:rsidP="00B07DEE">
      <w:pPr>
        <w:pStyle w:val="Heading4"/>
        <w:numPr>
          <w:ilvl w:val="1"/>
          <w:numId w:val="35"/>
        </w:numPr>
        <w:tabs>
          <w:tab w:val="left" w:pos="476"/>
        </w:tabs>
        <w:spacing w:before="240" w:after="120" w:line="480" w:lineRule="auto"/>
      </w:pPr>
      <w:bookmarkStart w:id="47" w:name="_bookmark106"/>
      <w:bookmarkStart w:id="48" w:name="2.2_Critère_d’évaluation_principal"/>
      <w:bookmarkEnd w:id="47"/>
      <w:bookmarkEnd w:id="48"/>
      <w:r>
        <w:rPr>
          <w:lang w:val="en"/>
        </w:rPr>
        <w:t>Primary Endpoint</w:t>
      </w:r>
    </w:p>
    <w:p w:rsidR="00CD39A7" w:rsidRDefault="005B3809" w:rsidP="00B07DEE">
      <w:pPr>
        <w:pStyle w:val="BodyText"/>
        <w:spacing w:line="480" w:lineRule="auto"/>
        <w:ind w:left="115" w:right="115"/>
        <w:jc w:val="both"/>
      </w:pPr>
      <w:r>
        <w:rPr>
          <w:lang w:val="en"/>
        </w:rPr>
        <w:t>The primary endpoint of this study is the number of major relapses (defined as the reappearance of clinical and/or biological signs of vasculitis activity which could be life threatening or lead to organ failure or destruction) in each arm at the end of the 28-month study period (18-month maintenance treatment + 10 months of follow-up).</w:t>
      </w:r>
    </w:p>
    <w:p w:rsidR="00CD39A7" w:rsidRDefault="005B3809" w:rsidP="00B07DEE">
      <w:pPr>
        <w:pStyle w:val="Heading4"/>
        <w:numPr>
          <w:ilvl w:val="1"/>
          <w:numId w:val="35"/>
        </w:numPr>
        <w:tabs>
          <w:tab w:val="left" w:pos="476"/>
        </w:tabs>
        <w:spacing w:before="240" w:after="120" w:line="480" w:lineRule="auto"/>
      </w:pPr>
      <w:bookmarkStart w:id="49" w:name="_bookmark107"/>
      <w:bookmarkStart w:id="50" w:name="2.3_Objectifs_secondaires"/>
      <w:bookmarkEnd w:id="49"/>
      <w:bookmarkEnd w:id="50"/>
      <w:r>
        <w:rPr>
          <w:lang w:val="en"/>
        </w:rPr>
        <w:t>Secondary Objectives</w:t>
      </w:r>
    </w:p>
    <w:p w:rsidR="00CD39A7" w:rsidRDefault="005B3809" w:rsidP="00B07DEE">
      <w:pPr>
        <w:pStyle w:val="BodyText"/>
        <w:spacing w:line="480" w:lineRule="auto"/>
        <w:ind w:left="116"/>
        <w:jc w:val="both"/>
      </w:pPr>
      <w:r>
        <w:rPr>
          <w:lang w:val="en"/>
        </w:rPr>
        <w:t>The secondary objectives are:</w:t>
      </w:r>
    </w:p>
    <w:p w:rsidR="00CD39A7" w:rsidRDefault="005B3809" w:rsidP="00B07DEE">
      <w:pPr>
        <w:pStyle w:val="ListParagraph"/>
        <w:numPr>
          <w:ilvl w:val="0"/>
          <w:numId w:val="32"/>
        </w:numPr>
        <w:tabs>
          <w:tab w:val="left" w:pos="308"/>
        </w:tabs>
        <w:spacing w:line="480" w:lineRule="auto"/>
        <w:ind w:right="117" w:firstLine="0"/>
        <w:jc w:val="both"/>
        <w:rPr>
          <w:sz w:val="24"/>
        </w:rPr>
      </w:pPr>
      <w:r>
        <w:rPr>
          <w:sz w:val="24"/>
          <w:lang w:val="en"/>
        </w:rPr>
        <w:t>To evaluate rituximab tolerance compared to azathioprine (reference treatment);</w:t>
      </w:r>
    </w:p>
    <w:p w:rsidR="00CD39A7" w:rsidRDefault="005B3809" w:rsidP="00B07DEE">
      <w:pPr>
        <w:pStyle w:val="ListParagraph"/>
        <w:numPr>
          <w:ilvl w:val="0"/>
          <w:numId w:val="32"/>
        </w:numPr>
        <w:tabs>
          <w:tab w:val="left" w:pos="342"/>
        </w:tabs>
        <w:spacing w:before="10" w:line="480" w:lineRule="auto"/>
        <w:ind w:right="115" w:firstLine="0"/>
        <w:jc w:val="both"/>
        <w:rPr>
          <w:sz w:val="24"/>
        </w:rPr>
      </w:pPr>
      <w:r>
        <w:rPr>
          <w:sz w:val="24"/>
          <w:lang w:val="en"/>
        </w:rPr>
        <w:t>To determine if reappearance of ANCA and/or increase in circulating levels of CD19+ B lymphocytes (CD19+ only for patients in the rituximab arm) is predictive of relapse occurrence.</w:t>
      </w:r>
    </w:p>
    <w:p w:rsidR="00CD39A7" w:rsidRDefault="005B3809" w:rsidP="00B07DEE">
      <w:pPr>
        <w:pStyle w:val="Heading4"/>
        <w:numPr>
          <w:ilvl w:val="1"/>
          <w:numId w:val="35"/>
        </w:numPr>
        <w:tabs>
          <w:tab w:val="left" w:pos="476"/>
        </w:tabs>
        <w:spacing w:before="240" w:after="120" w:line="480" w:lineRule="auto"/>
      </w:pPr>
      <w:bookmarkStart w:id="51" w:name="_bookmark108"/>
      <w:bookmarkStart w:id="52" w:name="2.4_Critères_d’évaluation_secondaires"/>
      <w:bookmarkEnd w:id="51"/>
      <w:bookmarkEnd w:id="52"/>
      <w:r>
        <w:rPr>
          <w:lang w:val="en"/>
        </w:rPr>
        <w:t>Secondary Endpoints</w:t>
      </w:r>
    </w:p>
    <w:p w:rsidR="00CD39A7" w:rsidRDefault="005B3809" w:rsidP="00B07DEE">
      <w:pPr>
        <w:pStyle w:val="BodyText"/>
        <w:spacing w:line="480" w:lineRule="auto"/>
        <w:ind w:left="115"/>
        <w:jc w:val="both"/>
      </w:pPr>
      <w:r>
        <w:rPr>
          <w:lang w:val="en"/>
        </w:rPr>
        <w:t>The secondary endpoints include:</w:t>
      </w:r>
    </w:p>
    <w:p w:rsidR="00CD39A7" w:rsidRDefault="005B3809" w:rsidP="00B07DEE">
      <w:pPr>
        <w:pStyle w:val="ListParagraph"/>
        <w:numPr>
          <w:ilvl w:val="0"/>
          <w:numId w:val="31"/>
        </w:numPr>
        <w:tabs>
          <w:tab w:val="left" w:pos="1556"/>
        </w:tabs>
        <w:spacing w:line="480" w:lineRule="auto"/>
        <w:rPr>
          <w:sz w:val="24"/>
        </w:rPr>
      </w:pPr>
      <w:r>
        <w:rPr>
          <w:sz w:val="24"/>
          <w:lang w:val="en"/>
        </w:rPr>
        <w:t>Number and seriousness of side-effects in each treatment group.</w:t>
      </w:r>
    </w:p>
    <w:p w:rsidR="00CD39A7" w:rsidRDefault="005B3809" w:rsidP="00B07DEE">
      <w:pPr>
        <w:pStyle w:val="ListParagraph"/>
        <w:numPr>
          <w:ilvl w:val="0"/>
          <w:numId w:val="31"/>
        </w:numPr>
        <w:tabs>
          <w:tab w:val="left" w:pos="1556"/>
        </w:tabs>
        <w:spacing w:line="480" w:lineRule="auto"/>
        <w:rPr>
          <w:sz w:val="24"/>
        </w:rPr>
      </w:pPr>
      <w:r>
        <w:rPr>
          <w:sz w:val="24"/>
          <w:lang w:val="en"/>
        </w:rPr>
        <w:t>Number of patients with detectable ANCA in each treatment group.</w:t>
      </w:r>
    </w:p>
    <w:p w:rsidR="00CD39A7" w:rsidRDefault="005B3809" w:rsidP="00B07DEE">
      <w:pPr>
        <w:pStyle w:val="ListParagraph"/>
        <w:numPr>
          <w:ilvl w:val="0"/>
          <w:numId w:val="31"/>
        </w:numPr>
        <w:tabs>
          <w:tab w:val="left" w:pos="1556"/>
        </w:tabs>
        <w:spacing w:line="480" w:lineRule="auto"/>
        <w:rPr>
          <w:sz w:val="24"/>
        </w:rPr>
      </w:pPr>
      <w:r>
        <w:rPr>
          <w:sz w:val="24"/>
          <w:lang w:val="en"/>
        </w:rPr>
        <w:t>Mortality in each treatment group.</w:t>
      </w:r>
    </w:p>
    <w:p w:rsidR="00CD39A7" w:rsidRDefault="005B3809" w:rsidP="00B07DEE">
      <w:pPr>
        <w:pStyle w:val="ListParagraph"/>
        <w:numPr>
          <w:ilvl w:val="0"/>
          <w:numId w:val="31"/>
        </w:numPr>
        <w:tabs>
          <w:tab w:val="left" w:pos="1556"/>
        </w:tabs>
        <w:spacing w:line="480" w:lineRule="auto"/>
        <w:rPr>
          <w:sz w:val="24"/>
        </w:rPr>
      </w:pPr>
      <w:r>
        <w:rPr>
          <w:sz w:val="24"/>
          <w:lang w:val="en"/>
        </w:rPr>
        <w:t>Number of minor relapses in each treatment group.</w:t>
      </w:r>
    </w:p>
    <w:p w:rsidR="00CD39A7" w:rsidRPr="00501B44" w:rsidRDefault="005B3809" w:rsidP="00B25E13">
      <w:pPr>
        <w:pStyle w:val="ListParagraph"/>
        <w:numPr>
          <w:ilvl w:val="0"/>
          <w:numId w:val="31"/>
        </w:numPr>
        <w:tabs>
          <w:tab w:val="left" w:pos="1556"/>
        </w:tabs>
        <w:spacing w:before="69" w:line="446" w:lineRule="auto"/>
        <w:ind w:right="117"/>
        <w:jc w:val="both"/>
        <w:rPr>
          <w:sz w:val="24"/>
        </w:rPr>
      </w:pPr>
      <w:r>
        <w:rPr>
          <w:sz w:val="24"/>
          <w:lang w:val="en"/>
        </w:rPr>
        <w:t>Cumulative corticosteroid dose and duration of treatment in each group 10</w:t>
      </w:r>
      <w:r w:rsidR="00A004F4">
        <w:rPr>
          <w:sz w:val="24"/>
          <w:lang w:val="en"/>
        </w:rPr>
        <w:t> </w:t>
      </w:r>
      <w:r>
        <w:rPr>
          <w:sz w:val="24"/>
          <w:lang w:val="en"/>
        </w:rPr>
        <w:t>months after completion of maintenance therapy.</w:t>
      </w:r>
    </w:p>
    <w:p w:rsidR="00501B44" w:rsidRDefault="00501B44" w:rsidP="00501B44">
      <w:pPr>
        <w:pStyle w:val="ListParagraph"/>
        <w:tabs>
          <w:tab w:val="left" w:pos="1556"/>
        </w:tabs>
        <w:spacing w:before="69" w:line="446" w:lineRule="auto"/>
        <w:ind w:left="1556" w:right="117" w:firstLine="0"/>
        <w:jc w:val="both"/>
        <w:rPr>
          <w:sz w:val="24"/>
        </w:rPr>
      </w:pPr>
    </w:p>
    <w:p w:rsidR="00CD39A7" w:rsidRPr="00A51DF5" w:rsidRDefault="005B3809" w:rsidP="00A51DF5">
      <w:pPr>
        <w:pStyle w:val="ListParagraph"/>
        <w:numPr>
          <w:ilvl w:val="0"/>
          <w:numId w:val="31"/>
        </w:numPr>
        <w:tabs>
          <w:tab w:val="left" w:pos="1556"/>
        </w:tabs>
        <w:spacing w:before="47" w:line="480" w:lineRule="auto"/>
        <w:ind w:right="115"/>
        <w:jc w:val="both"/>
        <w:rPr>
          <w:sz w:val="24"/>
          <w:szCs w:val="24"/>
        </w:rPr>
      </w:pPr>
      <w:r w:rsidRPr="00A51DF5">
        <w:rPr>
          <w:sz w:val="24"/>
          <w:szCs w:val="24"/>
          <w:lang w:val="en"/>
        </w:rPr>
        <w:t>The same endpoints will be assessed 6 months after the completion of maintenance therapy (post-treatment observation phase). Patients experiencing a relapse during this phase of the study will be treated with immunosuppressants in accordance with Good Clinical Practice (GCP), or with a new rituximab</w:t>
      </w:r>
      <w:r w:rsidR="003446CA" w:rsidRPr="00A51DF5">
        <w:rPr>
          <w:sz w:val="24"/>
          <w:szCs w:val="24"/>
          <w:lang w:val="en"/>
        </w:rPr>
        <w:t xml:space="preserve"> </w:t>
      </w:r>
      <w:r w:rsidRPr="00A51DF5">
        <w:rPr>
          <w:sz w:val="24"/>
          <w:szCs w:val="24"/>
          <w:lang w:val="en"/>
        </w:rPr>
        <w:t>infusion (outside of the protocol) for those in the rituximab arm.</w:t>
      </w:r>
    </w:p>
    <w:p w:rsidR="00CD39A7" w:rsidRDefault="005B3809" w:rsidP="00A51DF5">
      <w:pPr>
        <w:pStyle w:val="Heading1"/>
        <w:numPr>
          <w:ilvl w:val="0"/>
          <w:numId w:val="35"/>
        </w:numPr>
        <w:tabs>
          <w:tab w:val="left" w:pos="397"/>
        </w:tabs>
        <w:spacing w:before="360" w:line="480" w:lineRule="auto"/>
        <w:ind w:hanging="280"/>
      </w:pPr>
      <w:bookmarkStart w:id="53" w:name="_bookmark109"/>
      <w:bookmarkStart w:id="54" w:name="3._CONCEPTION_DE_L’ETUDE"/>
      <w:bookmarkEnd w:id="53"/>
      <w:bookmarkEnd w:id="54"/>
      <w:r>
        <w:rPr>
          <w:lang w:val="en"/>
        </w:rPr>
        <w:t>STUDY DESIGN</w:t>
      </w:r>
    </w:p>
    <w:p w:rsidR="00CD39A7" w:rsidRDefault="005B3809" w:rsidP="00A51DF5">
      <w:pPr>
        <w:pStyle w:val="Heading4"/>
        <w:numPr>
          <w:ilvl w:val="1"/>
          <w:numId w:val="35"/>
        </w:numPr>
        <w:tabs>
          <w:tab w:val="left" w:pos="476"/>
        </w:tabs>
        <w:spacing w:after="120" w:line="480" w:lineRule="auto"/>
        <w:ind w:left="116" w:firstLine="0"/>
      </w:pPr>
      <w:bookmarkStart w:id="55" w:name="_bookmark110"/>
      <w:bookmarkStart w:id="56" w:name="3.1_Méthodologie"/>
      <w:bookmarkEnd w:id="55"/>
      <w:bookmarkEnd w:id="56"/>
      <w:r>
        <w:rPr>
          <w:lang w:val="en"/>
        </w:rPr>
        <w:t>Methodology</w:t>
      </w:r>
    </w:p>
    <w:p w:rsidR="00CD39A7" w:rsidRDefault="005B3809" w:rsidP="00A51DF5">
      <w:pPr>
        <w:pStyle w:val="BodyText"/>
        <w:spacing w:before="1" w:line="480" w:lineRule="auto"/>
        <w:ind w:left="115" w:right="113"/>
        <w:jc w:val="both"/>
      </w:pPr>
      <w:r>
        <w:rPr>
          <w:lang w:val="en"/>
        </w:rPr>
        <w:t>The MAINRITSAN study is a phase III, prospective, international, multi-center, comparative, controlled, randomized, open-label study comparing azathioprine and rituximab in combination with low-dose corticosteroids for the treatment of ANCA-associated vasculitis. The study will be conducted with two parallel arms.</w:t>
      </w:r>
    </w:p>
    <w:p w:rsidR="00CD39A7" w:rsidRDefault="00CD39A7" w:rsidP="00A51DF5">
      <w:pPr>
        <w:spacing w:line="480" w:lineRule="auto"/>
        <w:jc w:val="both"/>
      </w:pPr>
    </w:p>
    <w:p w:rsidR="009028B4" w:rsidRDefault="009028B4" w:rsidP="00A51DF5">
      <w:pPr>
        <w:spacing w:line="480" w:lineRule="auto"/>
        <w:jc w:val="both"/>
        <w:sectPr w:rsidR="009028B4">
          <w:pgSz w:w="11910" w:h="16840"/>
          <w:pgMar w:top="1320" w:right="1300" w:bottom="1200" w:left="1300" w:header="0" w:footer="952" w:gutter="0"/>
          <w:cols w:space="720"/>
        </w:sectPr>
      </w:pPr>
    </w:p>
    <w:p w:rsidR="00CD39A7" w:rsidRDefault="005B3809" w:rsidP="003446CA">
      <w:pPr>
        <w:pStyle w:val="BodyText"/>
        <w:pageBreakBefore/>
        <w:spacing w:before="69"/>
        <w:ind w:left="113"/>
      </w:pPr>
      <w:r>
        <w:rPr>
          <w:lang w:val="en"/>
        </w:rPr>
        <w:lastRenderedPageBreak/>
        <w:t>The design of the study is as follows:</w:t>
      </w:r>
    </w:p>
    <w:p w:rsidR="00CD39A7" w:rsidRDefault="00CD39A7">
      <w:pPr>
        <w:pStyle w:val="BodyText"/>
        <w:rPr>
          <w:sz w:val="20"/>
        </w:rPr>
      </w:pPr>
    </w:p>
    <w:p w:rsidR="00CD39A7" w:rsidRDefault="003446CA">
      <w:pPr>
        <w:pStyle w:val="BodyText"/>
        <w:spacing w:before="11"/>
        <w:rPr>
          <w:sz w:val="21"/>
        </w:rPr>
      </w:pPr>
      <w:r>
        <w:rPr>
          <w:noProof/>
          <w:lang w:val="en-GB" w:eastAsia="en-GB"/>
        </w:rPr>
        <w:drawing>
          <wp:inline distT="0" distB="0" distL="0" distR="0" wp14:anchorId="71249377" wp14:editId="233A2668">
            <wp:extent cx="5943600" cy="461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614545"/>
                    </a:xfrm>
                    <a:prstGeom prst="rect">
                      <a:avLst/>
                    </a:prstGeom>
                  </pic:spPr>
                </pic:pic>
              </a:graphicData>
            </a:graphic>
          </wp:inline>
        </w:drawing>
      </w:r>
    </w:p>
    <w:p w:rsidR="00347A36" w:rsidRDefault="00347A36">
      <w:pPr>
        <w:pStyle w:val="BodyText"/>
        <w:spacing w:before="11"/>
        <w:rPr>
          <w:sz w:val="21"/>
        </w:rPr>
      </w:pPr>
    </w:p>
    <w:p w:rsidR="00347A36" w:rsidRDefault="00347A36">
      <w:pPr>
        <w:pStyle w:val="BodyText"/>
        <w:spacing w:before="11"/>
        <w:rPr>
          <w:sz w:val="21"/>
        </w:rPr>
      </w:pPr>
    </w:p>
    <w:p w:rsidR="00CD39A7" w:rsidRDefault="005B3809" w:rsidP="009028B4">
      <w:pPr>
        <w:pStyle w:val="Heading4"/>
        <w:numPr>
          <w:ilvl w:val="1"/>
          <w:numId w:val="35"/>
        </w:numPr>
        <w:tabs>
          <w:tab w:val="left" w:pos="476"/>
        </w:tabs>
        <w:spacing w:before="240" w:after="120" w:line="480" w:lineRule="auto"/>
      </w:pPr>
      <w:bookmarkStart w:id="57" w:name="3.2_Calendrier_prévisionnel__de_l’étude"/>
      <w:bookmarkEnd w:id="57"/>
      <w:r>
        <w:rPr>
          <w:lang w:val="en"/>
        </w:rPr>
        <w:t>Projected Study Schedule</w:t>
      </w:r>
    </w:p>
    <w:p w:rsidR="00CD39A7" w:rsidRDefault="005B3809" w:rsidP="009028B4">
      <w:pPr>
        <w:pStyle w:val="BodyText"/>
        <w:spacing w:line="480" w:lineRule="auto"/>
        <w:ind w:left="116"/>
      </w:pPr>
      <w:r>
        <w:rPr>
          <w:lang w:val="en"/>
        </w:rPr>
        <w:t>Patients will be enrolled over a period of 2 years.</w:t>
      </w:r>
    </w:p>
    <w:p w:rsidR="00CD39A7" w:rsidRDefault="005B3809" w:rsidP="009028B4">
      <w:pPr>
        <w:pStyle w:val="BodyText"/>
        <w:spacing w:before="1" w:line="480" w:lineRule="auto"/>
        <w:ind w:left="116"/>
      </w:pPr>
      <w:r>
        <w:rPr>
          <w:lang w:val="en"/>
        </w:rPr>
        <w:t>A 28-month period for following the patients will begin at the onset of the maintenance therapy.</w:t>
      </w:r>
    </w:p>
    <w:p w:rsidR="00CD39A7" w:rsidRDefault="005B3809" w:rsidP="009028B4">
      <w:pPr>
        <w:pStyle w:val="ListParagraph"/>
        <w:numPr>
          <w:ilvl w:val="2"/>
          <w:numId w:val="35"/>
        </w:numPr>
        <w:tabs>
          <w:tab w:val="left" w:pos="835"/>
          <w:tab w:val="left" w:pos="836"/>
        </w:tabs>
        <w:spacing w:line="480" w:lineRule="auto"/>
        <w:rPr>
          <w:sz w:val="24"/>
        </w:rPr>
      </w:pPr>
      <w:r>
        <w:rPr>
          <w:sz w:val="24"/>
          <w:lang w:val="en"/>
        </w:rPr>
        <w:t>Total study duration: 52 months</w:t>
      </w:r>
    </w:p>
    <w:p w:rsidR="00CD39A7" w:rsidRDefault="005B3809" w:rsidP="009028B4">
      <w:pPr>
        <w:pStyle w:val="ListParagraph"/>
        <w:numPr>
          <w:ilvl w:val="2"/>
          <w:numId w:val="35"/>
        </w:numPr>
        <w:tabs>
          <w:tab w:val="left" w:pos="836"/>
        </w:tabs>
        <w:spacing w:line="480" w:lineRule="auto"/>
        <w:ind w:right="777"/>
        <w:jc w:val="both"/>
        <w:rPr>
          <w:sz w:val="24"/>
        </w:rPr>
      </w:pPr>
      <w:r>
        <w:rPr>
          <w:sz w:val="24"/>
          <w:lang w:val="en"/>
        </w:rPr>
        <w:t>Expected enrollment period: 2 years. This period may be extended if the number of desired participants is not reached after 2 years.</w:t>
      </w:r>
    </w:p>
    <w:p w:rsidR="00CD39A7" w:rsidRDefault="005B3809" w:rsidP="009028B4">
      <w:pPr>
        <w:pStyle w:val="ListParagraph"/>
        <w:numPr>
          <w:ilvl w:val="2"/>
          <w:numId w:val="35"/>
        </w:numPr>
        <w:tabs>
          <w:tab w:val="left" w:pos="836"/>
        </w:tabs>
        <w:spacing w:before="31" w:line="480" w:lineRule="auto"/>
        <w:ind w:right="775"/>
        <w:jc w:val="both"/>
        <w:rPr>
          <w:sz w:val="24"/>
        </w:rPr>
      </w:pPr>
      <w:r>
        <w:rPr>
          <w:sz w:val="24"/>
          <w:lang w:val="en"/>
        </w:rPr>
        <w:t>Duration following the patients: 28 months (18 months of treatment + 10 months of follow-up), or less if complete remission has not been achieved, in the event of relapse, or if the patient was withdrawn from the study for another reason.</w:t>
      </w:r>
    </w:p>
    <w:p w:rsidR="00CD39A7" w:rsidRDefault="00CD39A7" w:rsidP="009028B4">
      <w:pPr>
        <w:spacing w:line="480" w:lineRule="auto"/>
        <w:jc w:val="both"/>
        <w:rPr>
          <w:sz w:val="24"/>
        </w:rPr>
        <w:sectPr w:rsidR="00CD39A7">
          <w:type w:val="continuous"/>
          <w:pgSz w:w="11910" w:h="16840"/>
          <w:pgMar w:top="1500" w:right="640" w:bottom="280" w:left="1300" w:header="720" w:footer="720" w:gutter="0"/>
          <w:cols w:space="720"/>
        </w:sectPr>
      </w:pPr>
    </w:p>
    <w:p w:rsidR="00CD39A7" w:rsidRDefault="005B3809" w:rsidP="00347A36">
      <w:pPr>
        <w:pStyle w:val="Heading4"/>
        <w:numPr>
          <w:ilvl w:val="1"/>
          <w:numId w:val="35"/>
        </w:numPr>
        <w:tabs>
          <w:tab w:val="left" w:pos="476"/>
        </w:tabs>
        <w:spacing w:before="240" w:after="120" w:line="480" w:lineRule="auto"/>
      </w:pPr>
      <w:bookmarkStart w:id="58" w:name="_bookmark112"/>
      <w:bookmarkStart w:id="59" w:name="3.3_Suivi_des_patients_:_visites_et_exam"/>
      <w:bookmarkEnd w:id="58"/>
      <w:bookmarkEnd w:id="59"/>
      <w:r>
        <w:rPr>
          <w:lang w:val="en"/>
        </w:rPr>
        <w:lastRenderedPageBreak/>
        <w:t>Patient Follow-up: Visits and Examinations</w:t>
      </w:r>
    </w:p>
    <w:p w:rsidR="00CD39A7" w:rsidRDefault="005B3809" w:rsidP="00347A36">
      <w:pPr>
        <w:pStyle w:val="ListParagraph"/>
        <w:numPr>
          <w:ilvl w:val="2"/>
          <w:numId w:val="35"/>
        </w:numPr>
        <w:tabs>
          <w:tab w:val="left" w:pos="835"/>
          <w:tab w:val="left" w:pos="836"/>
        </w:tabs>
        <w:spacing w:line="480" w:lineRule="auto"/>
        <w:rPr>
          <w:b/>
          <w:sz w:val="24"/>
        </w:rPr>
      </w:pPr>
      <w:r>
        <w:rPr>
          <w:b/>
          <w:bCs/>
          <w:sz w:val="24"/>
          <w:lang w:val="en"/>
        </w:rPr>
        <w:t>Screening Visit:</w:t>
      </w:r>
    </w:p>
    <w:p w:rsidR="00CD39A7" w:rsidRDefault="005B3809" w:rsidP="00347A36">
      <w:pPr>
        <w:pStyle w:val="ListParagraph"/>
        <w:numPr>
          <w:ilvl w:val="0"/>
          <w:numId w:val="30"/>
        </w:numPr>
        <w:tabs>
          <w:tab w:val="left" w:pos="835"/>
          <w:tab w:val="left" w:pos="836"/>
        </w:tabs>
        <w:spacing w:line="480" w:lineRule="auto"/>
        <w:rPr>
          <w:sz w:val="24"/>
        </w:rPr>
      </w:pPr>
      <w:r>
        <w:rPr>
          <w:sz w:val="24"/>
          <w:lang w:val="en"/>
        </w:rPr>
        <w:t>Serology for HIV, hepatitis B, and hepatitis C</w:t>
      </w:r>
    </w:p>
    <w:p w:rsidR="00CD39A7" w:rsidRDefault="005B3809" w:rsidP="00347A36">
      <w:pPr>
        <w:pStyle w:val="ListParagraph"/>
        <w:numPr>
          <w:ilvl w:val="0"/>
          <w:numId w:val="30"/>
        </w:numPr>
        <w:tabs>
          <w:tab w:val="left" w:pos="835"/>
          <w:tab w:val="left" w:pos="836"/>
        </w:tabs>
        <w:spacing w:line="480" w:lineRule="auto"/>
        <w:rPr>
          <w:sz w:val="24"/>
        </w:rPr>
      </w:pPr>
      <w:r>
        <w:rPr>
          <w:sz w:val="24"/>
          <w:lang w:val="en"/>
        </w:rPr>
        <w:t>Confirmation of the patient's immunization status</w:t>
      </w:r>
    </w:p>
    <w:p w:rsidR="00CD39A7" w:rsidRDefault="005B3809" w:rsidP="00347A36">
      <w:pPr>
        <w:pStyle w:val="Heading4"/>
        <w:numPr>
          <w:ilvl w:val="2"/>
          <w:numId w:val="35"/>
        </w:numPr>
        <w:tabs>
          <w:tab w:val="left" w:pos="835"/>
          <w:tab w:val="left" w:pos="836"/>
        </w:tabs>
        <w:spacing w:before="360" w:line="480" w:lineRule="auto"/>
        <w:jc w:val="left"/>
      </w:pPr>
      <w:r>
        <w:rPr>
          <w:lang w:val="en"/>
        </w:rPr>
        <w:t>Enrollment Visit: Initial Test Panel: D1</w:t>
      </w:r>
    </w:p>
    <w:p w:rsidR="00CD39A7" w:rsidRDefault="005B3809" w:rsidP="00347A36">
      <w:pPr>
        <w:pStyle w:val="ListParagraph"/>
        <w:numPr>
          <w:ilvl w:val="0"/>
          <w:numId w:val="30"/>
        </w:numPr>
        <w:tabs>
          <w:tab w:val="left" w:pos="835"/>
          <w:tab w:val="left" w:pos="836"/>
        </w:tabs>
        <w:spacing w:line="480" w:lineRule="auto"/>
        <w:rPr>
          <w:sz w:val="24"/>
        </w:rPr>
      </w:pPr>
      <w:r>
        <w:rPr>
          <w:sz w:val="24"/>
          <w:lang w:val="en"/>
        </w:rPr>
        <w:t>Collection of clinical data and diagnostic test results at the initial diagnosis</w:t>
      </w:r>
    </w:p>
    <w:p w:rsidR="00CD39A7" w:rsidRDefault="005B3809" w:rsidP="00347A36">
      <w:pPr>
        <w:pStyle w:val="ListParagraph"/>
        <w:numPr>
          <w:ilvl w:val="0"/>
          <w:numId w:val="30"/>
        </w:numPr>
        <w:tabs>
          <w:tab w:val="left" w:pos="835"/>
          <w:tab w:val="left" w:pos="836"/>
        </w:tabs>
        <w:spacing w:line="480" w:lineRule="auto"/>
        <w:rPr>
          <w:sz w:val="24"/>
        </w:rPr>
      </w:pPr>
      <w:r>
        <w:rPr>
          <w:sz w:val="24"/>
          <w:lang w:val="en"/>
        </w:rPr>
        <w:t>Collection of clinical signs and diagnostic tests from the last episode of disease exacerbation</w:t>
      </w:r>
    </w:p>
    <w:p w:rsidR="00CD39A7" w:rsidRDefault="005B3809" w:rsidP="00347A36">
      <w:pPr>
        <w:pStyle w:val="ListParagraph"/>
        <w:numPr>
          <w:ilvl w:val="0"/>
          <w:numId w:val="30"/>
        </w:numPr>
        <w:tabs>
          <w:tab w:val="left" w:pos="835"/>
          <w:tab w:val="left" w:pos="836"/>
        </w:tabs>
        <w:spacing w:line="480" w:lineRule="auto"/>
        <w:ind w:right="117"/>
        <w:rPr>
          <w:sz w:val="24"/>
        </w:rPr>
      </w:pPr>
      <w:r>
        <w:rPr>
          <w:sz w:val="24"/>
          <w:lang w:val="en"/>
        </w:rPr>
        <w:t>Record treatment for most recent episode of disease presentation (newly diagnosed or last relapse before enrollment)</w:t>
      </w:r>
    </w:p>
    <w:p w:rsidR="00CD39A7" w:rsidRDefault="005B3809" w:rsidP="00347A36">
      <w:pPr>
        <w:pStyle w:val="ListParagraph"/>
        <w:numPr>
          <w:ilvl w:val="0"/>
          <w:numId w:val="30"/>
        </w:numPr>
        <w:tabs>
          <w:tab w:val="left" w:pos="835"/>
          <w:tab w:val="left" w:pos="836"/>
        </w:tabs>
        <w:spacing w:before="9" w:line="480" w:lineRule="auto"/>
        <w:rPr>
          <w:sz w:val="24"/>
        </w:rPr>
      </w:pPr>
      <w:r>
        <w:rPr>
          <w:sz w:val="24"/>
          <w:lang w:val="en"/>
        </w:rPr>
        <w:t>Record treatments given at the initial diagnosis</w:t>
      </w:r>
    </w:p>
    <w:p w:rsidR="00CD39A7" w:rsidRDefault="005B3809" w:rsidP="00347A36">
      <w:pPr>
        <w:pStyle w:val="ListParagraph"/>
        <w:numPr>
          <w:ilvl w:val="0"/>
          <w:numId w:val="30"/>
        </w:numPr>
        <w:tabs>
          <w:tab w:val="left" w:pos="835"/>
          <w:tab w:val="left" w:pos="836"/>
        </w:tabs>
        <w:spacing w:line="480" w:lineRule="auto"/>
        <w:rPr>
          <w:sz w:val="24"/>
        </w:rPr>
      </w:pPr>
      <w:r>
        <w:rPr>
          <w:sz w:val="24"/>
          <w:lang w:val="en"/>
        </w:rPr>
        <w:t>Collection of clinical data and results of diagnostic results at enrolment (remission)</w:t>
      </w:r>
    </w:p>
    <w:p w:rsidR="00CD39A7" w:rsidRDefault="005B3809" w:rsidP="00347A36">
      <w:pPr>
        <w:pStyle w:val="BodyText"/>
        <w:spacing w:before="360" w:line="480" w:lineRule="auto"/>
        <w:ind w:left="115"/>
      </w:pPr>
      <w:r>
        <w:rPr>
          <w:lang w:val="en"/>
        </w:rPr>
        <w:t>The initial test panel described below will be performed within 15 days of study enrollment:</w:t>
      </w:r>
    </w:p>
    <w:p w:rsidR="00CD39A7" w:rsidRDefault="005B3809" w:rsidP="00347A36">
      <w:pPr>
        <w:pStyle w:val="ListParagraph"/>
        <w:numPr>
          <w:ilvl w:val="2"/>
          <w:numId w:val="35"/>
        </w:numPr>
        <w:tabs>
          <w:tab w:val="left" w:pos="836"/>
        </w:tabs>
        <w:spacing w:before="15" w:line="480" w:lineRule="auto"/>
        <w:ind w:right="115"/>
        <w:jc w:val="both"/>
        <w:rPr>
          <w:sz w:val="24"/>
        </w:rPr>
      </w:pPr>
      <w:r>
        <w:rPr>
          <w:sz w:val="24"/>
          <w:lang w:val="en"/>
        </w:rPr>
        <w:t>Standard laboratory tests: complete blood count, PT/aPTT, blood electrolytes, renal function tests (creatinine and creatinine clearance using the MDRD formula), lymphocyte immunophenotyping for CD3, CD4, CD8 and CD19, urine sediment testing (proteinuria per sample and/or over 24 h), hematuria, leukocyturia and red cell casts), CRP, liver function (transaminases, alkaline phosphatase, GGT), protein electrophoresis, albumin, cryoglobulinemia.</w:t>
      </w:r>
    </w:p>
    <w:p w:rsidR="00CD39A7" w:rsidRDefault="005B3809" w:rsidP="00347A36">
      <w:pPr>
        <w:pStyle w:val="ListParagraph"/>
        <w:numPr>
          <w:ilvl w:val="2"/>
          <w:numId w:val="35"/>
        </w:numPr>
        <w:tabs>
          <w:tab w:val="left" w:pos="895"/>
          <w:tab w:val="left" w:pos="896"/>
        </w:tabs>
        <w:spacing w:before="15" w:line="480" w:lineRule="auto"/>
        <w:ind w:left="896" w:hanging="420"/>
        <w:rPr>
          <w:sz w:val="24"/>
        </w:rPr>
      </w:pPr>
      <w:r>
        <w:rPr>
          <w:sz w:val="24"/>
          <w:lang w:val="en"/>
        </w:rPr>
        <w:t>ANCA by IF and ELISA</w:t>
      </w:r>
    </w:p>
    <w:p w:rsidR="00CD39A7" w:rsidRDefault="005B3809" w:rsidP="00347A36">
      <w:pPr>
        <w:pStyle w:val="ListParagraph"/>
        <w:numPr>
          <w:ilvl w:val="2"/>
          <w:numId w:val="35"/>
        </w:numPr>
        <w:tabs>
          <w:tab w:val="left" w:pos="835"/>
          <w:tab w:val="left" w:pos="836"/>
        </w:tabs>
        <w:spacing w:line="480" w:lineRule="auto"/>
        <w:ind w:right="119"/>
        <w:rPr>
          <w:sz w:val="24"/>
        </w:rPr>
      </w:pPr>
      <w:r>
        <w:rPr>
          <w:sz w:val="24"/>
          <w:lang w:val="en"/>
        </w:rPr>
        <w:t>For rituximab patients, dose of immunoglobulins and CD19+ titres before each infusion</w:t>
      </w:r>
    </w:p>
    <w:p w:rsidR="00CD39A7" w:rsidRDefault="00CD39A7" w:rsidP="00347A36">
      <w:pPr>
        <w:spacing w:line="480" w:lineRule="auto"/>
        <w:rPr>
          <w:sz w:val="24"/>
        </w:rPr>
        <w:sectPr w:rsidR="00CD39A7">
          <w:pgSz w:w="11910" w:h="16840"/>
          <w:pgMar w:top="1320" w:right="1300" w:bottom="1200" w:left="1300" w:header="0" w:footer="952" w:gutter="0"/>
          <w:cols w:space="720"/>
        </w:sectPr>
      </w:pPr>
    </w:p>
    <w:p w:rsidR="00CD39A7" w:rsidRDefault="005B3809" w:rsidP="00347A36">
      <w:pPr>
        <w:pStyle w:val="ListParagraph"/>
        <w:numPr>
          <w:ilvl w:val="2"/>
          <w:numId w:val="35"/>
        </w:numPr>
        <w:tabs>
          <w:tab w:val="left" w:pos="836"/>
        </w:tabs>
        <w:spacing w:before="71" w:line="480" w:lineRule="auto"/>
        <w:ind w:right="115"/>
        <w:jc w:val="both"/>
        <w:rPr>
          <w:sz w:val="24"/>
        </w:rPr>
      </w:pPr>
      <w:r>
        <w:rPr>
          <w:sz w:val="24"/>
          <w:lang w:val="en"/>
        </w:rPr>
        <w:lastRenderedPageBreak/>
        <w:t>For azathioprine patients, protein electrophoresis and, if protein electrophoresis reveals hypogammaglobulinemia, quantitative immunoglobulin testing will be performed.</w:t>
      </w:r>
    </w:p>
    <w:p w:rsidR="00CD39A7" w:rsidRDefault="005B3809" w:rsidP="00347A36">
      <w:pPr>
        <w:pStyle w:val="ListParagraph"/>
        <w:numPr>
          <w:ilvl w:val="0"/>
          <w:numId w:val="30"/>
        </w:numPr>
        <w:tabs>
          <w:tab w:val="left" w:pos="836"/>
        </w:tabs>
        <w:spacing w:before="17" w:line="480" w:lineRule="auto"/>
        <w:ind w:right="119"/>
        <w:jc w:val="both"/>
        <w:rPr>
          <w:sz w:val="24"/>
        </w:rPr>
      </w:pPr>
      <w:r>
        <w:rPr>
          <w:sz w:val="24"/>
          <w:lang w:val="en"/>
        </w:rPr>
        <w:t>Serum bank, Plasma bank, Cell bank, and DNA bank creation: 7 ml blood sample for each bank.</w:t>
      </w:r>
    </w:p>
    <w:p w:rsidR="00CD39A7" w:rsidRDefault="005B3809" w:rsidP="00347A36">
      <w:pPr>
        <w:pStyle w:val="ListParagraph"/>
        <w:numPr>
          <w:ilvl w:val="0"/>
          <w:numId w:val="30"/>
        </w:numPr>
        <w:tabs>
          <w:tab w:val="left" w:pos="835"/>
          <w:tab w:val="left" w:pos="836"/>
        </w:tabs>
        <w:spacing w:before="7" w:line="480" w:lineRule="auto"/>
        <w:rPr>
          <w:sz w:val="24"/>
        </w:rPr>
      </w:pPr>
      <w:r>
        <w:rPr>
          <w:sz w:val="24"/>
          <w:lang w:val="en"/>
        </w:rPr>
        <w:t>BVAS</w:t>
      </w:r>
    </w:p>
    <w:p w:rsidR="00CD39A7" w:rsidRDefault="005B3809" w:rsidP="00347A36">
      <w:pPr>
        <w:pStyle w:val="ListParagraph"/>
        <w:numPr>
          <w:ilvl w:val="0"/>
          <w:numId w:val="30"/>
        </w:numPr>
        <w:tabs>
          <w:tab w:val="left" w:pos="835"/>
          <w:tab w:val="left" w:pos="836"/>
        </w:tabs>
        <w:spacing w:line="480" w:lineRule="auto"/>
        <w:rPr>
          <w:sz w:val="24"/>
        </w:rPr>
      </w:pPr>
      <w:r>
        <w:rPr>
          <w:sz w:val="24"/>
          <w:lang w:val="en"/>
        </w:rPr>
        <w:t>VDI</w:t>
      </w:r>
    </w:p>
    <w:p w:rsidR="00CD39A7" w:rsidRDefault="005B3809" w:rsidP="00347A36">
      <w:pPr>
        <w:pStyle w:val="ListParagraph"/>
        <w:numPr>
          <w:ilvl w:val="0"/>
          <w:numId w:val="30"/>
        </w:numPr>
        <w:tabs>
          <w:tab w:val="left" w:pos="836"/>
        </w:tabs>
        <w:spacing w:line="480" w:lineRule="auto"/>
        <w:ind w:right="114"/>
        <w:jc w:val="both"/>
        <w:rPr>
          <w:sz w:val="24"/>
        </w:rPr>
      </w:pPr>
      <w:r>
        <w:rPr>
          <w:sz w:val="24"/>
          <w:lang w:val="en"/>
        </w:rPr>
        <w:t>Two questionnaires (quality of life [SF36] and the physical function health assessment questionnaire [HAQ]) will be printed from a CleanWEB electronic case report form (e-CRF), completed by the patient and then submitted to the investigator.</w:t>
      </w:r>
      <w:r>
        <w:rPr>
          <w:b/>
          <w:bCs/>
          <w:sz w:val="24"/>
          <w:lang w:val="en"/>
        </w:rPr>
        <w:t xml:space="preserve"> </w:t>
      </w:r>
      <w:r>
        <w:rPr>
          <w:sz w:val="24"/>
          <w:lang w:val="en"/>
        </w:rPr>
        <w:t>The investigator will send these two questionnaires to URC Paris Centre, using a prepaid, stamped envelope provided to the patient at the enrolment visit.</w:t>
      </w:r>
    </w:p>
    <w:p w:rsidR="00CD39A7" w:rsidRDefault="005B3809" w:rsidP="00AC0B66">
      <w:pPr>
        <w:pStyle w:val="Heading4"/>
        <w:numPr>
          <w:ilvl w:val="2"/>
          <w:numId w:val="35"/>
        </w:numPr>
        <w:tabs>
          <w:tab w:val="left" w:pos="836"/>
        </w:tabs>
        <w:spacing w:before="360" w:line="480" w:lineRule="auto"/>
        <w:ind w:right="117"/>
      </w:pPr>
      <w:r>
        <w:rPr>
          <w:lang w:val="en"/>
        </w:rPr>
        <w:t>D15 Follow-up Visit (only for patients receiving rituximab): Infusion No. 02 of Rituximab</w:t>
      </w:r>
    </w:p>
    <w:p w:rsidR="00CD39A7" w:rsidRDefault="005B3809" w:rsidP="00347A36">
      <w:pPr>
        <w:pStyle w:val="ListParagraph"/>
        <w:numPr>
          <w:ilvl w:val="0"/>
          <w:numId w:val="30"/>
        </w:numPr>
        <w:tabs>
          <w:tab w:val="left" w:pos="835"/>
          <w:tab w:val="left" w:pos="836"/>
        </w:tabs>
        <w:spacing w:before="23" w:line="480" w:lineRule="auto"/>
        <w:rPr>
          <w:sz w:val="24"/>
        </w:rPr>
      </w:pPr>
      <w:r>
        <w:rPr>
          <w:sz w:val="24"/>
          <w:lang w:val="en"/>
        </w:rPr>
        <w:t>Clinical examination</w:t>
      </w:r>
    </w:p>
    <w:p w:rsidR="00CD39A7" w:rsidRDefault="005B3809" w:rsidP="00347A36">
      <w:pPr>
        <w:pStyle w:val="ListParagraph"/>
        <w:numPr>
          <w:ilvl w:val="0"/>
          <w:numId w:val="30"/>
        </w:numPr>
        <w:tabs>
          <w:tab w:val="left" w:pos="835"/>
          <w:tab w:val="left" w:pos="836"/>
        </w:tabs>
        <w:spacing w:before="1" w:line="480" w:lineRule="auto"/>
        <w:rPr>
          <w:sz w:val="24"/>
        </w:rPr>
      </w:pPr>
      <w:r>
        <w:rPr>
          <w:sz w:val="24"/>
          <w:lang w:val="en"/>
        </w:rPr>
        <w:t xml:space="preserve">Laboratory tests: Complete blood count, CRP, blood electrolytes, PT/aPTT, renal function tests </w:t>
      </w:r>
    </w:p>
    <w:p w:rsidR="00CD39A7" w:rsidRDefault="005B3809" w:rsidP="00347A36">
      <w:pPr>
        <w:pStyle w:val="ListParagraph"/>
        <w:numPr>
          <w:ilvl w:val="2"/>
          <w:numId w:val="35"/>
        </w:numPr>
        <w:tabs>
          <w:tab w:val="left" w:pos="836"/>
        </w:tabs>
        <w:spacing w:line="480" w:lineRule="auto"/>
        <w:ind w:right="115"/>
        <w:jc w:val="both"/>
        <w:rPr>
          <w:sz w:val="24"/>
        </w:rPr>
      </w:pPr>
      <w:r>
        <w:rPr>
          <w:sz w:val="24"/>
          <w:lang w:val="en"/>
        </w:rPr>
        <w:t>(creatinine and creatinine clearance using the MDRD formula), lymphocyte immunophenotyping for CD3, CD4, CD8 and CD19, immunoglobulin titres prior to infusion</w:t>
      </w:r>
    </w:p>
    <w:p w:rsidR="00CD39A7" w:rsidRDefault="005B3809" w:rsidP="00347A36">
      <w:pPr>
        <w:pStyle w:val="ListParagraph"/>
        <w:numPr>
          <w:ilvl w:val="0"/>
          <w:numId w:val="30"/>
        </w:numPr>
        <w:tabs>
          <w:tab w:val="left" w:pos="835"/>
          <w:tab w:val="left" w:pos="836"/>
        </w:tabs>
        <w:spacing w:before="18" w:line="480" w:lineRule="auto"/>
        <w:rPr>
          <w:sz w:val="24"/>
        </w:rPr>
      </w:pPr>
      <w:r>
        <w:rPr>
          <w:sz w:val="24"/>
          <w:lang w:val="en"/>
        </w:rPr>
        <w:t>Record vasculitis treatments and concomitant treatments</w:t>
      </w:r>
    </w:p>
    <w:p w:rsidR="00CD39A7" w:rsidRDefault="005B3809" w:rsidP="00347A36">
      <w:pPr>
        <w:pStyle w:val="ListParagraph"/>
        <w:numPr>
          <w:ilvl w:val="0"/>
          <w:numId w:val="30"/>
        </w:numPr>
        <w:tabs>
          <w:tab w:val="left" w:pos="835"/>
          <w:tab w:val="left" w:pos="836"/>
        </w:tabs>
        <w:spacing w:line="480" w:lineRule="auto"/>
        <w:rPr>
          <w:sz w:val="24"/>
        </w:rPr>
      </w:pPr>
      <w:r>
        <w:rPr>
          <w:sz w:val="24"/>
          <w:lang w:val="en"/>
        </w:rPr>
        <w:t>Record AEs/SAEs</w:t>
      </w:r>
    </w:p>
    <w:p w:rsidR="00CD39A7" w:rsidRDefault="005B3809" w:rsidP="00AC0B66">
      <w:pPr>
        <w:pStyle w:val="Heading4"/>
        <w:numPr>
          <w:ilvl w:val="2"/>
          <w:numId w:val="35"/>
        </w:numPr>
        <w:tabs>
          <w:tab w:val="left" w:pos="836"/>
        </w:tabs>
        <w:spacing w:before="360" w:line="480" w:lineRule="auto"/>
        <w:ind w:right="116"/>
      </w:pPr>
      <w:r>
        <w:rPr>
          <w:lang w:val="en"/>
        </w:rPr>
        <w:t>Follow-up Visits: Every 3 months up to M24 (M3, M6, M9, M12, M15, M18, M21, M24) and a final visit at M28.</w:t>
      </w:r>
    </w:p>
    <w:p w:rsidR="00CD39A7" w:rsidRDefault="005B3809">
      <w:pPr>
        <w:pStyle w:val="BodyText"/>
        <w:spacing w:before="69" w:line="480" w:lineRule="auto"/>
        <w:ind w:left="115"/>
      </w:pPr>
      <w:r>
        <w:rPr>
          <w:lang w:val="en"/>
        </w:rPr>
        <w:lastRenderedPageBreak/>
        <w:t>The patients will be monitored every 3 months up to visit M24, and finally at visit M28, the End of Study visit, with the initial test panel:</w:t>
      </w:r>
    </w:p>
    <w:p w:rsidR="00CD39A7" w:rsidRDefault="005B3809" w:rsidP="00E1426F">
      <w:pPr>
        <w:pStyle w:val="ListParagraph"/>
        <w:numPr>
          <w:ilvl w:val="2"/>
          <w:numId w:val="35"/>
        </w:numPr>
        <w:tabs>
          <w:tab w:val="left" w:pos="836"/>
        </w:tabs>
        <w:spacing w:before="11" w:line="480" w:lineRule="auto"/>
        <w:ind w:right="115"/>
        <w:jc w:val="both"/>
        <w:rPr>
          <w:sz w:val="24"/>
        </w:rPr>
      </w:pPr>
      <w:r>
        <w:rPr>
          <w:sz w:val="24"/>
          <w:lang w:val="en"/>
        </w:rPr>
        <w:t>Standard laboratory tests: complete blood count, PT/APTT, blood electrolytes, renal function (creatinine and creatinine clearance using the MDRD formula), lymphocyte immunophenotyping for CD3, CD4, CD8, urine sediment testing (proteinuria [from sample and/or 24 h collection], hematuria, leukocyturia, and red cell casts), CRP, liver function (transaminases, alkaline phosphatase, GGT), protein electrophoresis, albumin.</w:t>
      </w:r>
    </w:p>
    <w:p w:rsidR="00CD39A7" w:rsidRDefault="005B3809" w:rsidP="00E1426F">
      <w:pPr>
        <w:pStyle w:val="ListParagraph"/>
        <w:numPr>
          <w:ilvl w:val="2"/>
          <w:numId w:val="35"/>
        </w:numPr>
        <w:tabs>
          <w:tab w:val="left" w:pos="836"/>
        </w:tabs>
        <w:spacing w:before="17" w:line="480" w:lineRule="auto"/>
        <w:ind w:right="115"/>
        <w:jc w:val="both"/>
        <w:rPr>
          <w:sz w:val="24"/>
        </w:rPr>
      </w:pPr>
      <w:r>
        <w:rPr>
          <w:sz w:val="24"/>
          <w:lang w:val="en"/>
        </w:rPr>
        <w:t>For rituximab patients, quantitative immunoglobulin testing and lymphocyte CD19 immunophenotyping will be performed, as recommended, before each infusion, namely at the D15, M6, M12 and M18 visits, and at visits M24 and M28.</w:t>
      </w:r>
    </w:p>
    <w:p w:rsidR="00CD39A7" w:rsidRDefault="005B3809" w:rsidP="00E1426F">
      <w:pPr>
        <w:pStyle w:val="ListParagraph"/>
        <w:numPr>
          <w:ilvl w:val="2"/>
          <w:numId w:val="35"/>
        </w:numPr>
        <w:tabs>
          <w:tab w:val="left" w:pos="836"/>
        </w:tabs>
        <w:spacing w:before="17" w:line="480" w:lineRule="auto"/>
        <w:ind w:right="116"/>
        <w:jc w:val="both"/>
        <w:rPr>
          <w:sz w:val="24"/>
        </w:rPr>
      </w:pPr>
      <w:r>
        <w:rPr>
          <w:sz w:val="24"/>
          <w:lang w:val="en"/>
        </w:rPr>
        <w:t>For azathioprine patients, protein electrophoresis will be performed every 6 months (M6, M12, M18, and M24). If protein electrophoresis reveals hypogammaglobulinemia, quantitative immunoglobulin testing will be performed.</w:t>
      </w:r>
    </w:p>
    <w:p w:rsidR="00CD39A7" w:rsidRDefault="005B3809" w:rsidP="00E1426F">
      <w:pPr>
        <w:pStyle w:val="ListParagraph"/>
        <w:numPr>
          <w:ilvl w:val="2"/>
          <w:numId w:val="35"/>
        </w:numPr>
        <w:tabs>
          <w:tab w:val="left" w:pos="835"/>
          <w:tab w:val="left" w:pos="836"/>
        </w:tabs>
        <w:spacing w:before="22" w:line="480" w:lineRule="auto"/>
        <w:rPr>
          <w:sz w:val="24"/>
        </w:rPr>
      </w:pPr>
      <w:r>
        <w:rPr>
          <w:sz w:val="24"/>
          <w:lang w:val="en"/>
        </w:rPr>
        <w:t>ANCA by IF and ELISA every 3 months up to M24 and M28.</w:t>
      </w:r>
    </w:p>
    <w:p w:rsidR="00CD39A7" w:rsidRDefault="005B3809" w:rsidP="00E1426F">
      <w:pPr>
        <w:pStyle w:val="BodyText"/>
        <w:spacing w:line="480" w:lineRule="auto"/>
        <w:ind w:left="115"/>
      </w:pPr>
      <w:r>
        <w:rPr>
          <w:lang w:val="en"/>
        </w:rPr>
        <w:t>If possible, the ANCA screening should always be conducted in the same laboratory.</w:t>
      </w:r>
    </w:p>
    <w:p w:rsidR="00CD39A7" w:rsidRDefault="005B3809" w:rsidP="00E1426F">
      <w:pPr>
        <w:pStyle w:val="ListParagraph"/>
        <w:numPr>
          <w:ilvl w:val="2"/>
          <w:numId w:val="35"/>
        </w:numPr>
        <w:tabs>
          <w:tab w:val="left" w:pos="836"/>
        </w:tabs>
        <w:spacing w:before="1" w:line="480" w:lineRule="auto"/>
        <w:ind w:right="116"/>
        <w:jc w:val="both"/>
        <w:rPr>
          <w:sz w:val="24"/>
        </w:rPr>
      </w:pPr>
      <w:r>
        <w:rPr>
          <w:sz w:val="24"/>
          <w:lang w:val="en"/>
        </w:rPr>
        <w:t>Serum bank, Plasma bank and Cell bank creation: 7 ml blood sample for each bank.</w:t>
      </w:r>
    </w:p>
    <w:p w:rsidR="00CD39A7" w:rsidRDefault="005B3809" w:rsidP="00E1426F">
      <w:pPr>
        <w:pStyle w:val="ListParagraph"/>
        <w:numPr>
          <w:ilvl w:val="2"/>
          <w:numId w:val="35"/>
        </w:numPr>
        <w:tabs>
          <w:tab w:val="left" w:pos="836"/>
        </w:tabs>
        <w:spacing w:before="31" w:line="480" w:lineRule="auto"/>
        <w:ind w:right="117"/>
        <w:jc w:val="both"/>
        <w:rPr>
          <w:sz w:val="24"/>
        </w:rPr>
      </w:pPr>
      <w:r>
        <w:rPr>
          <w:sz w:val="24"/>
          <w:lang w:val="en"/>
        </w:rPr>
        <w:t>Antinuclear and anti-DNA antibody testing will be performed yearly and/or whenever the patient develops clinical symptoms requiring these tests.</w:t>
      </w:r>
    </w:p>
    <w:p w:rsidR="00CD39A7" w:rsidRPr="00E1426F" w:rsidRDefault="005B3809" w:rsidP="00E1426F">
      <w:pPr>
        <w:pStyle w:val="ListParagraph"/>
        <w:numPr>
          <w:ilvl w:val="2"/>
          <w:numId w:val="35"/>
        </w:numPr>
        <w:tabs>
          <w:tab w:val="left" w:pos="836"/>
        </w:tabs>
        <w:spacing w:before="31" w:line="480" w:lineRule="auto"/>
        <w:ind w:right="115"/>
        <w:jc w:val="both"/>
        <w:rPr>
          <w:sz w:val="24"/>
          <w:szCs w:val="24"/>
        </w:rPr>
      </w:pPr>
      <w:r w:rsidRPr="00E1426F">
        <w:rPr>
          <w:sz w:val="24"/>
          <w:szCs w:val="24"/>
          <w:lang w:val="en"/>
        </w:rPr>
        <w:t>Optional examination (depending on the local practices at each study center): a study may be conducted examining thiopurine methyltransferase (TPMT) activity during the initial treatment period for patients included in the azathioprine arm. These results are not expected to be used to adjust the azathioprine dose, but patients with low TPMT activity are more at risk of adverse effects.</w:t>
      </w:r>
      <w:r w:rsidR="00E1426F" w:rsidRPr="00E1426F">
        <w:rPr>
          <w:sz w:val="24"/>
          <w:szCs w:val="24"/>
          <w:lang w:val="en"/>
        </w:rPr>
        <w:t xml:space="preserve"> </w:t>
      </w:r>
      <w:r w:rsidRPr="00E1426F">
        <w:rPr>
          <w:sz w:val="24"/>
          <w:szCs w:val="24"/>
          <w:lang w:val="en"/>
        </w:rPr>
        <w:t xml:space="preserve">As a result, closer monitoring, even treatment discontinuation (and withdrawal from the study), will be considered for </w:t>
      </w:r>
      <w:r w:rsidRPr="00E1426F">
        <w:rPr>
          <w:sz w:val="24"/>
          <w:szCs w:val="24"/>
          <w:lang w:val="en"/>
        </w:rPr>
        <w:lastRenderedPageBreak/>
        <w:t>patients exhibiting even small changes in laboratory values, notably for liver function tests (for example, an elevation of transaminases 1.5-2 times above normal) or hematology tests (anemia &lt;11 g/dL, neutropenia &lt;1500/mm</w:t>
      </w:r>
      <w:r w:rsidRPr="00E1426F">
        <w:rPr>
          <w:sz w:val="24"/>
          <w:szCs w:val="24"/>
          <w:vertAlign w:val="superscript"/>
          <w:lang w:val="en"/>
        </w:rPr>
        <w:t>3</w:t>
      </w:r>
      <w:r w:rsidRPr="00E1426F">
        <w:rPr>
          <w:sz w:val="24"/>
          <w:szCs w:val="24"/>
          <w:lang w:val="en"/>
        </w:rPr>
        <w:t>, lymphopenia &lt;500/mm</w:t>
      </w:r>
      <w:r w:rsidRPr="00E1426F">
        <w:rPr>
          <w:sz w:val="24"/>
          <w:szCs w:val="24"/>
          <w:vertAlign w:val="superscript"/>
          <w:lang w:val="en"/>
        </w:rPr>
        <w:t>3</w:t>
      </w:r>
      <w:r w:rsidRPr="00E1426F">
        <w:rPr>
          <w:sz w:val="24"/>
          <w:szCs w:val="24"/>
          <w:lang w:val="en"/>
        </w:rPr>
        <w:t>,</w:t>
      </w:r>
    </w:p>
    <w:p w:rsidR="00CD39A7" w:rsidRPr="00E1426F" w:rsidRDefault="005B3809" w:rsidP="00E1426F">
      <w:pPr>
        <w:pStyle w:val="BodyText"/>
        <w:spacing w:before="9" w:line="480" w:lineRule="auto"/>
        <w:ind w:left="835" w:right="118"/>
        <w:jc w:val="both"/>
      </w:pPr>
      <w:r w:rsidRPr="00E1426F">
        <w:rPr>
          <w:lang w:val="en"/>
        </w:rPr>
        <w:t>thrombocytopenia &lt;125000/mm</w:t>
      </w:r>
      <w:r w:rsidRPr="00E1426F">
        <w:rPr>
          <w:vertAlign w:val="superscript"/>
          <w:lang w:val="en"/>
        </w:rPr>
        <w:t>3</w:t>
      </w:r>
      <w:r w:rsidRPr="00E1426F">
        <w:rPr>
          <w:lang w:val="en"/>
        </w:rPr>
        <w:t>).</w:t>
      </w:r>
    </w:p>
    <w:p w:rsidR="00CD39A7" w:rsidRPr="00E1426F" w:rsidRDefault="005B3809" w:rsidP="00E1426F">
      <w:pPr>
        <w:pStyle w:val="ListParagraph"/>
        <w:numPr>
          <w:ilvl w:val="0"/>
          <w:numId w:val="30"/>
        </w:numPr>
        <w:tabs>
          <w:tab w:val="left" w:pos="835"/>
          <w:tab w:val="left" w:pos="836"/>
        </w:tabs>
        <w:spacing w:before="9" w:line="480" w:lineRule="auto"/>
        <w:rPr>
          <w:sz w:val="24"/>
          <w:szCs w:val="24"/>
        </w:rPr>
      </w:pPr>
      <w:r w:rsidRPr="00E1426F">
        <w:rPr>
          <w:sz w:val="24"/>
          <w:szCs w:val="24"/>
          <w:lang w:val="en"/>
        </w:rPr>
        <w:t>BVAS score at each visit</w:t>
      </w:r>
    </w:p>
    <w:p w:rsidR="00CD39A7" w:rsidRPr="00E1426F" w:rsidRDefault="005B3809" w:rsidP="00E1426F">
      <w:pPr>
        <w:pStyle w:val="ListParagraph"/>
        <w:numPr>
          <w:ilvl w:val="0"/>
          <w:numId w:val="30"/>
        </w:numPr>
        <w:tabs>
          <w:tab w:val="left" w:pos="835"/>
          <w:tab w:val="left" w:pos="836"/>
        </w:tabs>
        <w:spacing w:line="480" w:lineRule="auto"/>
        <w:rPr>
          <w:sz w:val="24"/>
          <w:szCs w:val="24"/>
        </w:rPr>
      </w:pPr>
      <w:r w:rsidRPr="00E1426F">
        <w:rPr>
          <w:sz w:val="24"/>
          <w:szCs w:val="24"/>
          <w:lang w:val="en"/>
        </w:rPr>
        <w:t>VDI score (every 6 months up to the M24 visit and at visit M28)</w:t>
      </w:r>
    </w:p>
    <w:p w:rsidR="00CD39A7" w:rsidRDefault="005B3809" w:rsidP="00E1426F">
      <w:pPr>
        <w:pStyle w:val="ListParagraph"/>
        <w:numPr>
          <w:ilvl w:val="0"/>
          <w:numId w:val="30"/>
        </w:numPr>
        <w:tabs>
          <w:tab w:val="left" w:pos="835"/>
          <w:tab w:val="left" w:pos="836"/>
        </w:tabs>
        <w:spacing w:line="480" w:lineRule="auto"/>
        <w:ind w:right="114"/>
        <w:rPr>
          <w:sz w:val="24"/>
        </w:rPr>
      </w:pPr>
      <w:r w:rsidRPr="00E1426F">
        <w:rPr>
          <w:sz w:val="24"/>
          <w:szCs w:val="24"/>
          <w:lang w:val="en"/>
        </w:rPr>
        <w:t>Two questionnaires (quality of life [SF36] and physical function health assessment</w:t>
      </w:r>
      <w:r>
        <w:rPr>
          <w:sz w:val="24"/>
          <w:lang w:val="en"/>
        </w:rPr>
        <w:t xml:space="preserve"> [HAQ]) will be completed by the patient at each visit.</w:t>
      </w:r>
    </w:p>
    <w:p w:rsidR="00CD39A7" w:rsidRDefault="005B3809" w:rsidP="00E1426F">
      <w:pPr>
        <w:pStyle w:val="BodyText"/>
        <w:spacing w:before="10" w:line="480" w:lineRule="auto"/>
        <w:ind w:left="115" w:right="117"/>
        <w:jc w:val="both"/>
      </w:pPr>
      <w:r>
        <w:rPr>
          <w:lang w:val="en"/>
        </w:rPr>
        <w:t>The patient questionnaires (SF36 and HAQ) will be assembled in a patient booklet given to the patients at visit M3. After each visit, the patients are to return the completed questionnaires to the management center, URC Paris Centre, using a prepaid stamped envelope provided in the booklet.</w:t>
      </w:r>
    </w:p>
    <w:p w:rsidR="00CD39A7" w:rsidRDefault="005B3809" w:rsidP="00E1426F">
      <w:pPr>
        <w:pStyle w:val="ListParagraph"/>
        <w:numPr>
          <w:ilvl w:val="0"/>
          <w:numId w:val="30"/>
        </w:numPr>
        <w:tabs>
          <w:tab w:val="left" w:pos="835"/>
          <w:tab w:val="left" w:pos="836"/>
        </w:tabs>
        <w:spacing w:before="10" w:line="480" w:lineRule="auto"/>
        <w:ind w:right="118"/>
        <w:rPr>
          <w:sz w:val="24"/>
        </w:rPr>
      </w:pPr>
      <w:r>
        <w:rPr>
          <w:sz w:val="24"/>
          <w:lang w:val="en"/>
        </w:rPr>
        <w:t>Provide a treatment compliance diary to the patients at visits M3, M6, M9, M12, M15, M18, M21, and M24 (one diary every 3 months)</w:t>
      </w:r>
    </w:p>
    <w:p w:rsidR="00CD39A7" w:rsidRDefault="005B3809" w:rsidP="00E1426F">
      <w:pPr>
        <w:pStyle w:val="ListParagraph"/>
        <w:numPr>
          <w:ilvl w:val="0"/>
          <w:numId w:val="30"/>
        </w:numPr>
        <w:tabs>
          <w:tab w:val="left" w:pos="835"/>
          <w:tab w:val="left" w:pos="836"/>
        </w:tabs>
        <w:spacing w:before="10" w:line="480" w:lineRule="auto"/>
        <w:rPr>
          <w:sz w:val="24"/>
        </w:rPr>
      </w:pPr>
      <w:r>
        <w:rPr>
          <w:sz w:val="24"/>
          <w:lang w:val="en"/>
        </w:rPr>
        <w:t>Record vasculitis treatments and concomitant treatments</w:t>
      </w:r>
    </w:p>
    <w:p w:rsidR="00CD39A7" w:rsidRDefault="005B3809" w:rsidP="00E1426F">
      <w:pPr>
        <w:pStyle w:val="ListParagraph"/>
        <w:numPr>
          <w:ilvl w:val="0"/>
          <w:numId w:val="30"/>
        </w:numPr>
        <w:tabs>
          <w:tab w:val="left" w:pos="835"/>
          <w:tab w:val="left" w:pos="836"/>
        </w:tabs>
        <w:spacing w:line="480" w:lineRule="auto"/>
        <w:rPr>
          <w:sz w:val="24"/>
        </w:rPr>
      </w:pPr>
      <w:r>
        <w:rPr>
          <w:sz w:val="24"/>
          <w:lang w:val="en"/>
        </w:rPr>
        <w:t>Record AEs/SAEs</w:t>
      </w:r>
    </w:p>
    <w:p w:rsidR="00CD39A7" w:rsidRDefault="005B3809" w:rsidP="00E1426F">
      <w:pPr>
        <w:pStyle w:val="BodyText"/>
        <w:spacing w:line="480" w:lineRule="auto"/>
        <w:ind w:left="115" w:right="116"/>
        <w:jc w:val="both"/>
      </w:pPr>
      <w:r>
        <w:rPr>
          <w:lang w:val="en"/>
        </w:rPr>
        <w:t>The second phase of the study is expected to end 10 months after the end of the 18-month maintenance phase (i.e. 28 months after enrollment).</w:t>
      </w:r>
    </w:p>
    <w:p w:rsidR="00CD39A7" w:rsidRDefault="005B3809" w:rsidP="00E1426F">
      <w:pPr>
        <w:pStyle w:val="BodyText"/>
        <w:spacing w:line="480" w:lineRule="auto"/>
        <w:ind w:left="115" w:right="119"/>
        <w:jc w:val="both"/>
      </w:pPr>
      <w:r>
        <w:rPr>
          <w:lang w:val="en"/>
        </w:rPr>
        <w:t>Visit dates are based on the study protocol, with a +/- 7-day window for each visit, to accommodate rescheduling or in case of unrelated practical reasons.</w:t>
      </w:r>
    </w:p>
    <w:p w:rsidR="00CD39A7" w:rsidRDefault="005B3809" w:rsidP="00E1426F">
      <w:pPr>
        <w:pStyle w:val="Heading4"/>
        <w:numPr>
          <w:ilvl w:val="1"/>
          <w:numId w:val="35"/>
        </w:numPr>
        <w:tabs>
          <w:tab w:val="left" w:pos="670"/>
          <w:tab w:val="left" w:pos="671"/>
          <w:tab w:val="left" w:pos="2266"/>
          <w:tab w:val="left" w:pos="3826"/>
          <w:tab w:val="left" w:pos="4265"/>
          <w:tab w:val="left" w:pos="5491"/>
          <w:tab w:val="left" w:pos="6079"/>
          <w:tab w:val="left" w:pos="7608"/>
        </w:tabs>
        <w:spacing w:before="240" w:after="120" w:line="480" w:lineRule="auto"/>
        <w:ind w:left="116" w:right="116" w:firstLine="0"/>
      </w:pPr>
      <w:bookmarkStart w:id="60" w:name="3.4_Constitution,_conservation_et_transp"/>
      <w:bookmarkEnd w:id="60"/>
      <w:r>
        <w:rPr>
          <w:lang w:val="en"/>
        </w:rPr>
        <w:t>Composition, Storage and Transport of the Serum Banks, Plasma Banks, Cell Banks, and DNA Banks</w:t>
      </w:r>
    </w:p>
    <w:p w:rsidR="00CD39A7" w:rsidRDefault="005B3809" w:rsidP="001577B3">
      <w:pPr>
        <w:pStyle w:val="BodyText"/>
        <w:spacing w:before="125" w:line="480" w:lineRule="auto"/>
        <w:ind w:left="115"/>
      </w:pPr>
      <w:r w:rsidRPr="00430A86">
        <w:rPr>
          <w:b/>
          <w:bCs/>
          <w:u w:val="single"/>
          <w:lang w:val="en"/>
        </w:rPr>
        <w:t>Serum Bank</w:t>
      </w:r>
      <w:r>
        <w:rPr>
          <w:lang w:val="en"/>
        </w:rPr>
        <w:t>: A 7 mL blood sample will be collected in two dry tubes, with or without agar</w:t>
      </w:r>
      <w:r w:rsidR="001577B3">
        <w:rPr>
          <w:lang w:val="en"/>
        </w:rPr>
        <w:t xml:space="preserve"> </w:t>
      </w:r>
      <w:r>
        <w:rPr>
          <w:lang w:val="en"/>
        </w:rPr>
        <w:t xml:space="preserve">(red stopper), centrifuged, and serum extracted that will be stored at - 80°C at the study center where the patient was enrolled. Serum banks will be transported and delivered at – 20°C to the </w:t>
      </w:r>
      <w:r>
        <w:rPr>
          <w:lang w:val="en"/>
        </w:rPr>
        <w:lastRenderedPageBreak/>
        <w:t>coordinating center in Cochin after the end of the follow-up period for all patients at each center.</w:t>
      </w:r>
    </w:p>
    <w:p w:rsidR="00CD39A7" w:rsidRDefault="005B3809" w:rsidP="00430A86">
      <w:pPr>
        <w:pStyle w:val="BodyText"/>
        <w:spacing w:before="120" w:line="480" w:lineRule="auto"/>
        <w:ind w:left="115"/>
        <w:jc w:val="both"/>
      </w:pPr>
      <w:r w:rsidRPr="00430A86">
        <w:rPr>
          <w:b/>
          <w:bCs/>
          <w:u w:val="single"/>
          <w:lang w:val="en"/>
        </w:rPr>
        <w:t>Plasma Bank</w:t>
      </w:r>
      <w:r w:rsidR="00AD7C53">
        <w:rPr>
          <w:lang w:val="en"/>
        </w:rPr>
        <w:t xml:space="preserve">: </w:t>
      </w:r>
      <w:r>
        <w:rPr>
          <w:lang w:val="en"/>
        </w:rPr>
        <w:t>A 7 mL blood sample will be collected in two EDTA tubes (lavender stopper),</w:t>
      </w:r>
      <w:r w:rsidR="00430A86">
        <w:rPr>
          <w:lang w:val="en"/>
        </w:rPr>
        <w:t xml:space="preserve"> </w:t>
      </w:r>
      <w:r>
        <w:rPr>
          <w:lang w:val="en"/>
        </w:rPr>
        <w:t>centrifuged, and supernatant extracted that will be stored at - 80°C at the study center where the patient was enrolled. The plasma banks will be transported at – 20°C by a carrier and delivered by courier to the coordinating center at Cochin Hospital. This plasma bank sample will be shipped at the same time as the serum bank sample, after completion of the follow-up period for all patients at each center.</w:t>
      </w:r>
    </w:p>
    <w:p w:rsidR="00CD39A7" w:rsidRDefault="005B3809" w:rsidP="00430A86">
      <w:pPr>
        <w:pStyle w:val="BodyText"/>
        <w:spacing w:before="9" w:line="480" w:lineRule="auto"/>
        <w:ind w:left="115" w:right="117"/>
        <w:jc w:val="both"/>
      </w:pPr>
      <w:r>
        <w:rPr>
          <w:lang w:val="en"/>
        </w:rPr>
        <w:t>The serum and plasma samples may all be shipped to the coordinating center by courier together with the DNA and cell samples, but this shipment must be refrigerated (+ 4°C).</w:t>
      </w:r>
    </w:p>
    <w:p w:rsidR="00CD39A7" w:rsidRDefault="005B3809" w:rsidP="00430A86">
      <w:pPr>
        <w:pStyle w:val="BodyText"/>
        <w:spacing w:before="120" w:line="480" w:lineRule="auto"/>
        <w:ind w:left="113"/>
        <w:jc w:val="both"/>
        <w:rPr>
          <w:sz w:val="22"/>
        </w:rPr>
      </w:pPr>
      <w:r w:rsidRPr="00430A86">
        <w:rPr>
          <w:b/>
          <w:bCs/>
          <w:u w:val="single"/>
          <w:lang w:val="en"/>
        </w:rPr>
        <w:t>Cell Bank</w:t>
      </w:r>
      <w:r>
        <w:rPr>
          <w:lang w:val="en"/>
        </w:rPr>
        <w:t>: A 7 mL blood sample will be collected into two ACD tubes (pale yellow stopper), stored at</w:t>
      </w:r>
      <w:r w:rsidR="006470B3">
        <w:t xml:space="preserve"> </w:t>
      </w:r>
      <w:r>
        <w:rPr>
          <w:lang w:val="en"/>
        </w:rPr>
        <w:t>room temperature, and immediately delivered by courier to the coordinating center at room temperature.</w:t>
      </w:r>
    </w:p>
    <w:p w:rsidR="00CD39A7" w:rsidRDefault="005B3809" w:rsidP="00430A86">
      <w:pPr>
        <w:pStyle w:val="BodyText"/>
        <w:spacing w:before="120" w:line="480" w:lineRule="auto"/>
        <w:ind w:left="113"/>
      </w:pPr>
      <w:r w:rsidRPr="00430A86">
        <w:rPr>
          <w:b/>
          <w:bCs/>
          <w:u w:val="single"/>
          <w:lang w:val="en"/>
        </w:rPr>
        <w:t>DNA Bank</w:t>
      </w:r>
      <w:r>
        <w:rPr>
          <w:lang w:val="en"/>
        </w:rPr>
        <w:t>: A 7 mL blood sample will be collected into two ACD tubes (pale yellow stopper) at the enrollment visit only, stored at room temperature, and immediately delivered by courier to the coordinating center at room temperature.</w:t>
      </w:r>
    </w:p>
    <w:p w:rsidR="00CD39A7" w:rsidRDefault="005B3809">
      <w:pPr>
        <w:pStyle w:val="BodyText"/>
        <w:spacing w:before="69" w:line="480" w:lineRule="auto"/>
        <w:ind w:left="115" w:right="115"/>
        <w:jc w:val="both"/>
      </w:pPr>
      <w:r>
        <w:rPr>
          <w:lang w:val="en"/>
        </w:rPr>
        <w:t>At the end of the study, all serum, plasma, and DNA samples will be stored at -80°C in a previously declared and pre-existing sample bank, located at Cochin Hospital, at the Centre de référence Maladies Rares, Pavillon St Jacques, managed by Pr. Mouthon.</w:t>
      </w:r>
    </w:p>
    <w:p w:rsidR="00CD39A7" w:rsidRDefault="005B3809">
      <w:pPr>
        <w:pStyle w:val="BodyText"/>
        <w:spacing w:before="9" w:line="480" w:lineRule="auto"/>
        <w:ind w:left="115" w:right="117"/>
        <w:jc w:val="both"/>
      </w:pPr>
      <w:r>
        <w:rPr>
          <w:lang w:val="en"/>
        </w:rPr>
        <w:t>At the end of the study, all cell samples will be stored in liquid nitrogen in previously declared and pre-existing sample bank, located at Cochin Hospital in the laboratory of Hematology, Pavillon Jean Dausset, also managed by Prof. Mouthon.</w:t>
      </w:r>
    </w:p>
    <w:p w:rsidR="00CD39A7" w:rsidRDefault="005B3809" w:rsidP="00665094">
      <w:pPr>
        <w:pStyle w:val="BodyText"/>
        <w:spacing w:before="9" w:line="480" w:lineRule="auto"/>
        <w:ind w:left="115" w:right="115"/>
        <w:jc w:val="both"/>
      </w:pPr>
      <w:r>
        <w:rPr>
          <w:lang w:val="en"/>
        </w:rPr>
        <w:t xml:space="preserve">An addendum to the patient information sheet and informed consent form that must be signed by the patient and investigator, will be provided to each patient to notify them of changes concerning the storage of their samples in a sample bank at the end of the study, during the </w:t>
      </w:r>
      <w:r>
        <w:rPr>
          <w:lang w:val="en"/>
        </w:rPr>
        <w:lastRenderedPageBreak/>
        <w:t>15-year storage period initially planned.</w:t>
      </w:r>
    </w:p>
    <w:p w:rsidR="00CD39A7" w:rsidRDefault="005B3809" w:rsidP="00665094">
      <w:pPr>
        <w:pStyle w:val="Heading4"/>
        <w:numPr>
          <w:ilvl w:val="1"/>
          <w:numId w:val="35"/>
        </w:numPr>
        <w:tabs>
          <w:tab w:val="left" w:pos="476"/>
        </w:tabs>
        <w:spacing w:before="240" w:after="120" w:line="480" w:lineRule="auto"/>
      </w:pPr>
      <w:bookmarkStart w:id="61" w:name="_bookmark114"/>
      <w:bookmarkStart w:id="62" w:name="3.5_Procédure_d’inclusion_et_de_randomis"/>
      <w:bookmarkEnd w:id="61"/>
      <w:bookmarkEnd w:id="62"/>
      <w:r>
        <w:rPr>
          <w:lang w:val="en"/>
        </w:rPr>
        <w:t>Patient Enrollment and Randomization Procedures</w:t>
      </w:r>
    </w:p>
    <w:p w:rsidR="00CD39A7" w:rsidRDefault="005B3809" w:rsidP="00665094">
      <w:pPr>
        <w:pStyle w:val="BodyText"/>
        <w:spacing w:line="480" w:lineRule="auto"/>
        <w:ind w:left="115" w:right="115"/>
        <w:jc w:val="both"/>
      </w:pPr>
      <w:r>
        <w:rPr>
          <w:lang w:val="en"/>
        </w:rPr>
        <w:t>Patients will be recruited from multiple centers across the entire territory of France, by physicians belonging to the French Vasculitis Study Group GFEV) and the National Reference Center for rare diseases and necrotizing vasculitis (“Maladies rares:, Vascularites nécrosantes project). The DIRC and the Committee for the Protection of Persons (CPP) Ile de France III (Cochin) have been notified of the investigational centers planned for this study, with the possibility of further amendments to include other centers wishing to participate.</w:t>
      </w:r>
    </w:p>
    <w:p w:rsidR="00CD39A7" w:rsidRDefault="005B3809" w:rsidP="00665094">
      <w:pPr>
        <w:pStyle w:val="BodyText"/>
        <w:spacing w:line="480" w:lineRule="auto"/>
        <w:ind w:left="115" w:right="115"/>
        <w:jc w:val="both"/>
      </w:pPr>
      <w:r>
        <w:rPr>
          <w:lang w:val="en"/>
        </w:rPr>
        <w:t>Potential participants will initially be contacted over the phone by the coordinating Investigator, the Senior Scientist (Dr. Christian Pagnoux) and/or the 2 official collaborators (Prof. Luc Mouthon, Dr. Pascal Cohen), in Paris (Department of Internal Medicine of Prof. Guillevin, Cochin Hospital, Paris).</w:t>
      </w:r>
    </w:p>
    <w:p w:rsidR="00CD39A7" w:rsidRDefault="005B3809" w:rsidP="00665094">
      <w:pPr>
        <w:pStyle w:val="BodyText"/>
        <w:spacing w:before="9" w:line="480" w:lineRule="auto"/>
        <w:ind w:left="115" w:right="116"/>
        <w:jc w:val="both"/>
      </w:pPr>
      <w:r>
        <w:rPr>
          <w:lang w:val="en"/>
        </w:rPr>
        <w:t>Patient inclusion and exclusion criteria will be verified during this phone conversation.</w:t>
      </w:r>
    </w:p>
    <w:p w:rsidR="00CD39A7" w:rsidRDefault="005B3809">
      <w:pPr>
        <w:pStyle w:val="BodyText"/>
        <w:spacing w:before="69" w:line="480" w:lineRule="auto"/>
        <w:ind w:left="116" w:right="114"/>
        <w:jc w:val="both"/>
      </w:pPr>
      <w:r>
        <w:rPr>
          <w:lang w:val="en"/>
        </w:rPr>
        <w:t>After the patient has read and signed the informed consent form, the investigator will complete an online enrollment form that is accessible on the Internet 24/7 via the e-CRF (each investigational center will be provided secure access at the time of site initiation visit).</w:t>
      </w:r>
    </w:p>
    <w:p w:rsidR="00CD39A7" w:rsidRDefault="005B3809" w:rsidP="00A574CE">
      <w:pPr>
        <w:pStyle w:val="BodyText"/>
        <w:spacing w:before="9" w:line="480" w:lineRule="auto"/>
        <w:ind w:left="142" w:right="114"/>
        <w:jc w:val="both"/>
      </w:pPr>
      <w:r>
        <w:rPr>
          <w:lang w:val="en"/>
        </w:rPr>
        <w:t>Patient randomization will be performed using a computer-based random assignment system for balanced random assignment of patients to treatment groups. The system is linked to the e-CRF to facilitate automated randomization of the patients enrolled in this study.</w:t>
      </w:r>
    </w:p>
    <w:p w:rsidR="00CD39A7" w:rsidRDefault="005B3809">
      <w:pPr>
        <w:pStyle w:val="BodyText"/>
        <w:spacing w:line="480" w:lineRule="auto"/>
        <w:ind w:left="115" w:right="115"/>
        <w:jc w:val="both"/>
      </w:pPr>
      <w:r>
        <w:rPr>
          <w:lang w:val="en"/>
        </w:rPr>
        <w:t>The randomization list will be established by Unite de Recherche Clinique (URC) Paris Centre in collaboration with the Agence Générale des Equipements et Produits de Santé (AGEPS), then integrated into the online randomization system (CleanWeb). The randomization process for each patient will be triggered at the time of enrollment via the e-CRF. Each patient will be assigned an 8-character identification code.</w:t>
      </w:r>
    </w:p>
    <w:p w:rsidR="00CD39A7" w:rsidRDefault="005B3809" w:rsidP="001577B3">
      <w:pPr>
        <w:pStyle w:val="BodyText"/>
        <w:spacing w:before="9"/>
        <w:ind w:left="142"/>
        <w:jc w:val="both"/>
      </w:pPr>
      <w:r>
        <w:rPr>
          <w:lang w:val="en"/>
        </w:rPr>
        <w:t>The 8-character patient identification code will be created as follows:</w:t>
      </w:r>
    </w:p>
    <w:p w:rsidR="00CD39A7" w:rsidRDefault="00CD39A7">
      <w:pPr>
        <w:pStyle w:val="BodyText"/>
        <w:spacing w:before="10"/>
        <w:rPr>
          <w:sz w:val="23"/>
        </w:rPr>
      </w:pPr>
    </w:p>
    <w:p w:rsidR="00CD39A7" w:rsidRDefault="005B3809" w:rsidP="00D16C3B">
      <w:pPr>
        <w:pStyle w:val="ListParagraph"/>
        <w:numPr>
          <w:ilvl w:val="0"/>
          <w:numId w:val="29"/>
        </w:numPr>
        <w:tabs>
          <w:tab w:val="left" w:pos="964"/>
        </w:tabs>
        <w:spacing w:before="1" w:line="480" w:lineRule="auto"/>
        <w:ind w:hanging="139"/>
        <w:rPr>
          <w:sz w:val="24"/>
        </w:rPr>
      </w:pPr>
      <w:r>
        <w:rPr>
          <w:sz w:val="24"/>
          <w:lang w:val="en"/>
        </w:rPr>
        <w:lastRenderedPageBreak/>
        <w:t>The first 3 digits correspond to the site number of the investigating center</w:t>
      </w:r>
    </w:p>
    <w:p w:rsidR="00CD39A7" w:rsidRDefault="005B3809" w:rsidP="00D16C3B">
      <w:pPr>
        <w:pStyle w:val="ListParagraph"/>
        <w:numPr>
          <w:ilvl w:val="0"/>
          <w:numId w:val="29"/>
        </w:numPr>
        <w:tabs>
          <w:tab w:val="left" w:pos="964"/>
        </w:tabs>
        <w:spacing w:line="480" w:lineRule="auto"/>
        <w:ind w:hanging="139"/>
        <w:rPr>
          <w:sz w:val="24"/>
        </w:rPr>
      </w:pPr>
      <w:r>
        <w:rPr>
          <w:sz w:val="24"/>
          <w:lang w:val="en"/>
        </w:rPr>
        <w:t>The next 3 digits correspond to the randomization number</w:t>
      </w:r>
    </w:p>
    <w:p w:rsidR="00CD39A7" w:rsidRDefault="005B3809" w:rsidP="00D16C3B">
      <w:pPr>
        <w:pStyle w:val="ListParagraph"/>
        <w:numPr>
          <w:ilvl w:val="0"/>
          <w:numId w:val="29"/>
        </w:numPr>
        <w:tabs>
          <w:tab w:val="left" w:pos="964"/>
        </w:tabs>
        <w:spacing w:line="480" w:lineRule="auto"/>
        <w:ind w:hanging="139"/>
        <w:rPr>
          <w:sz w:val="24"/>
        </w:rPr>
      </w:pPr>
      <w:r>
        <w:rPr>
          <w:sz w:val="24"/>
          <w:lang w:val="en"/>
        </w:rPr>
        <w:t>The 2 letters corresponding to the patient initials (last name, first name).</w:t>
      </w:r>
    </w:p>
    <w:p w:rsidR="00CD39A7" w:rsidRDefault="005B3809" w:rsidP="00D16C3B">
      <w:pPr>
        <w:pStyle w:val="BodyText"/>
        <w:spacing w:line="480" w:lineRule="auto"/>
        <w:ind w:left="115" w:right="116"/>
        <w:jc w:val="both"/>
      </w:pPr>
      <w:r>
        <w:rPr>
          <w:lang w:val="en"/>
        </w:rPr>
        <w:t>The URC and AGEPS will be immediately notified of any patient enrollment/randomization through an automatic email/fax from the e-CRF (CleanWeb) system. The AGEPS will ship the treatments (rituximab or azathioprine) to the site pharmacy (PUI) of each investigational center as soon an enrolment is confirmed and within 72 hours of receipt of the fax.</w:t>
      </w:r>
    </w:p>
    <w:p w:rsidR="00CD39A7" w:rsidRDefault="005B3809" w:rsidP="00D16C3B">
      <w:pPr>
        <w:pStyle w:val="Heading4"/>
        <w:numPr>
          <w:ilvl w:val="1"/>
          <w:numId w:val="35"/>
        </w:numPr>
        <w:tabs>
          <w:tab w:val="left" w:pos="476"/>
        </w:tabs>
        <w:spacing w:before="240" w:after="120" w:line="480" w:lineRule="auto"/>
      </w:pPr>
      <w:bookmarkStart w:id="63" w:name="_bookmark115"/>
      <w:bookmarkStart w:id="64" w:name="3.6_Durée_de_participation"/>
      <w:bookmarkEnd w:id="63"/>
      <w:bookmarkEnd w:id="64"/>
      <w:r>
        <w:rPr>
          <w:lang w:val="en"/>
        </w:rPr>
        <w:t>Participation Period</w:t>
      </w:r>
    </w:p>
    <w:p w:rsidR="00CD39A7" w:rsidRDefault="005B3809" w:rsidP="00D16C3B">
      <w:pPr>
        <w:pStyle w:val="BodyText"/>
        <w:spacing w:line="480" w:lineRule="auto"/>
        <w:ind w:left="115" w:right="195"/>
        <w:jc w:val="both"/>
      </w:pPr>
      <w:r>
        <w:rPr>
          <w:lang w:val="en"/>
        </w:rPr>
        <w:t>Patient participation is expected to last a total of 28 months (18 months of treatment and 10</w:t>
      </w:r>
      <w:r w:rsidR="007B0D4B">
        <w:rPr>
          <w:lang w:val="en"/>
        </w:rPr>
        <w:t> </w:t>
      </w:r>
      <w:r>
        <w:rPr>
          <w:lang w:val="en"/>
        </w:rPr>
        <w:t>months of follow-up).</w:t>
      </w:r>
    </w:p>
    <w:p w:rsidR="00CD39A7" w:rsidRDefault="00CD39A7" w:rsidP="00D16C3B">
      <w:pPr>
        <w:spacing w:line="480" w:lineRule="auto"/>
        <w:jc w:val="both"/>
        <w:sectPr w:rsidR="00CD39A7">
          <w:pgSz w:w="11910" w:h="16840"/>
          <w:pgMar w:top="1320" w:right="1300" w:bottom="1200" w:left="1300" w:header="0" w:footer="952" w:gutter="0"/>
          <w:cols w:space="720"/>
        </w:sectPr>
      </w:pPr>
    </w:p>
    <w:p w:rsidR="00CD39A7" w:rsidRDefault="005B3809" w:rsidP="002F41CC">
      <w:pPr>
        <w:pStyle w:val="Heading4"/>
        <w:spacing w:before="76"/>
        <w:ind w:left="0" w:firstLine="0"/>
        <w:jc w:val="center"/>
      </w:pPr>
      <w:bookmarkStart w:id="65" w:name="CALENDRIER_DU_SUIVI_ET_DES_EXAMENS"/>
      <w:bookmarkEnd w:id="65"/>
      <w:r>
        <w:rPr>
          <w:lang w:val="en"/>
        </w:rPr>
        <w:lastRenderedPageBreak/>
        <w:t>SCHEDULE OF ASSESSMENTS</w:t>
      </w:r>
    </w:p>
    <w:p w:rsidR="00CD39A7" w:rsidRDefault="00CD39A7">
      <w:pPr>
        <w:pStyle w:val="BodyText"/>
        <w:spacing w:before="6"/>
        <w:rPr>
          <w:b/>
          <w:sz w:val="17"/>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706"/>
        <w:gridCol w:w="1260"/>
        <w:gridCol w:w="1080"/>
        <w:gridCol w:w="1440"/>
        <w:gridCol w:w="1812"/>
        <w:gridCol w:w="1428"/>
      </w:tblGrid>
      <w:tr w:rsidR="00CD39A7" w:rsidTr="004235C7">
        <w:trPr>
          <w:trHeight w:hRule="exact" w:val="735"/>
        </w:trPr>
        <w:tc>
          <w:tcPr>
            <w:tcW w:w="2268" w:type="dxa"/>
            <w:gridSpan w:val="2"/>
            <w:shd w:val="clear" w:color="auto" w:fill="E7E7E7"/>
          </w:tcPr>
          <w:p w:rsidR="00CD39A7" w:rsidRDefault="00CD39A7"/>
        </w:tc>
        <w:tc>
          <w:tcPr>
            <w:tcW w:w="1260" w:type="dxa"/>
            <w:shd w:val="clear" w:color="auto" w:fill="E7E7E7"/>
          </w:tcPr>
          <w:p w:rsidR="00CD39A7" w:rsidRDefault="00CD39A7">
            <w:pPr>
              <w:pStyle w:val="TableParagraph"/>
              <w:spacing w:before="9" w:line="240" w:lineRule="auto"/>
              <w:rPr>
                <w:b/>
                <w:sz w:val="15"/>
              </w:rPr>
            </w:pPr>
          </w:p>
          <w:p w:rsidR="00CD39A7" w:rsidRDefault="005B3809">
            <w:pPr>
              <w:pStyle w:val="TableParagraph"/>
              <w:spacing w:line="240" w:lineRule="auto"/>
              <w:ind w:left="215" w:right="201" w:firstLine="211"/>
              <w:rPr>
                <w:b/>
                <w:sz w:val="16"/>
              </w:rPr>
            </w:pPr>
            <w:r>
              <w:rPr>
                <w:b/>
                <w:bCs/>
                <w:sz w:val="16"/>
                <w:lang w:val="en"/>
              </w:rPr>
              <w:t>Enrollment Visit D1</w:t>
            </w:r>
          </w:p>
        </w:tc>
        <w:tc>
          <w:tcPr>
            <w:tcW w:w="1080" w:type="dxa"/>
            <w:shd w:val="clear" w:color="auto" w:fill="E7E7E7"/>
          </w:tcPr>
          <w:p w:rsidR="00CD39A7" w:rsidRDefault="005B3809">
            <w:pPr>
              <w:pStyle w:val="TableParagraph"/>
              <w:spacing w:line="240" w:lineRule="auto"/>
              <w:ind w:left="170" w:right="170" w:firstLine="3"/>
              <w:jc w:val="center"/>
              <w:rPr>
                <w:b/>
                <w:sz w:val="16"/>
              </w:rPr>
            </w:pPr>
            <w:r>
              <w:rPr>
                <w:b/>
                <w:bCs/>
                <w:sz w:val="16"/>
                <w:lang w:val="en"/>
              </w:rPr>
              <w:t>Visit D15 for Rituximab Patients</w:t>
            </w:r>
          </w:p>
        </w:tc>
        <w:tc>
          <w:tcPr>
            <w:tcW w:w="1440" w:type="dxa"/>
            <w:shd w:val="clear" w:color="auto" w:fill="E7E7E7"/>
          </w:tcPr>
          <w:p w:rsidR="00CD39A7" w:rsidRDefault="00CD39A7">
            <w:pPr>
              <w:pStyle w:val="TableParagraph"/>
              <w:spacing w:before="9" w:line="240" w:lineRule="auto"/>
              <w:rPr>
                <w:b/>
                <w:sz w:val="15"/>
              </w:rPr>
            </w:pPr>
          </w:p>
          <w:p w:rsidR="00CD39A7" w:rsidRDefault="005B3809">
            <w:pPr>
              <w:pStyle w:val="TableParagraph"/>
              <w:spacing w:line="240" w:lineRule="auto"/>
              <w:ind w:left="117" w:right="116"/>
              <w:jc w:val="center"/>
              <w:rPr>
                <w:b/>
                <w:sz w:val="16"/>
              </w:rPr>
            </w:pPr>
            <w:r>
              <w:rPr>
                <w:b/>
                <w:bCs/>
                <w:sz w:val="16"/>
                <w:lang w:val="en"/>
              </w:rPr>
              <w:t>Visit M3</w:t>
            </w:r>
          </w:p>
        </w:tc>
        <w:tc>
          <w:tcPr>
            <w:tcW w:w="1812" w:type="dxa"/>
            <w:shd w:val="clear" w:color="auto" w:fill="E7E7E7"/>
          </w:tcPr>
          <w:p w:rsidR="00CD39A7" w:rsidRDefault="00CD39A7" w:rsidP="00EE1CCF">
            <w:pPr>
              <w:pStyle w:val="TableParagraph"/>
              <w:spacing w:before="4" w:line="240" w:lineRule="auto"/>
              <w:jc w:val="center"/>
              <w:rPr>
                <w:b/>
                <w:sz w:val="16"/>
              </w:rPr>
            </w:pPr>
          </w:p>
          <w:p w:rsidR="00CD39A7" w:rsidRDefault="005B3809" w:rsidP="00EE1CCF">
            <w:pPr>
              <w:pStyle w:val="TableParagraph"/>
              <w:spacing w:line="240" w:lineRule="auto"/>
              <w:ind w:left="158" w:right="140" w:firstLine="7"/>
              <w:jc w:val="center"/>
              <w:rPr>
                <w:b/>
                <w:sz w:val="16"/>
              </w:rPr>
            </w:pPr>
            <w:r>
              <w:rPr>
                <w:b/>
                <w:bCs/>
                <w:sz w:val="16"/>
                <w:lang w:val="en"/>
              </w:rPr>
              <w:t xml:space="preserve">Visits M6, M9, M12, M15, M18, M21, </w:t>
            </w:r>
            <w:r w:rsidR="00EE1CCF">
              <w:rPr>
                <w:b/>
                <w:bCs/>
                <w:sz w:val="16"/>
                <w:lang w:val="en"/>
              </w:rPr>
              <w:br/>
            </w:r>
            <w:r>
              <w:rPr>
                <w:b/>
                <w:bCs/>
                <w:sz w:val="16"/>
                <w:lang w:val="en"/>
              </w:rPr>
              <w:t>and M24</w:t>
            </w:r>
          </w:p>
        </w:tc>
        <w:tc>
          <w:tcPr>
            <w:tcW w:w="1428" w:type="dxa"/>
            <w:shd w:val="clear" w:color="auto" w:fill="E7E7E7"/>
          </w:tcPr>
          <w:p w:rsidR="00CD39A7" w:rsidRPr="00EE1CCF" w:rsidRDefault="00CD39A7">
            <w:pPr>
              <w:pStyle w:val="TableParagraph"/>
              <w:spacing w:before="5" w:line="240" w:lineRule="auto"/>
              <w:rPr>
                <w:b/>
                <w:sz w:val="16"/>
                <w:szCs w:val="16"/>
              </w:rPr>
            </w:pPr>
          </w:p>
          <w:p w:rsidR="00CD39A7" w:rsidRDefault="005B3809">
            <w:pPr>
              <w:pStyle w:val="TableParagraph"/>
              <w:spacing w:line="240" w:lineRule="auto"/>
              <w:ind w:left="299" w:right="295"/>
              <w:jc w:val="center"/>
              <w:rPr>
                <w:b/>
                <w:sz w:val="16"/>
              </w:rPr>
            </w:pPr>
            <w:r>
              <w:rPr>
                <w:b/>
                <w:bCs/>
                <w:sz w:val="16"/>
                <w:lang w:val="en"/>
              </w:rPr>
              <w:t>End of Study Visit M28</w:t>
            </w:r>
          </w:p>
        </w:tc>
      </w:tr>
      <w:tr w:rsidR="00CD39A7" w:rsidTr="00537444">
        <w:trPr>
          <w:cantSplit/>
          <w:trHeight w:val="283"/>
        </w:trPr>
        <w:tc>
          <w:tcPr>
            <w:tcW w:w="562" w:type="dxa"/>
            <w:vMerge w:val="restart"/>
            <w:textDirection w:val="btLr"/>
          </w:tcPr>
          <w:p w:rsidR="00CD39A7" w:rsidRDefault="005B3809" w:rsidP="004235C7">
            <w:pPr>
              <w:pStyle w:val="TableParagraph"/>
              <w:spacing w:line="247" w:lineRule="auto"/>
              <w:ind w:left="113" w:right="173"/>
              <w:jc w:val="center"/>
              <w:rPr>
                <w:b/>
                <w:sz w:val="16"/>
              </w:rPr>
            </w:pPr>
            <w:r>
              <w:rPr>
                <w:b/>
                <w:bCs/>
                <w:sz w:val="16"/>
                <w:lang w:val="en"/>
              </w:rPr>
              <w:t>CLINICAL DATA ENTERED IN THE CASE REPORT FORM</w:t>
            </w:r>
          </w:p>
        </w:tc>
        <w:tc>
          <w:tcPr>
            <w:tcW w:w="1706" w:type="dxa"/>
            <w:vAlign w:val="center"/>
          </w:tcPr>
          <w:p w:rsidR="00CD39A7" w:rsidRDefault="005B3809" w:rsidP="00537444">
            <w:pPr>
              <w:pStyle w:val="TableParagraph"/>
              <w:spacing w:before="40" w:after="40" w:line="240" w:lineRule="auto"/>
              <w:ind w:left="105"/>
              <w:rPr>
                <w:b/>
                <w:sz w:val="16"/>
              </w:rPr>
            </w:pPr>
            <w:r>
              <w:rPr>
                <w:b/>
                <w:bCs/>
                <w:sz w:val="16"/>
                <w:lang w:val="en"/>
              </w:rPr>
              <w:t>Clinical data</w:t>
            </w:r>
          </w:p>
        </w:tc>
        <w:tc>
          <w:tcPr>
            <w:tcW w:w="1260" w:type="dxa"/>
          </w:tcPr>
          <w:p w:rsidR="00CD39A7" w:rsidRDefault="005B3809" w:rsidP="00537444">
            <w:pPr>
              <w:pStyle w:val="TableParagraph"/>
              <w:spacing w:before="40" w:after="40" w:line="240" w:lineRule="auto"/>
              <w:jc w:val="center"/>
              <w:rPr>
                <w:rFonts w:ascii="Wingdings 2" w:hAnsi="Wingdings 2"/>
                <w:b/>
                <w:sz w:val="16"/>
              </w:rPr>
            </w:pPr>
            <w:r>
              <w:rPr>
                <w:rFonts w:ascii="Wingdings 2" w:hAnsi="Wingdings 2"/>
                <w:b/>
                <w:bCs/>
                <w:sz w:val="16"/>
                <w:lang w:val="en"/>
              </w:rPr>
              <w:t></w:t>
            </w:r>
          </w:p>
        </w:tc>
        <w:tc>
          <w:tcPr>
            <w:tcW w:w="1080" w:type="dxa"/>
          </w:tcPr>
          <w:p w:rsidR="00CD39A7" w:rsidRDefault="005B3809" w:rsidP="00537444">
            <w:pPr>
              <w:pStyle w:val="TableParagraph"/>
              <w:spacing w:before="40" w:after="40" w:line="240" w:lineRule="auto"/>
              <w:ind w:right="1"/>
              <w:jc w:val="center"/>
              <w:rPr>
                <w:rFonts w:ascii="Wingdings 2" w:hAnsi="Wingdings 2"/>
                <w:b/>
                <w:sz w:val="16"/>
              </w:rPr>
            </w:pPr>
            <w:r>
              <w:rPr>
                <w:rFonts w:ascii="Wingdings 2" w:hAnsi="Wingdings 2"/>
                <w:b/>
                <w:bCs/>
                <w:sz w:val="16"/>
                <w:lang w:val="en"/>
              </w:rPr>
              <w:t></w:t>
            </w:r>
          </w:p>
        </w:tc>
        <w:tc>
          <w:tcPr>
            <w:tcW w:w="1440" w:type="dxa"/>
          </w:tcPr>
          <w:p w:rsidR="00CD39A7" w:rsidRDefault="005B3809" w:rsidP="00537444">
            <w:pPr>
              <w:pStyle w:val="TableParagraph"/>
              <w:spacing w:before="40" w:after="40" w:line="240" w:lineRule="auto"/>
              <w:ind w:right="1"/>
              <w:jc w:val="center"/>
              <w:rPr>
                <w:rFonts w:ascii="Wingdings 2" w:hAnsi="Wingdings 2"/>
                <w:b/>
                <w:sz w:val="16"/>
              </w:rPr>
            </w:pPr>
            <w:r>
              <w:rPr>
                <w:rFonts w:ascii="Wingdings 2" w:hAnsi="Wingdings 2"/>
                <w:b/>
                <w:bCs/>
                <w:sz w:val="16"/>
                <w:lang w:val="en"/>
              </w:rPr>
              <w:t></w:t>
            </w:r>
          </w:p>
        </w:tc>
        <w:tc>
          <w:tcPr>
            <w:tcW w:w="1812" w:type="dxa"/>
          </w:tcPr>
          <w:p w:rsidR="00CD39A7" w:rsidRDefault="005B3809" w:rsidP="00537444">
            <w:pPr>
              <w:pStyle w:val="TableParagraph"/>
              <w:spacing w:before="40" w:after="40" w:line="240" w:lineRule="auto"/>
              <w:ind w:right="11"/>
              <w:jc w:val="center"/>
              <w:rPr>
                <w:rFonts w:ascii="Wingdings 2" w:hAnsi="Wingdings 2"/>
                <w:b/>
                <w:sz w:val="16"/>
              </w:rPr>
            </w:pPr>
            <w:r>
              <w:rPr>
                <w:rFonts w:ascii="Wingdings 2" w:hAnsi="Wingdings 2"/>
                <w:b/>
                <w:bCs/>
                <w:sz w:val="16"/>
                <w:lang w:val="en"/>
              </w:rPr>
              <w:t></w:t>
            </w:r>
          </w:p>
        </w:tc>
        <w:tc>
          <w:tcPr>
            <w:tcW w:w="1428" w:type="dxa"/>
          </w:tcPr>
          <w:p w:rsidR="00CD39A7" w:rsidRDefault="005B3809" w:rsidP="00537444">
            <w:pPr>
              <w:pStyle w:val="TableParagraph"/>
              <w:spacing w:before="40" w:after="40" w:line="240" w:lineRule="auto"/>
              <w:ind w:right="11"/>
              <w:jc w:val="center"/>
              <w:rPr>
                <w:rFonts w:ascii="Wingdings 2" w:hAnsi="Wingdings 2"/>
                <w:b/>
                <w:sz w:val="16"/>
              </w:rPr>
            </w:pPr>
            <w:r>
              <w:rPr>
                <w:rFonts w:ascii="Wingdings 2" w:hAnsi="Wingdings 2"/>
                <w:b/>
                <w:bCs/>
                <w:sz w:val="16"/>
                <w:lang w:val="en"/>
              </w:rPr>
              <w:t></w:t>
            </w:r>
          </w:p>
        </w:tc>
      </w:tr>
      <w:tr w:rsidR="00CD39A7" w:rsidTr="00537444">
        <w:trPr>
          <w:cantSplit/>
          <w:trHeight w:val="283"/>
        </w:trPr>
        <w:tc>
          <w:tcPr>
            <w:tcW w:w="562" w:type="dxa"/>
            <w:vMerge/>
            <w:textDirection w:val="btLr"/>
          </w:tcPr>
          <w:p w:rsidR="00CD39A7" w:rsidRDefault="00CD39A7"/>
        </w:tc>
        <w:tc>
          <w:tcPr>
            <w:tcW w:w="1706" w:type="dxa"/>
            <w:vAlign w:val="center"/>
          </w:tcPr>
          <w:p w:rsidR="00CD39A7" w:rsidRDefault="005B3809" w:rsidP="00537444">
            <w:pPr>
              <w:pStyle w:val="TableParagraph"/>
              <w:spacing w:before="40" w:after="40" w:line="240" w:lineRule="auto"/>
              <w:ind w:left="105"/>
              <w:rPr>
                <w:b/>
                <w:sz w:val="16"/>
              </w:rPr>
            </w:pPr>
            <w:r>
              <w:rPr>
                <w:b/>
                <w:bCs/>
                <w:sz w:val="16"/>
                <w:lang w:val="en"/>
              </w:rPr>
              <w:t>Progress report</w:t>
            </w:r>
          </w:p>
        </w:tc>
        <w:tc>
          <w:tcPr>
            <w:tcW w:w="1260" w:type="dxa"/>
          </w:tcPr>
          <w:p w:rsidR="00CD39A7" w:rsidRDefault="005B3809" w:rsidP="00537444">
            <w:pPr>
              <w:pStyle w:val="TableParagraph"/>
              <w:spacing w:before="40" w:after="40" w:line="240" w:lineRule="auto"/>
              <w:jc w:val="center"/>
              <w:rPr>
                <w:rFonts w:ascii="Wingdings 2" w:hAnsi="Wingdings 2"/>
                <w:b/>
                <w:sz w:val="16"/>
              </w:rPr>
            </w:pPr>
            <w:r>
              <w:rPr>
                <w:rFonts w:ascii="Wingdings 2" w:hAnsi="Wingdings 2"/>
                <w:b/>
                <w:bCs/>
                <w:sz w:val="16"/>
                <w:lang w:val="en"/>
              </w:rPr>
              <w:t></w:t>
            </w:r>
          </w:p>
        </w:tc>
        <w:tc>
          <w:tcPr>
            <w:tcW w:w="1080" w:type="dxa"/>
          </w:tcPr>
          <w:p w:rsidR="00CD39A7" w:rsidRDefault="005B3809" w:rsidP="00537444">
            <w:pPr>
              <w:pStyle w:val="TableParagraph"/>
              <w:spacing w:before="40" w:after="40" w:line="240" w:lineRule="auto"/>
              <w:ind w:right="1"/>
              <w:jc w:val="center"/>
              <w:rPr>
                <w:rFonts w:ascii="Wingdings 2" w:hAnsi="Wingdings 2"/>
                <w:b/>
                <w:sz w:val="16"/>
              </w:rPr>
            </w:pPr>
            <w:r>
              <w:rPr>
                <w:rFonts w:ascii="Wingdings 2" w:hAnsi="Wingdings 2"/>
                <w:b/>
                <w:bCs/>
                <w:sz w:val="16"/>
                <w:lang w:val="en"/>
              </w:rPr>
              <w:t></w:t>
            </w:r>
          </w:p>
        </w:tc>
        <w:tc>
          <w:tcPr>
            <w:tcW w:w="1440" w:type="dxa"/>
          </w:tcPr>
          <w:p w:rsidR="00CD39A7" w:rsidRDefault="005B3809" w:rsidP="00537444">
            <w:pPr>
              <w:pStyle w:val="TableParagraph"/>
              <w:spacing w:before="40" w:after="40" w:line="240" w:lineRule="auto"/>
              <w:ind w:right="1"/>
              <w:jc w:val="center"/>
              <w:rPr>
                <w:rFonts w:ascii="Wingdings 2" w:hAnsi="Wingdings 2"/>
                <w:b/>
                <w:sz w:val="16"/>
              </w:rPr>
            </w:pPr>
            <w:r>
              <w:rPr>
                <w:rFonts w:ascii="Wingdings 2" w:hAnsi="Wingdings 2"/>
                <w:b/>
                <w:bCs/>
                <w:sz w:val="16"/>
                <w:lang w:val="en"/>
              </w:rPr>
              <w:t></w:t>
            </w:r>
          </w:p>
        </w:tc>
        <w:tc>
          <w:tcPr>
            <w:tcW w:w="1812" w:type="dxa"/>
          </w:tcPr>
          <w:p w:rsidR="00CD39A7" w:rsidRDefault="005B3809" w:rsidP="00537444">
            <w:pPr>
              <w:pStyle w:val="TableParagraph"/>
              <w:spacing w:before="40" w:after="40" w:line="240" w:lineRule="auto"/>
              <w:ind w:right="11"/>
              <w:jc w:val="center"/>
              <w:rPr>
                <w:rFonts w:ascii="Wingdings 2" w:hAnsi="Wingdings 2"/>
                <w:b/>
                <w:sz w:val="16"/>
              </w:rPr>
            </w:pPr>
            <w:r>
              <w:rPr>
                <w:rFonts w:ascii="Wingdings 2" w:hAnsi="Wingdings 2"/>
                <w:b/>
                <w:bCs/>
                <w:sz w:val="16"/>
                <w:lang w:val="en"/>
              </w:rPr>
              <w:t></w:t>
            </w:r>
          </w:p>
        </w:tc>
        <w:tc>
          <w:tcPr>
            <w:tcW w:w="1428" w:type="dxa"/>
          </w:tcPr>
          <w:p w:rsidR="00CD39A7" w:rsidRDefault="005B3809" w:rsidP="00537444">
            <w:pPr>
              <w:pStyle w:val="TableParagraph"/>
              <w:spacing w:before="40" w:after="40" w:line="240" w:lineRule="auto"/>
              <w:ind w:right="11"/>
              <w:jc w:val="center"/>
              <w:rPr>
                <w:rFonts w:ascii="Wingdings 2" w:hAnsi="Wingdings 2"/>
                <w:b/>
                <w:sz w:val="16"/>
              </w:rPr>
            </w:pPr>
            <w:r>
              <w:rPr>
                <w:rFonts w:ascii="Wingdings 2" w:hAnsi="Wingdings 2"/>
                <w:b/>
                <w:bCs/>
                <w:sz w:val="16"/>
                <w:lang w:val="en"/>
              </w:rPr>
              <w:t></w:t>
            </w:r>
          </w:p>
        </w:tc>
      </w:tr>
      <w:tr w:rsidR="00CD39A7" w:rsidTr="00537444">
        <w:trPr>
          <w:cantSplit/>
          <w:trHeight w:val="283"/>
        </w:trPr>
        <w:tc>
          <w:tcPr>
            <w:tcW w:w="562" w:type="dxa"/>
            <w:vMerge/>
            <w:textDirection w:val="btLr"/>
          </w:tcPr>
          <w:p w:rsidR="00CD39A7" w:rsidRDefault="00CD39A7"/>
        </w:tc>
        <w:tc>
          <w:tcPr>
            <w:tcW w:w="1706" w:type="dxa"/>
            <w:vAlign w:val="center"/>
          </w:tcPr>
          <w:p w:rsidR="00CD39A7" w:rsidRDefault="005B3809" w:rsidP="00537444">
            <w:pPr>
              <w:pStyle w:val="TableParagraph"/>
              <w:spacing w:before="40" w:after="40" w:line="240" w:lineRule="auto"/>
              <w:ind w:left="105"/>
              <w:rPr>
                <w:b/>
                <w:sz w:val="16"/>
              </w:rPr>
            </w:pPr>
            <w:r>
              <w:rPr>
                <w:b/>
                <w:bCs/>
                <w:sz w:val="16"/>
                <w:lang w:val="en"/>
              </w:rPr>
              <w:t>BVAS *</w:t>
            </w:r>
          </w:p>
        </w:tc>
        <w:tc>
          <w:tcPr>
            <w:tcW w:w="1260" w:type="dxa"/>
          </w:tcPr>
          <w:p w:rsidR="00CD39A7" w:rsidRDefault="005B3809" w:rsidP="00537444">
            <w:pPr>
              <w:pStyle w:val="TableParagraph"/>
              <w:spacing w:before="40" w:after="40" w:line="240" w:lineRule="auto"/>
              <w:jc w:val="center"/>
              <w:rPr>
                <w:rFonts w:ascii="Wingdings 2" w:hAnsi="Wingdings 2"/>
                <w:b/>
                <w:sz w:val="16"/>
              </w:rPr>
            </w:pPr>
            <w:r>
              <w:rPr>
                <w:rFonts w:ascii="Wingdings 2" w:hAnsi="Wingdings 2"/>
                <w:b/>
                <w:bCs/>
                <w:sz w:val="16"/>
                <w:lang w:val="en"/>
              </w:rPr>
              <w:t></w:t>
            </w:r>
          </w:p>
        </w:tc>
        <w:tc>
          <w:tcPr>
            <w:tcW w:w="1080" w:type="dxa"/>
          </w:tcPr>
          <w:p w:rsidR="00CD39A7" w:rsidRDefault="00CD39A7" w:rsidP="00537444">
            <w:pPr>
              <w:spacing w:before="40" w:after="40"/>
            </w:pPr>
          </w:p>
        </w:tc>
        <w:tc>
          <w:tcPr>
            <w:tcW w:w="1440" w:type="dxa"/>
          </w:tcPr>
          <w:p w:rsidR="00CD39A7" w:rsidRDefault="005B3809" w:rsidP="00537444">
            <w:pPr>
              <w:pStyle w:val="TableParagraph"/>
              <w:spacing w:before="40" w:after="40" w:line="240" w:lineRule="auto"/>
              <w:ind w:right="1"/>
              <w:jc w:val="center"/>
              <w:rPr>
                <w:rFonts w:ascii="Wingdings 2" w:hAnsi="Wingdings 2"/>
                <w:b/>
                <w:sz w:val="16"/>
              </w:rPr>
            </w:pPr>
            <w:r>
              <w:rPr>
                <w:rFonts w:ascii="Wingdings 2" w:hAnsi="Wingdings 2"/>
                <w:b/>
                <w:bCs/>
                <w:sz w:val="16"/>
                <w:lang w:val="en"/>
              </w:rPr>
              <w:t></w:t>
            </w:r>
          </w:p>
        </w:tc>
        <w:tc>
          <w:tcPr>
            <w:tcW w:w="1812" w:type="dxa"/>
          </w:tcPr>
          <w:p w:rsidR="00CD39A7" w:rsidRDefault="005B3809" w:rsidP="00537444">
            <w:pPr>
              <w:pStyle w:val="TableParagraph"/>
              <w:spacing w:before="40" w:after="40" w:line="240" w:lineRule="auto"/>
              <w:ind w:right="11"/>
              <w:jc w:val="center"/>
              <w:rPr>
                <w:rFonts w:ascii="Wingdings 2" w:hAnsi="Wingdings 2"/>
                <w:b/>
                <w:sz w:val="16"/>
              </w:rPr>
            </w:pPr>
            <w:r>
              <w:rPr>
                <w:rFonts w:ascii="Wingdings 2" w:hAnsi="Wingdings 2"/>
                <w:b/>
                <w:bCs/>
                <w:sz w:val="16"/>
                <w:lang w:val="en"/>
              </w:rPr>
              <w:t></w:t>
            </w:r>
          </w:p>
        </w:tc>
        <w:tc>
          <w:tcPr>
            <w:tcW w:w="1428" w:type="dxa"/>
          </w:tcPr>
          <w:p w:rsidR="00CD39A7" w:rsidRDefault="005B3809" w:rsidP="00537444">
            <w:pPr>
              <w:pStyle w:val="TableParagraph"/>
              <w:spacing w:before="40" w:after="40" w:line="240" w:lineRule="auto"/>
              <w:ind w:right="11"/>
              <w:jc w:val="center"/>
              <w:rPr>
                <w:rFonts w:ascii="Wingdings 2" w:hAnsi="Wingdings 2"/>
                <w:b/>
                <w:sz w:val="16"/>
              </w:rPr>
            </w:pPr>
            <w:r>
              <w:rPr>
                <w:rFonts w:ascii="Wingdings 2" w:hAnsi="Wingdings 2"/>
                <w:b/>
                <w:bCs/>
                <w:sz w:val="16"/>
                <w:lang w:val="en"/>
              </w:rPr>
              <w:t></w:t>
            </w:r>
          </w:p>
        </w:tc>
      </w:tr>
      <w:tr w:rsidR="00CD39A7" w:rsidTr="00537444">
        <w:trPr>
          <w:cantSplit/>
          <w:trHeight w:val="283"/>
        </w:trPr>
        <w:tc>
          <w:tcPr>
            <w:tcW w:w="562" w:type="dxa"/>
            <w:vMerge/>
            <w:textDirection w:val="btLr"/>
          </w:tcPr>
          <w:p w:rsidR="00CD39A7" w:rsidRDefault="00CD39A7"/>
        </w:tc>
        <w:tc>
          <w:tcPr>
            <w:tcW w:w="1706" w:type="dxa"/>
            <w:vAlign w:val="center"/>
          </w:tcPr>
          <w:p w:rsidR="00CD39A7" w:rsidRDefault="005B3809" w:rsidP="00537444">
            <w:pPr>
              <w:pStyle w:val="TableParagraph"/>
              <w:spacing w:before="40" w:after="40" w:line="240" w:lineRule="auto"/>
              <w:ind w:left="105"/>
              <w:rPr>
                <w:b/>
                <w:sz w:val="16"/>
              </w:rPr>
            </w:pPr>
            <w:r>
              <w:rPr>
                <w:b/>
                <w:bCs/>
                <w:sz w:val="16"/>
                <w:lang w:val="en"/>
              </w:rPr>
              <w:t>VDI</w:t>
            </w:r>
          </w:p>
        </w:tc>
        <w:tc>
          <w:tcPr>
            <w:tcW w:w="1260" w:type="dxa"/>
          </w:tcPr>
          <w:p w:rsidR="00CD39A7" w:rsidRDefault="005B3809" w:rsidP="00537444">
            <w:pPr>
              <w:pStyle w:val="TableParagraph"/>
              <w:spacing w:before="40" w:after="40" w:line="240" w:lineRule="auto"/>
              <w:jc w:val="center"/>
              <w:rPr>
                <w:rFonts w:ascii="Wingdings 2" w:hAnsi="Wingdings 2"/>
                <w:b/>
                <w:sz w:val="16"/>
              </w:rPr>
            </w:pPr>
            <w:r>
              <w:rPr>
                <w:rFonts w:ascii="Wingdings 2" w:hAnsi="Wingdings 2"/>
                <w:b/>
                <w:bCs/>
                <w:sz w:val="16"/>
                <w:lang w:val="en"/>
              </w:rPr>
              <w:t></w:t>
            </w:r>
          </w:p>
        </w:tc>
        <w:tc>
          <w:tcPr>
            <w:tcW w:w="1080" w:type="dxa"/>
          </w:tcPr>
          <w:p w:rsidR="00CD39A7" w:rsidRDefault="00CD39A7" w:rsidP="00537444">
            <w:pPr>
              <w:spacing w:before="40" w:after="40"/>
            </w:pPr>
          </w:p>
        </w:tc>
        <w:tc>
          <w:tcPr>
            <w:tcW w:w="1440" w:type="dxa"/>
          </w:tcPr>
          <w:p w:rsidR="00CD39A7" w:rsidRDefault="005B3809" w:rsidP="00537444">
            <w:pPr>
              <w:pStyle w:val="TableParagraph"/>
              <w:spacing w:before="40" w:after="40" w:line="240" w:lineRule="auto"/>
              <w:ind w:right="1"/>
              <w:jc w:val="center"/>
              <w:rPr>
                <w:rFonts w:ascii="Wingdings 2" w:hAnsi="Wingdings 2"/>
                <w:b/>
                <w:sz w:val="16"/>
              </w:rPr>
            </w:pPr>
            <w:r>
              <w:rPr>
                <w:rFonts w:ascii="Wingdings 2" w:hAnsi="Wingdings 2"/>
                <w:b/>
                <w:bCs/>
                <w:sz w:val="16"/>
                <w:lang w:val="en"/>
              </w:rPr>
              <w:t></w:t>
            </w:r>
          </w:p>
        </w:tc>
        <w:tc>
          <w:tcPr>
            <w:tcW w:w="1812" w:type="dxa"/>
          </w:tcPr>
          <w:p w:rsidR="00CD39A7" w:rsidRDefault="005B3809" w:rsidP="00537444">
            <w:pPr>
              <w:pStyle w:val="TableParagraph"/>
              <w:spacing w:before="40" w:after="40" w:line="240" w:lineRule="auto"/>
              <w:ind w:right="11"/>
              <w:jc w:val="center"/>
              <w:rPr>
                <w:rFonts w:ascii="Wingdings 2" w:hAnsi="Wingdings 2"/>
                <w:b/>
                <w:sz w:val="16"/>
              </w:rPr>
            </w:pPr>
            <w:r>
              <w:rPr>
                <w:rFonts w:ascii="Wingdings 2" w:hAnsi="Wingdings 2"/>
                <w:b/>
                <w:bCs/>
                <w:sz w:val="16"/>
                <w:lang w:val="en"/>
              </w:rPr>
              <w:t></w:t>
            </w:r>
          </w:p>
        </w:tc>
        <w:tc>
          <w:tcPr>
            <w:tcW w:w="1428" w:type="dxa"/>
          </w:tcPr>
          <w:p w:rsidR="00CD39A7" w:rsidRDefault="005B3809" w:rsidP="00537444">
            <w:pPr>
              <w:pStyle w:val="TableParagraph"/>
              <w:spacing w:before="40" w:after="40" w:line="240" w:lineRule="auto"/>
              <w:ind w:right="11"/>
              <w:jc w:val="center"/>
              <w:rPr>
                <w:rFonts w:ascii="Wingdings 2" w:hAnsi="Wingdings 2"/>
                <w:b/>
                <w:sz w:val="16"/>
              </w:rPr>
            </w:pPr>
            <w:r>
              <w:rPr>
                <w:rFonts w:ascii="Wingdings 2" w:hAnsi="Wingdings 2"/>
                <w:b/>
                <w:bCs/>
                <w:sz w:val="16"/>
                <w:lang w:val="en"/>
              </w:rPr>
              <w:t></w:t>
            </w:r>
          </w:p>
        </w:tc>
      </w:tr>
      <w:tr w:rsidR="00CD39A7" w:rsidTr="00537444">
        <w:trPr>
          <w:cantSplit/>
          <w:trHeight w:val="283"/>
        </w:trPr>
        <w:tc>
          <w:tcPr>
            <w:tcW w:w="562" w:type="dxa"/>
            <w:vMerge/>
            <w:textDirection w:val="btLr"/>
          </w:tcPr>
          <w:p w:rsidR="00CD39A7" w:rsidRDefault="00CD39A7"/>
        </w:tc>
        <w:tc>
          <w:tcPr>
            <w:tcW w:w="1706" w:type="dxa"/>
            <w:vAlign w:val="center"/>
          </w:tcPr>
          <w:p w:rsidR="00CD39A7" w:rsidRDefault="005B3809" w:rsidP="00537444">
            <w:pPr>
              <w:pStyle w:val="TableParagraph"/>
              <w:spacing w:before="40" w:after="40" w:line="240" w:lineRule="auto"/>
              <w:ind w:left="105"/>
              <w:rPr>
                <w:b/>
                <w:sz w:val="16"/>
              </w:rPr>
            </w:pPr>
            <w:r>
              <w:rPr>
                <w:b/>
                <w:bCs/>
                <w:sz w:val="16"/>
                <w:lang w:val="en"/>
              </w:rPr>
              <w:t>Treatments</w:t>
            </w:r>
          </w:p>
        </w:tc>
        <w:tc>
          <w:tcPr>
            <w:tcW w:w="1260" w:type="dxa"/>
          </w:tcPr>
          <w:p w:rsidR="00CD39A7" w:rsidRDefault="005B3809" w:rsidP="00537444">
            <w:pPr>
              <w:pStyle w:val="TableParagraph"/>
              <w:spacing w:before="40" w:after="40" w:line="240" w:lineRule="auto"/>
              <w:jc w:val="center"/>
              <w:rPr>
                <w:rFonts w:ascii="Wingdings 2" w:hAnsi="Wingdings 2"/>
                <w:b/>
                <w:sz w:val="16"/>
              </w:rPr>
            </w:pPr>
            <w:r>
              <w:rPr>
                <w:rFonts w:ascii="Wingdings 2" w:hAnsi="Wingdings 2"/>
                <w:b/>
                <w:bCs/>
                <w:sz w:val="16"/>
                <w:lang w:val="en"/>
              </w:rPr>
              <w:t></w:t>
            </w:r>
          </w:p>
        </w:tc>
        <w:tc>
          <w:tcPr>
            <w:tcW w:w="1080" w:type="dxa"/>
          </w:tcPr>
          <w:p w:rsidR="00CD39A7" w:rsidRDefault="005B3809" w:rsidP="00537444">
            <w:pPr>
              <w:pStyle w:val="TableParagraph"/>
              <w:spacing w:before="40" w:after="40" w:line="240" w:lineRule="auto"/>
              <w:ind w:right="1"/>
              <w:jc w:val="center"/>
              <w:rPr>
                <w:rFonts w:ascii="Wingdings 2" w:hAnsi="Wingdings 2"/>
                <w:b/>
                <w:sz w:val="16"/>
              </w:rPr>
            </w:pPr>
            <w:r>
              <w:rPr>
                <w:rFonts w:ascii="Wingdings 2" w:hAnsi="Wingdings 2"/>
                <w:b/>
                <w:bCs/>
                <w:sz w:val="16"/>
                <w:lang w:val="en"/>
              </w:rPr>
              <w:t></w:t>
            </w:r>
          </w:p>
        </w:tc>
        <w:tc>
          <w:tcPr>
            <w:tcW w:w="1440" w:type="dxa"/>
          </w:tcPr>
          <w:p w:rsidR="00CD39A7" w:rsidRDefault="005B3809" w:rsidP="00537444">
            <w:pPr>
              <w:pStyle w:val="TableParagraph"/>
              <w:spacing w:before="40" w:after="40" w:line="240" w:lineRule="auto"/>
              <w:ind w:right="1"/>
              <w:jc w:val="center"/>
              <w:rPr>
                <w:rFonts w:ascii="Wingdings 2" w:hAnsi="Wingdings 2"/>
                <w:b/>
                <w:sz w:val="16"/>
              </w:rPr>
            </w:pPr>
            <w:r>
              <w:rPr>
                <w:rFonts w:ascii="Wingdings 2" w:hAnsi="Wingdings 2"/>
                <w:b/>
                <w:bCs/>
                <w:sz w:val="16"/>
                <w:lang w:val="en"/>
              </w:rPr>
              <w:t></w:t>
            </w:r>
          </w:p>
        </w:tc>
        <w:tc>
          <w:tcPr>
            <w:tcW w:w="1812" w:type="dxa"/>
          </w:tcPr>
          <w:p w:rsidR="00CD39A7" w:rsidRDefault="005B3809" w:rsidP="00537444">
            <w:pPr>
              <w:pStyle w:val="TableParagraph"/>
              <w:spacing w:before="40" w:after="40" w:line="240" w:lineRule="auto"/>
              <w:ind w:right="11"/>
              <w:jc w:val="center"/>
              <w:rPr>
                <w:rFonts w:ascii="Wingdings 2" w:hAnsi="Wingdings 2"/>
                <w:b/>
                <w:sz w:val="16"/>
              </w:rPr>
            </w:pPr>
            <w:r>
              <w:rPr>
                <w:rFonts w:ascii="Wingdings 2" w:hAnsi="Wingdings 2"/>
                <w:b/>
                <w:bCs/>
                <w:sz w:val="16"/>
                <w:lang w:val="en"/>
              </w:rPr>
              <w:t></w:t>
            </w:r>
          </w:p>
        </w:tc>
        <w:tc>
          <w:tcPr>
            <w:tcW w:w="1428" w:type="dxa"/>
          </w:tcPr>
          <w:p w:rsidR="00CD39A7" w:rsidRDefault="005B3809" w:rsidP="00537444">
            <w:pPr>
              <w:pStyle w:val="TableParagraph"/>
              <w:spacing w:before="40" w:after="40" w:line="240" w:lineRule="auto"/>
              <w:ind w:right="11"/>
              <w:jc w:val="center"/>
              <w:rPr>
                <w:rFonts w:ascii="Wingdings 2" w:hAnsi="Wingdings 2"/>
                <w:b/>
                <w:sz w:val="16"/>
              </w:rPr>
            </w:pPr>
            <w:r>
              <w:rPr>
                <w:rFonts w:ascii="Wingdings 2" w:hAnsi="Wingdings 2"/>
                <w:b/>
                <w:bCs/>
                <w:sz w:val="16"/>
                <w:lang w:val="en"/>
              </w:rPr>
              <w:t></w:t>
            </w:r>
          </w:p>
        </w:tc>
      </w:tr>
      <w:tr w:rsidR="00CD39A7" w:rsidTr="00537444">
        <w:trPr>
          <w:cantSplit/>
          <w:trHeight w:val="283"/>
        </w:trPr>
        <w:tc>
          <w:tcPr>
            <w:tcW w:w="562" w:type="dxa"/>
            <w:vMerge/>
            <w:textDirection w:val="btLr"/>
          </w:tcPr>
          <w:p w:rsidR="00CD39A7" w:rsidRDefault="00CD39A7"/>
        </w:tc>
        <w:tc>
          <w:tcPr>
            <w:tcW w:w="1706" w:type="dxa"/>
            <w:vAlign w:val="center"/>
          </w:tcPr>
          <w:p w:rsidR="00CD39A7" w:rsidRDefault="005B3809" w:rsidP="00537444">
            <w:pPr>
              <w:pStyle w:val="TableParagraph"/>
              <w:spacing w:before="40" w:after="40" w:line="240" w:lineRule="auto"/>
              <w:ind w:left="105" w:right="380"/>
              <w:rPr>
                <w:b/>
                <w:sz w:val="16"/>
              </w:rPr>
            </w:pPr>
            <w:r>
              <w:rPr>
                <w:b/>
                <w:bCs/>
                <w:sz w:val="16"/>
                <w:lang w:val="en"/>
              </w:rPr>
              <w:t>Adverse Events, SAEs</w:t>
            </w:r>
          </w:p>
        </w:tc>
        <w:tc>
          <w:tcPr>
            <w:tcW w:w="1260" w:type="dxa"/>
          </w:tcPr>
          <w:p w:rsidR="00CD39A7" w:rsidRDefault="00CD39A7" w:rsidP="00537444">
            <w:pPr>
              <w:spacing w:before="40" w:after="40"/>
            </w:pPr>
          </w:p>
        </w:tc>
        <w:tc>
          <w:tcPr>
            <w:tcW w:w="1080" w:type="dxa"/>
          </w:tcPr>
          <w:p w:rsidR="00CD39A7" w:rsidRDefault="005B3809" w:rsidP="00537444">
            <w:pPr>
              <w:pStyle w:val="TableParagraph"/>
              <w:spacing w:before="40" w:after="40" w:line="240" w:lineRule="auto"/>
              <w:ind w:right="1"/>
              <w:jc w:val="center"/>
              <w:rPr>
                <w:rFonts w:ascii="Wingdings 2" w:hAnsi="Wingdings 2"/>
                <w:b/>
                <w:sz w:val="16"/>
              </w:rPr>
            </w:pPr>
            <w:r>
              <w:rPr>
                <w:rFonts w:ascii="Wingdings 2" w:hAnsi="Wingdings 2"/>
                <w:b/>
                <w:bCs/>
                <w:sz w:val="16"/>
                <w:lang w:val="en"/>
              </w:rPr>
              <w:t></w:t>
            </w:r>
          </w:p>
        </w:tc>
        <w:tc>
          <w:tcPr>
            <w:tcW w:w="1440" w:type="dxa"/>
          </w:tcPr>
          <w:p w:rsidR="00CD39A7" w:rsidRDefault="005B3809" w:rsidP="00537444">
            <w:pPr>
              <w:pStyle w:val="TableParagraph"/>
              <w:spacing w:before="40" w:after="40" w:line="240" w:lineRule="auto"/>
              <w:ind w:right="1"/>
              <w:jc w:val="center"/>
              <w:rPr>
                <w:rFonts w:ascii="Wingdings 2" w:hAnsi="Wingdings 2"/>
                <w:b/>
                <w:sz w:val="16"/>
              </w:rPr>
            </w:pPr>
            <w:r>
              <w:rPr>
                <w:rFonts w:ascii="Wingdings 2" w:hAnsi="Wingdings 2"/>
                <w:b/>
                <w:bCs/>
                <w:sz w:val="16"/>
                <w:lang w:val="en"/>
              </w:rPr>
              <w:t></w:t>
            </w:r>
          </w:p>
        </w:tc>
        <w:tc>
          <w:tcPr>
            <w:tcW w:w="1812" w:type="dxa"/>
          </w:tcPr>
          <w:p w:rsidR="00CD39A7" w:rsidRDefault="005B3809" w:rsidP="00537444">
            <w:pPr>
              <w:pStyle w:val="TableParagraph"/>
              <w:spacing w:before="40" w:after="40" w:line="240" w:lineRule="auto"/>
              <w:ind w:right="11"/>
              <w:jc w:val="center"/>
              <w:rPr>
                <w:rFonts w:ascii="Wingdings 2" w:hAnsi="Wingdings 2"/>
                <w:b/>
                <w:sz w:val="16"/>
              </w:rPr>
            </w:pPr>
            <w:r>
              <w:rPr>
                <w:rFonts w:ascii="Wingdings 2" w:hAnsi="Wingdings 2"/>
                <w:b/>
                <w:bCs/>
                <w:sz w:val="16"/>
                <w:lang w:val="en"/>
              </w:rPr>
              <w:t></w:t>
            </w:r>
          </w:p>
        </w:tc>
        <w:tc>
          <w:tcPr>
            <w:tcW w:w="1428" w:type="dxa"/>
          </w:tcPr>
          <w:p w:rsidR="00CD39A7" w:rsidRDefault="005B3809" w:rsidP="00537444">
            <w:pPr>
              <w:pStyle w:val="TableParagraph"/>
              <w:spacing w:before="40" w:after="40" w:line="240" w:lineRule="auto"/>
              <w:ind w:right="11"/>
              <w:jc w:val="center"/>
              <w:rPr>
                <w:rFonts w:ascii="Wingdings 2" w:hAnsi="Wingdings 2"/>
                <w:b/>
                <w:sz w:val="16"/>
              </w:rPr>
            </w:pPr>
            <w:r>
              <w:rPr>
                <w:rFonts w:ascii="Wingdings 2" w:hAnsi="Wingdings 2"/>
                <w:b/>
                <w:bCs/>
                <w:sz w:val="16"/>
                <w:lang w:val="en"/>
              </w:rPr>
              <w:t></w:t>
            </w:r>
          </w:p>
        </w:tc>
      </w:tr>
      <w:tr w:rsidR="00CD39A7">
        <w:trPr>
          <w:trHeight w:hRule="exact" w:val="250"/>
        </w:trPr>
        <w:tc>
          <w:tcPr>
            <w:tcW w:w="2268" w:type="dxa"/>
            <w:gridSpan w:val="2"/>
            <w:shd w:val="clear" w:color="auto" w:fill="E1E1E1"/>
          </w:tcPr>
          <w:p w:rsidR="00CD39A7" w:rsidRDefault="00CD39A7"/>
        </w:tc>
        <w:tc>
          <w:tcPr>
            <w:tcW w:w="1260" w:type="dxa"/>
            <w:shd w:val="clear" w:color="auto" w:fill="E1E1E1"/>
          </w:tcPr>
          <w:p w:rsidR="00CD39A7" w:rsidRDefault="00CD39A7"/>
        </w:tc>
        <w:tc>
          <w:tcPr>
            <w:tcW w:w="1080" w:type="dxa"/>
            <w:shd w:val="clear" w:color="auto" w:fill="E1E1E1"/>
          </w:tcPr>
          <w:p w:rsidR="00CD39A7" w:rsidRDefault="00CD39A7"/>
        </w:tc>
        <w:tc>
          <w:tcPr>
            <w:tcW w:w="1440" w:type="dxa"/>
            <w:shd w:val="clear" w:color="auto" w:fill="E1E1E1"/>
          </w:tcPr>
          <w:p w:rsidR="00CD39A7" w:rsidRDefault="00CD39A7"/>
        </w:tc>
        <w:tc>
          <w:tcPr>
            <w:tcW w:w="1812" w:type="dxa"/>
            <w:shd w:val="clear" w:color="auto" w:fill="E1E1E1"/>
          </w:tcPr>
          <w:p w:rsidR="00CD39A7" w:rsidRDefault="00CD39A7"/>
        </w:tc>
        <w:tc>
          <w:tcPr>
            <w:tcW w:w="1428" w:type="dxa"/>
            <w:shd w:val="clear" w:color="auto" w:fill="E1E1E1"/>
          </w:tcPr>
          <w:p w:rsidR="00CD39A7" w:rsidRDefault="00CD39A7"/>
        </w:tc>
      </w:tr>
      <w:tr w:rsidR="00CD39A7" w:rsidRPr="00EE1CCF" w:rsidTr="0093671F">
        <w:trPr>
          <w:trHeight w:val="283"/>
        </w:trPr>
        <w:tc>
          <w:tcPr>
            <w:tcW w:w="2268" w:type="dxa"/>
            <w:gridSpan w:val="2"/>
            <w:tcBorders>
              <w:top w:val="single" w:sz="17" w:space="0" w:color="E1E1E1"/>
            </w:tcBorders>
            <w:vAlign w:val="center"/>
          </w:tcPr>
          <w:p w:rsidR="00CD39A7" w:rsidRPr="00EE1CCF" w:rsidRDefault="005B3809" w:rsidP="0093671F">
            <w:pPr>
              <w:pStyle w:val="TableParagraph"/>
              <w:spacing w:before="40" w:after="40" w:line="240" w:lineRule="auto"/>
              <w:ind w:left="103"/>
              <w:rPr>
                <w:b/>
                <w:sz w:val="16"/>
                <w:szCs w:val="16"/>
              </w:rPr>
            </w:pPr>
            <w:r w:rsidRPr="00EE1CCF">
              <w:rPr>
                <w:b/>
                <w:bCs/>
                <w:sz w:val="16"/>
                <w:szCs w:val="16"/>
                <w:lang w:val="en"/>
              </w:rPr>
              <w:t>RITUXIMAB Injection</w:t>
            </w:r>
          </w:p>
        </w:tc>
        <w:tc>
          <w:tcPr>
            <w:tcW w:w="1260" w:type="dxa"/>
            <w:tcBorders>
              <w:top w:val="single" w:sz="17" w:space="0" w:color="E1E1E1"/>
            </w:tcBorders>
          </w:tcPr>
          <w:p w:rsidR="00CD39A7" w:rsidRPr="00EE1CCF" w:rsidRDefault="005B3809" w:rsidP="0093671F">
            <w:pPr>
              <w:pStyle w:val="TableParagraph"/>
              <w:spacing w:after="120" w:line="240" w:lineRule="auto"/>
              <w:ind w:left="143" w:right="140"/>
              <w:jc w:val="center"/>
              <w:rPr>
                <w:b/>
                <w:sz w:val="16"/>
                <w:szCs w:val="16"/>
              </w:rPr>
            </w:pPr>
            <w:r w:rsidRPr="00EE1CCF">
              <w:rPr>
                <w:b/>
                <w:bCs/>
                <w:sz w:val="16"/>
                <w:szCs w:val="16"/>
                <w:lang w:val="en"/>
              </w:rPr>
              <w:t>D1 + 4 days</w:t>
            </w:r>
          </w:p>
        </w:tc>
        <w:tc>
          <w:tcPr>
            <w:tcW w:w="1080" w:type="dxa"/>
            <w:tcBorders>
              <w:top w:val="single" w:sz="17" w:space="0" w:color="E1E1E1"/>
            </w:tcBorders>
          </w:tcPr>
          <w:p w:rsidR="00CD39A7" w:rsidRPr="00EE1CCF" w:rsidRDefault="005B3809" w:rsidP="0093671F">
            <w:pPr>
              <w:pStyle w:val="TableParagraph"/>
              <w:spacing w:after="120"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440" w:type="dxa"/>
            <w:tcBorders>
              <w:top w:val="single" w:sz="17" w:space="0" w:color="E1E1E1"/>
            </w:tcBorders>
          </w:tcPr>
          <w:p w:rsidR="00CD39A7" w:rsidRPr="00EE1CCF" w:rsidRDefault="00CD39A7" w:rsidP="0093671F">
            <w:pPr>
              <w:spacing w:after="120"/>
              <w:rPr>
                <w:sz w:val="16"/>
                <w:szCs w:val="16"/>
              </w:rPr>
            </w:pPr>
          </w:p>
        </w:tc>
        <w:tc>
          <w:tcPr>
            <w:tcW w:w="1812" w:type="dxa"/>
            <w:tcBorders>
              <w:top w:val="single" w:sz="17" w:space="0" w:color="E1E1E1"/>
            </w:tcBorders>
          </w:tcPr>
          <w:p w:rsidR="00CD39A7" w:rsidRPr="00EE1CCF" w:rsidRDefault="00EE1CCF" w:rsidP="0093671F">
            <w:pPr>
              <w:pStyle w:val="TableParagraph"/>
              <w:spacing w:after="120" w:line="240" w:lineRule="auto"/>
              <w:ind w:left="91" w:right="231"/>
              <w:jc w:val="center"/>
              <w:rPr>
                <w:b/>
                <w:sz w:val="16"/>
                <w:szCs w:val="16"/>
              </w:rPr>
            </w:pPr>
            <w:r w:rsidRPr="00EE1CCF">
              <w:rPr>
                <w:rFonts w:ascii="Wingdings 2" w:hAnsi="Wingdings 2"/>
                <w:b/>
                <w:bCs/>
                <w:sz w:val="16"/>
                <w:szCs w:val="16"/>
                <w:lang w:val="en"/>
              </w:rPr>
              <w:t></w:t>
            </w:r>
            <w:r w:rsidR="005B3809" w:rsidRPr="00EE1CCF">
              <w:rPr>
                <w:b/>
                <w:bCs/>
                <w:sz w:val="16"/>
                <w:szCs w:val="16"/>
                <w:lang w:val="en"/>
              </w:rPr>
              <w:t xml:space="preserve"> M6, M12 and M18</w:t>
            </w:r>
          </w:p>
        </w:tc>
        <w:tc>
          <w:tcPr>
            <w:tcW w:w="1428" w:type="dxa"/>
            <w:tcBorders>
              <w:top w:val="single" w:sz="17" w:space="0" w:color="E1E1E1"/>
            </w:tcBorders>
          </w:tcPr>
          <w:p w:rsidR="00CD39A7" w:rsidRPr="00EE1CCF" w:rsidRDefault="00CD39A7" w:rsidP="0093671F">
            <w:pPr>
              <w:spacing w:after="120"/>
              <w:rPr>
                <w:sz w:val="16"/>
                <w:szCs w:val="16"/>
              </w:rPr>
            </w:pPr>
          </w:p>
        </w:tc>
      </w:tr>
      <w:tr w:rsidR="00CD39A7" w:rsidRPr="00EE1CCF" w:rsidTr="0093671F">
        <w:trPr>
          <w:trHeight w:val="283"/>
        </w:trPr>
        <w:tc>
          <w:tcPr>
            <w:tcW w:w="2268" w:type="dxa"/>
            <w:gridSpan w:val="2"/>
            <w:vAlign w:val="center"/>
          </w:tcPr>
          <w:p w:rsidR="00CD39A7" w:rsidRPr="00EE1CCF" w:rsidRDefault="005B3809" w:rsidP="0093671F">
            <w:pPr>
              <w:pStyle w:val="TableParagraph"/>
              <w:spacing w:before="40" w:after="40" w:line="240" w:lineRule="auto"/>
              <w:ind w:left="103" w:right="239"/>
              <w:rPr>
                <w:b/>
                <w:sz w:val="16"/>
                <w:szCs w:val="16"/>
              </w:rPr>
            </w:pPr>
            <w:r w:rsidRPr="00EE1CCF">
              <w:rPr>
                <w:b/>
                <w:bCs/>
                <w:sz w:val="16"/>
                <w:szCs w:val="16"/>
                <w:lang w:val="en"/>
              </w:rPr>
              <w:t>AZATHIOPRINE Dispensing</w:t>
            </w:r>
            <w:r w:rsidR="004235C7">
              <w:rPr>
                <w:b/>
                <w:sz w:val="16"/>
                <w:szCs w:val="16"/>
              </w:rPr>
              <w:t xml:space="preserve"> </w:t>
            </w:r>
            <w:r w:rsidRPr="00EE1CCF">
              <w:rPr>
                <w:b/>
                <w:bCs/>
                <w:sz w:val="16"/>
                <w:szCs w:val="16"/>
                <w:lang w:val="en"/>
              </w:rPr>
              <w:t>(for 3 months)</w:t>
            </w:r>
          </w:p>
        </w:tc>
        <w:tc>
          <w:tcPr>
            <w:tcW w:w="1260" w:type="dxa"/>
          </w:tcPr>
          <w:p w:rsidR="00CD39A7" w:rsidRPr="00EE1CCF" w:rsidRDefault="005B3809" w:rsidP="0093671F">
            <w:pPr>
              <w:pStyle w:val="TableParagraph"/>
              <w:spacing w:after="120" w:line="240" w:lineRule="auto"/>
              <w:ind w:left="141" w:right="141"/>
              <w:jc w:val="center"/>
              <w:rPr>
                <w:b/>
                <w:sz w:val="16"/>
                <w:szCs w:val="16"/>
              </w:rPr>
            </w:pPr>
            <w:r w:rsidRPr="00EE1CCF">
              <w:rPr>
                <w:b/>
                <w:bCs/>
                <w:sz w:val="16"/>
                <w:szCs w:val="16"/>
                <w:lang w:val="en"/>
              </w:rPr>
              <w:t>D1 + 4 days</w:t>
            </w:r>
          </w:p>
        </w:tc>
        <w:tc>
          <w:tcPr>
            <w:tcW w:w="1080" w:type="dxa"/>
          </w:tcPr>
          <w:p w:rsidR="00CD39A7" w:rsidRPr="00EE1CCF" w:rsidRDefault="00CD39A7" w:rsidP="0093671F">
            <w:pPr>
              <w:spacing w:after="120"/>
              <w:rPr>
                <w:sz w:val="16"/>
                <w:szCs w:val="16"/>
              </w:rPr>
            </w:pPr>
          </w:p>
        </w:tc>
        <w:tc>
          <w:tcPr>
            <w:tcW w:w="1440" w:type="dxa"/>
          </w:tcPr>
          <w:p w:rsidR="00CD39A7" w:rsidRPr="00EE1CCF" w:rsidRDefault="005B3809" w:rsidP="0093671F">
            <w:pPr>
              <w:pStyle w:val="TableParagraph"/>
              <w:spacing w:after="120"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812" w:type="dxa"/>
          </w:tcPr>
          <w:p w:rsidR="00CD39A7" w:rsidRPr="00EE1CCF" w:rsidRDefault="00EE1CCF" w:rsidP="0093671F">
            <w:pPr>
              <w:pStyle w:val="TableParagraph"/>
              <w:spacing w:after="120" w:line="240" w:lineRule="auto"/>
              <w:ind w:left="91" w:right="234" w:hanging="44"/>
              <w:jc w:val="right"/>
              <w:rPr>
                <w:b/>
                <w:sz w:val="16"/>
                <w:szCs w:val="16"/>
              </w:rPr>
            </w:pPr>
            <w:r w:rsidRPr="00EE1CCF">
              <w:rPr>
                <w:rFonts w:ascii="Wingdings 2" w:hAnsi="Wingdings 2"/>
                <w:b/>
                <w:bCs/>
                <w:sz w:val="16"/>
                <w:szCs w:val="16"/>
                <w:lang w:val="en"/>
              </w:rPr>
              <w:t></w:t>
            </w:r>
            <w:r w:rsidR="005B3809" w:rsidRPr="00EE1CCF">
              <w:rPr>
                <w:b/>
                <w:bCs/>
                <w:sz w:val="16"/>
                <w:szCs w:val="16"/>
                <w:lang w:val="en"/>
              </w:rPr>
              <w:t xml:space="preserve"> M6, M9, M12, and M15, M18, and M21</w:t>
            </w:r>
          </w:p>
        </w:tc>
        <w:tc>
          <w:tcPr>
            <w:tcW w:w="1428" w:type="dxa"/>
          </w:tcPr>
          <w:p w:rsidR="00CD39A7" w:rsidRPr="00EE1CCF" w:rsidRDefault="00CD39A7" w:rsidP="0093671F">
            <w:pPr>
              <w:spacing w:after="120"/>
              <w:rPr>
                <w:sz w:val="16"/>
                <w:szCs w:val="16"/>
              </w:rPr>
            </w:pPr>
          </w:p>
        </w:tc>
      </w:tr>
      <w:tr w:rsidR="00CD39A7" w:rsidRPr="00EE1CCF" w:rsidTr="0093671F">
        <w:trPr>
          <w:trHeight w:val="283"/>
        </w:trPr>
        <w:tc>
          <w:tcPr>
            <w:tcW w:w="2268" w:type="dxa"/>
            <w:gridSpan w:val="2"/>
            <w:vAlign w:val="center"/>
          </w:tcPr>
          <w:p w:rsidR="00CD39A7" w:rsidRPr="00EE1CCF" w:rsidRDefault="005B3809" w:rsidP="0093671F">
            <w:pPr>
              <w:pStyle w:val="TableParagraph"/>
              <w:spacing w:before="40" w:after="40" w:line="182" w:lineRule="exact"/>
              <w:ind w:left="103"/>
              <w:rPr>
                <w:b/>
                <w:sz w:val="16"/>
                <w:szCs w:val="16"/>
              </w:rPr>
            </w:pPr>
            <w:r w:rsidRPr="00EE1CCF">
              <w:rPr>
                <w:b/>
                <w:bCs/>
                <w:sz w:val="16"/>
                <w:szCs w:val="16"/>
                <w:lang w:val="en"/>
              </w:rPr>
              <w:t>Compliance Monitoring Booklet Provided to Patients</w:t>
            </w:r>
            <w:r w:rsidR="0093671F">
              <w:rPr>
                <w:b/>
                <w:bCs/>
                <w:sz w:val="16"/>
                <w:szCs w:val="16"/>
                <w:lang w:val="en"/>
              </w:rPr>
              <w:t xml:space="preserve"> </w:t>
            </w:r>
            <w:r w:rsidR="0093671F">
              <w:rPr>
                <w:b/>
                <w:bCs/>
                <w:sz w:val="16"/>
                <w:szCs w:val="16"/>
                <w:lang w:val="en"/>
              </w:rPr>
              <w:br/>
            </w:r>
            <w:r w:rsidRPr="00EE1CCF">
              <w:rPr>
                <w:b/>
                <w:bCs/>
                <w:sz w:val="16"/>
                <w:szCs w:val="16"/>
                <w:lang w:val="en"/>
              </w:rPr>
              <w:t>(1 yellow booklet for 3 months)</w:t>
            </w:r>
          </w:p>
        </w:tc>
        <w:tc>
          <w:tcPr>
            <w:tcW w:w="1260" w:type="dxa"/>
          </w:tcPr>
          <w:p w:rsidR="00CD39A7" w:rsidRPr="00EE1CCF" w:rsidRDefault="005B3809" w:rsidP="0093671F">
            <w:pPr>
              <w:pStyle w:val="TableParagraph"/>
              <w:spacing w:after="120" w:line="240" w:lineRule="auto"/>
              <w:ind w:left="143" w:right="141"/>
              <w:jc w:val="center"/>
              <w:rPr>
                <w:b/>
                <w:sz w:val="16"/>
                <w:szCs w:val="16"/>
              </w:rPr>
            </w:pPr>
            <w:r w:rsidRPr="00EE1CCF">
              <w:rPr>
                <w:b/>
                <w:bCs/>
                <w:sz w:val="16"/>
                <w:szCs w:val="16"/>
                <w:lang w:val="en"/>
              </w:rPr>
              <w:t>D1 + 4 days</w:t>
            </w:r>
          </w:p>
          <w:p w:rsidR="00CD39A7" w:rsidRPr="00EE1CCF" w:rsidRDefault="005B3809" w:rsidP="0093671F">
            <w:pPr>
              <w:pStyle w:val="TableParagraph"/>
              <w:spacing w:after="120" w:line="240" w:lineRule="auto"/>
              <w:jc w:val="center"/>
              <w:rPr>
                <w:rFonts w:ascii="Wingdings 2" w:hAnsi="Wingdings 2"/>
                <w:b/>
                <w:sz w:val="16"/>
                <w:szCs w:val="16"/>
              </w:rPr>
            </w:pPr>
            <w:r w:rsidRPr="00EE1CCF">
              <w:rPr>
                <w:rFonts w:ascii="Wingdings 2" w:hAnsi="Wingdings 2"/>
                <w:b/>
                <w:bCs/>
                <w:sz w:val="16"/>
                <w:szCs w:val="16"/>
                <w:lang w:val="en"/>
              </w:rPr>
              <w:t></w:t>
            </w:r>
          </w:p>
        </w:tc>
        <w:tc>
          <w:tcPr>
            <w:tcW w:w="1080" w:type="dxa"/>
          </w:tcPr>
          <w:p w:rsidR="00CD39A7" w:rsidRPr="00EE1CCF" w:rsidRDefault="00CD39A7" w:rsidP="0093671F">
            <w:pPr>
              <w:spacing w:after="120"/>
              <w:rPr>
                <w:sz w:val="16"/>
                <w:szCs w:val="16"/>
              </w:rPr>
            </w:pPr>
          </w:p>
        </w:tc>
        <w:tc>
          <w:tcPr>
            <w:tcW w:w="1440" w:type="dxa"/>
          </w:tcPr>
          <w:p w:rsidR="00CD39A7" w:rsidRPr="00EE1CCF" w:rsidRDefault="005B3809" w:rsidP="0093671F">
            <w:pPr>
              <w:pStyle w:val="TableParagraph"/>
              <w:spacing w:after="120"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812" w:type="dxa"/>
          </w:tcPr>
          <w:p w:rsidR="00CD39A7" w:rsidRPr="00EE1CCF" w:rsidRDefault="005B3809" w:rsidP="0093671F">
            <w:pPr>
              <w:pStyle w:val="TableParagraph"/>
              <w:spacing w:after="120" w:line="240" w:lineRule="auto"/>
              <w:ind w:right="2"/>
              <w:jc w:val="center"/>
              <w:rPr>
                <w:rFonts w:ascii="Wingdings 2" w:hAnsi="Wingdings 2"/>
                <w:b/>
                <w:sz w:val="16"/>
                <w:szCs w:val="16"/>
              </w:rPr>
            </w:pPr>
            <w:r w:rsidRPr="00EE1CCF">
              <w:rPr>
                <w:rFonts w:ascii="Wingdings 2" w:hAnsi="Wingdings 2"/>
                <w:b/>
                <w:bCs/>
                <w:sz w:val="16"/>
                <w:szCs w:val="16"/>
                <w:lang w:val="en"/>
              </w:rPr>
              <w:t></w:t>
            </w:r>
          </w:p>
        </w:tc>
        <w:tc>
          <w:tcPr>
            <w:tcW w:w="1428" w:type="dxa"/>
          </w:tcPr>
          <w:p w:rsidR="00CD39A7" w:rsidRPr="00EE1CCF" w:rsidRDefault="00CD39A7" w:rsidP="0093671F">
            <w:pPr>
              <w:spacing w:after="120"/>
              <w:rPr>
                <w:sz w:val="16"/>
                <w:szCs w:val="16"/>
              </w:rPr>
            </w:pPr>
          </w:p>
        </w:tc>
      </w:tr>
      <w:tr w:rsidR="00CD39A7" w:rsidRPr="00EE1CCF">
        <w:trPr>
          <w:trHeight w:hRule="exact" w:val="250"/>
        </w:trPr>
        <w:tc>
          <w:tcPr>
            <w:tcW w:w="2268" w:type="dxa"/>
            <w:gridSpan w:val="2"/>
            <w:shd w:val="clear" w:color="auto" w:fill="E1E1E1"/>
          </w:tcPr>
          <w:p w:rsidR="00CD39A7" w:rsidRPr="00EE1CCF" w:rsidRDefault="00CD39A7">
            <w:pPr>
              <w:rPr>
                <w:sz w:val="16"/>
                <w:szCs w:val="16"/>
              </w:rPr>
            </w:pPr>
          </w:p>
        </w:tc>
        <w:tc>
          <w:tcPr>
            <w:tcW w:w="1260" w:type="dxa"/>
            <w:shd w:val="clear" w:color="auto" w:fill="E1E1E1"/>
          </w:tcPr>
          <w:p w:rsidR="00CD39A7" w:rsidRPr="00EE1CCF" w:rsidRDefault="00CD39A7">
            <w:pPr>
              <w:rPr>
                <w:sz w:val="16"/>
                <w:szCs w:val="16"/>
              </w:rPr>
            </w:pPr>
          </w:p>
        </w:tc>
        <w:tc>
          <w:tcPr>
            <w:tcW w:w="1080" w:type="dxa"/>
            <w:shd w:val="clear" w:color="auto" w:fill="E1E1E1"/>
          </w:tcPr>
          <w:p w:rsidR="00CD39A7" w:rsidRPr="00EE1CCF" w:rsidRDefault="00CD39A7">
            <w:pPr>
              <w:rPr>
                <w:sz w:val="16"/>
                <w:szCs w:val="16"/>
              </w:rPr>
            </w:pPr>
          </w:p>
        </w:tc>
        <w:tc>
          <w:tcPr>
            <w:tcW w:w="1440" w:type="dxa"/>
            <w:shd w:val="clear" w:color="auto" w:fill="E1E1E1"/>
          </w:tcPr>
          <w:p w:rsidR="00CD39A7" w:rsidRPr="00EE1CCF" w:rsidRDefault="00CD39A7">
            <w:pPr>
              <w:rPr>
                <w:sz w:val="16"/>
                <w:szCs w:val="16"/>
              </w:rPr>
            </w:pPr>
          </w:p>
        </w:tc>
        <w:tc>
          <w:tcPr>
            <w:tcW w:w="1812" w:type="dxa"/>
            <w:shd w:val="clear" w:color="auto" w:fill="E1E1E1"/>
          </w:tcPr>
          <w:p w:rsidR="00CD39A7" w:rsidRPr="00EE1CCF" w:rsidRDefault="00CD39A7">
            <w:pPr>
              <w:rPr>
                <w:sz w:val="16"/>
                <w:szCs w:val="16"/>
              </w:rPr>
            </w:pPr>
          </w:p>
        </w:tc>
        <w:tc>
          <w:tcPr>
            <w:tcW w:w="1428" w:type="dxa"/>
            <w:shd w:val="clear" w:color="auto" w:fill="E1E1E1"/>
          </w:tcPr>
          <w:p w:rsidR="00CD39A7" w:rsidRPr="00EE1CCF" w:rsidRDefault="00CD39A7">
            <w:pPr>
              <w:rPr>
                <w:sz w:val="16"/>
                <w:szCs w:val="16"/>
              </w:rPr>
            </w:pPr>
          </w:p>
        </w:tc>
      </w:tr>
      <w:tr w:rsidR="00CD39A7" w:rsidRPr="00EE1CCF" w:rsidTr="00C61386">
        <w:trPr>
          <w:trHeight w:val="283"/>
        </w:trPr>
        <w:tc>
          <w:tcPr>
            <w:tcW w:w="2268" w:type="dxa"/>
            <w:gridSpan w:val="2"/>
            <w:tcBorders>
              <w:top w:val="single" w:sz="12" w:space="0" w:color="E1E1E1"/>
            </w:tcBorders>
            <w:vAlign w:val="center"/>
          </w:tcPr>
          <w:p w:rsidR="00CD39A7" w:rsidRPr="00EE1CCF" w:rsidRDefault="005B3809" w:rsidP="00C61386">
            <w:pPr>
              <w:pStyle w:val="TableParagraph"/>
              <w:spacing w:before="40" w:after="40" w:line="240" w:lineRule="auto"/>
              <w:ind w:left="103"/>
              <w:rPr>
                <w:b/>
                <w:sz w:val="16"/>
                <w:szCs w:val="16"/>
              </w:rPr>
            </w:pPr>
            <w:r w:rsidRPr="00EE1CCF">
              <w:rPr>
                <w:b/>
                <w:bCs/>
                <w:sz w:val="16"/>
                <w:szCs w:val="16"/>
                <w:lang w:val="en"/>
              </w:rPr>
              <w:t>HIV and Hepatitis B and C Serology and Confirmation of Immunization Status</w:t>
            </w:r>
          </w:p>
        </w:tc>
        <w:tc>
          <w:tcPr>
            <w:tcW w:w="1260" w:type="dxa"/>
            <w:tcBorders>
              <w:top w:val="single" w:sz="12" w:space="0" w:color="E1E1E1"/>
            </w:tcBorders>
          </w:tcPr>
          <w:p w:rsidR="00CD39A7" w:rsidRPr="00EE1CCF" w:rsidRDefault="005B3809" w:rsidP="006A4AFA">
            <w:pPr>
              <w:pStyle w:val="TableParagraph"/>
              <w:spacing w:before="84" w:line="240" w:lineRule="auto"/>
              <w:ind w:left="331" w:right="222" w:hanging="3"/>
              <w:rPr>
                <w:b/>
                <w:sz w:val="16"/>
                <w:szCs w:val="16"/>
              </w:rPr>
            </w:pPr>
            <w:r w:rsidRPr="00EE1CCF">
              <w:rPr>
                <w:b/>
                <w:bCs/>
                <w:sz w:val="16"/>
                <w:szCs w:val="16"/>
                <w:lang w:val="en"/>
              </w:rPr>
              <w:t>Screening visit</w:t>
            </w:r>
          </w:p>
        </w:tc>
        <w:tc>
          <w:tcPr>
            <w:tcW w:w="1080" w:type="dxa"/>
            <w:tcBorders>
              <w:top w:val="single" w:sz="12" w:space="0" w:color="E1E1E1"/>
            </w:tcBorders>
          </w:tcPr>
          <w:p w:rsidR="00CD39A7" w:rsidRPr="00EE1CCF" w:rsidRDefault="00CD39A7">
            <w:pPr>
              <w:rPr>
                <w:sz w:val="16"/>
                <w:szCs w:val="16"/>
              </w:rPr>
            </w:pPr>
          </w:p>
        </w:tc>
        <w:tc>
          <w:tcPr>
            <w:tcW w:w="1440" w:type="dxa"/>
            <w:tcBorders>
              <w:top w:val="single" w:sz="12" w:space="0" w:color="E1E1E1"/>
            </w:tcBorders>
          </w:tcPr>
          <w:p w:rsidR="00CD39A7" w:rsidRPr="00EE1CCF" w:rsidRDefault="00CD39A7">
            <w:pPr>
              <w:rPr>
                <w:sz w:val="16"/>
                <w:szCs w:val="16"/>
              </w:rPr>
            </w:pPr>
          </w:p>
        </w:tc>
        <w:tc>
          <w:tcPr>
            <w:tcW w:w="1812" w:type="dxa"/>
            <w:tcBorders>
              <w:top w:val="single" w:sz="12" w:space="0" w:color="E1E1E1"/>
            </w:tcBorders>
          </w:tcPr>
          <w:p w:rsidR="00CD39A7" w:rsidRPr="00EE1CCF" w:rsidRDefault="00CD39A7">
            <w:pPr>
              <w:rPr>
                <w:sz w:val="16"/>
                <w:szCs w:val="16"/>
              </w:rPr>
            </w:pPr>
          </w:p>
        </w:tc>
        <w:tc>
          <w:tcPr>
            <w:tcW w:w="1428" w:type="dxa"/>
            <w:tcBorders>
              <w:top w:val="single" w:sz="12" w:space="0" w:color="E1E1E1"/>
            </w:tcBorders>
          </w:tcPr>
          <w:p w:rsidR="00CD39A7" w:rsidRPr="00EE1CCF" w:rsidRDefault="00CD39A7">
            <w:pPr>
              <w:rPr>
                <w:sz w:val="16"/>
                <w:szCs w:val="16"/>
              </w:rPr>
            </w:pPr>
          </w:p>
        </w:tc>
      </w:tr>
      <w:tr w:rsidR="00CD39A7" w:rsidRPr="00EE1CCF" w:rsidTr="00C61386">
        <w:trPr>
          <w:trHeight w:val="283"/>
        </w:trPr>
        <w:tc>
          <w:tcPr>
            <w:tcW w:w="2268" w:type="dxa"/>
            <w:gridSpan w:val="2"/>
            <w:vAlign w:val="center"/>
          </w:tcPr>
          <w:p w:rsidR="00CD39A7" w:rsidRPr="00EE1CCF" w:rsidRDefault="005B3809" w:rsidP="00C61386">
            <w:pPr>
              <w:pStyle w:val="TableParagraph"/>
              <w:spacing w:before="40" w:after="40" w:line="240" w:lineRule="auto"/>
              <w:ind w:left="103" w:right="98" w:hanging="1"/>
              <w:rPr>
                <w:b/>
                <w:sz w:val="16"/>
                <w:szCs w:val="16"/>
              </w:rPr>
            </w:pPr>
            <w:r w:rsidRPr="00EE1CCF">
              <w:rPr>
                <w:b/>
                <w:bCs/>
                <w:sz w:val="16"/>
                <w:szCs w:val="16"/>
                <w:lang w:val="en"/>
              </w:rPr>
              <w:t>Complete blood count, CRP, blood electrolytes, PT/aPTT</w:t>
            </w:r>
          </w:p>
        </w:tc>
        <w:tc>
          <w:tcPr>
            <w:tcW w:w="1260"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080" w:type="dxa"/>
          </w:tcPr>
          <w:p w:rsidR="00CD39A7" w:rsidRPr="00EE1CCF" w:rsidRDefault="005B3809">
            <w:pPr>
              <w:pStyle w:val="TableParagraph"/>
              <w:spacing w:before="59"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440" w:type="dxa"/>
          </w:tcPr>
          <w:p w:rsidR="00CD39A7" w:rsidRPr="00EE1CCF" w:rsidRDefault="005B3809">
            <w:pPr>
              <w:pStyle w:val="TableParagraph"/>
              <w:spacing w:before="59"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812"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428"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r>
      <w:tr w:rsidR="00CD39A7" w:rsidRPr="00EE1CCF" w:rsidTr="00C61386">
        <w:trPr>
          <w:trHeight w:val="283"/>
        </w:trPr>
        <w:tc>
          <w:tcPr>
            <w:tcW w:w="2268" w:type="dxa"/>
            <w:gridSpan w:val="2"/>
            <w:vAlign w:val="center"/>
          </w:tcPr>
          <w:p w:rsidR="00CD39A7" w:rsidRPr="00EE1CCF" w:rsidRDefault="005B3809" w:rsidP="00C61386">
            <w:pPr>
              <w:pStyle w:val="TableParagraph"/>
              <w:spacing w:before="40" w:after="40" w:line="240" w:lineRule="auto"/>
              <w:ind w:left="103"/>
              <w:rPr>
                <w:b/>
                <w:sz w:val="16"/>
                <w:szCs w:val="16"/>
              </w:rPr>
            </w:pPr>
            <w:r w:rsidRPr="00EE1CCF">
              <w:rPr>
                <w:b/>
                <w:bCs/>
                <w:sz w:val="16"/>
                <w:szCs w:val="16"/>
                <w:lang w:val="en"/>
              </w:rPr>
              <w:t>Immunophenotyping for CD3, CD4, CD8</w:t>
            </w:r>
          </w:p>
        </w:tc>
        <w:tc>
          <w:tcPr>
            <w:tcW w:w="1260"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080" w:type="dxa"/>
          </w:tcPr>
          <w:p w:rsidR="00CD39A7" w:rsidRPr="00EE1CCF" w:rsidRDefault="005B3809">
            <w:pPr>
              <w:pStyle w:val="TableParagraph"/>
              <w:spacing w:before="59"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440" w:type="dxa"/>
          </w:tcPr>
          <w:p w:rsidR="00CD39A7" w:rsidRPr="00EE1CCF" w:rsidRDefault="005B3809">
            <w:pPr>
              <w:pStyle w:val="TableParagraph"/>
              <w:spacing w:before="59"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812"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428"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r>
      <w:tr w:rsidR="00CD39A7" w:rsidRPr="00EE1CCF" w:rsidTr="00C61386">
        <w:trPr>
          <w:trHeight w:val="283"/>
        </w:trPr>
        <w:tc>
          <w:tcPr>
            <w:tcW w:w="2268" w:type="dxa"/>
            <w:gridSpan w:val="2"/>
            <w:vAlign w:val="center"/>
          </w:tcPr>
          <w:p w:rsidR="00CD39A7" w:rsidRPr="00EE1CCF" w:rsidRDefault="005B3809" w:rsidP="00C61386">
            <w:pPr>
              <w:pStyle w:val="TableParagraph"/>
              <w:spacing w:before="40" w:after="40" w:line="240" w:lineRule="auto"/>
              <w:ind w:left="103" w:right="175"/>
              <w:rPr>
                <w:b/>
                <w:sz w:val="16"/>
                <w:szCs w:val="16"/>
              </w:rPr>
            </w:pPr>
            <w:bookmarkStart w:id="66" w:name="Taux_des_CD19_(uniquement_pour_le_bras_r"/>
            <w:bookmarkEnd w:id="66"/>
            <w:r w:rsidRPr="00EE1CCF">
              <w:rPr>
                <w:b/>
                <w:bCs/>
                <w:sz w:val="16"/>
                <w:szCs w:val="16"/>
                <w:lang w:val="en"/>
              </w:rPr>
              <w:t>CD19 level (Rituximab Arm Only)</w:t>
            </w:r>
          </w:p>
        </w:tc>
        <w:tc>
          <w:tcPr>
            <w:tcW w:w="1260"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080" w:type="dxa"/>
          </w:tcPr>
          <w:p w:rsidR="00CD39A7" w:rsidRPr="00EE1CCF" w:rsidRDefault="005B3809">
            <w:pPr>
              <w:pStyle w:val="TableParagraph"/>
              <w:spacing w:before="59"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440" w:type="dxa"/>
          </w:tcPr>
          <w:p w:rsidR="00CD39A7" w:rsidRPr="00EE1CCF" w:rsidRDefault="00CD39A7">
            <w:pPr>
              <w:rPr>
                <w:sz w:val="16"/>
                <w:szCs w:val="16"/>
              </w:rPr>
            </w:pPr>
          </w:p>
        </w:tc>
        <w:tc>
          <w:tcPr>
            <w:tcW w:w="1812" w:type="dxa"/>
          </w:tcPr>
          <w:p w:rsidR="00CD39A7" w:rsidRPr="00EE1CCF" w:rsidRDefault="006A4AFA" w:rsidP="004235C7">
            <w:pPr>
              <w:pStyle w:val="TableParagraph"/>
              <w:spacing w:before="57" w:line="240" w:lineRule="auto"/>
              <w:ind w:left="91" w:right="212" w:firstLine="36"/>
              <w:jc w:val="center"/>
              <w:rPr>
                <w:b/>
                <w:sz w:val="16"/>
                <w:szCs w:val="16"/>
              </w:rPr>
            </w:pPr>
            <w:r w:rsidRPr="00EE1CCF">
              <w:rPr>
                <w:rFonts w:ascii="Wingdings 2" w:hAnsi="Wingdings 2"/>
                <w:b/>
                <w:bCs/>
                <w:sz w:val="16"/>
                <w:szCs w:val="16"/>
                <w:lang w:val="en"/>
              </w:rPr>
              <w:t></w:t>
            </w:r>
            <w:r w:rsidR="005B3809" w:rsidRPr="00EE1CCF">
              <w:rPr>
                <w:b/>
                <w:bCs/>
                <w:sz w:val="16"/>
                <w:szCs w:val="16"/>
                <w:lang w:val="en"/>
              </w:rPr>
              <w:t xml:space="preserve"> M6, M12, M18, and M24</w:t>
            </w:r>
          </w:p>
        </w:tc>
        <w:tc>
          <w:tcPr>
            <w:tcW w:w="1428"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r>
      <w:tr w:rsidR="00CD39A7" w:rsidRPr="00EE1CCF" w:rsidTr="00C61386">
        <w:trPr>
          <w:trHeight w:val="283"/>
        </w:trPr>
        <w:tc>
          <w:tcPr>
            <w:tcW w:w="2268" w:type="dxa"/>
            <w:gridSpan w:val="2"/>
            <w:vAlign w:val="center"/>
          </w:tcPr>
          <w:p w:rsidR="00CD39A7" w:rsidRPr="00EE1CCF" w:rsidRDefault="005B3809" w:rsidP="00C61386">
            <w:pPr>
              <w:pStyle w:val="TableParagraph"/>
              <w:spacing w:before="40" w:after="40" w:line="240" w:lineRule="auto"/>
              <w:ind w:left="103"/>
              <w:rPr>
                <w:b/>
                <w:sz w:val="16"/>
                <w:szCs w:val="16"/>
              </w:rPr>
            </w:pPr>
            <w:r w:rsidRPr="00EE1CCF">
              <w:rPr>
                <w:b/>
                <w:bCs/>
                <w:sz w:val="16"/>
                <w:szCs w:val="16"/>
                <w:lang w:val="en"/>
              </w:rPr>
              <w:t>AST, ALT, Alk. phos., GGT</w:t>
            </w:r>
          </w:p>
        </w:tc>
        <w:tc>
          <w:tcPr>
            <w:tcW w:w="1260"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080" w:type="dxa"/>
          </w:tcPr>
          <w:p w:rsidR="00CD39A7" w:rsidRPr="00EE1CCF" w:rsidRDefault="00CD39A7">
            <w:pPr>
              <w:rPr>
                <w:sz w:val="16"/>
                <w:szCs w:val="16"/>
              </w:rPr>
            </w:pPr>
          </w:p>
        </w:tc>
        <w:tc>
          <w:tcPr>
            <w:tcW w:w="1440" w:type="dxa"/>
          </w:tcPr>
          <w:p w:rsidR="00CD39A7" w:rsidRPr="00EE1CCF" w:rsidRDefault="005B3809">
            <w:pPr>
              <w:pStyle w:val="TableParagraph"/>
              <w:spacing w:before="59"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812"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428"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r>
      <w:tr w:rsidR="00CD39A7" w:rsidRPr="00EE1CCF" w:rsidTr="00C61386">
        <w:trPr>
          <w:trHeight w:val="283"/>
        </w:trPr>
        <w:tc>
          <w:tcPr>
            <w:tcW w:w="2268" w:type="dxa"/>
            <w:gridSpan w:val="2"/>
            <w:vAlign w:val="center"/>
          </w:tcPr>
          <w:p w:rsidR="00CD39A7" w:rsidRPr="00EE1CCF" w:rsidRDefault="005B3809" w:rsidP="00C61386">
            <w:pPr>
              <w:pStyle w:val="TableParagraph"/>
              <w:spacing w:before="40" w:after="40" w:line="240" w:lineRule="auto"/>
              <w:ind w:left="103" w:right="450"/>
              <w:rPr>
                <w:b/>
                <w:sz w:val="16"/>
                <w:szCs w:val="16"/>
              </w:rPr>
            </w:pPr>
            <w:r w:rsidRPr="00EE1CCF">
              <w:rPr>
                <w:b/>
                <w:bCs/>
                <w:sz w:val="16"/>
                <w:szCs w:val="16"/>
                <w:lang w:val="en"/>
              </w:rPr>
              <w:t>Albumin and Total Gamma Globulins</w:t>
            </w:r>
          </w:p>
        </w:tc>
        <w:tc>
          <w:tcPr>
            <w:tcW w:w="1260"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080" w:type="dxa"/>
          </w:tcPr>
          <w:p w:rsidR="00CD39A7" w:rsidRPr="00EE1CCF" w:rsidRDefault="00CD39A7">
            <w:pPr>
              <w:rPr>
                <w:sz w:val="16"/>
                <w:szCs w:val="16"/>
              </w:rPr>
            </w:pPr>
          </w:p>
        </w:tc>
        <w:tc>
          <w:tcPr>
            <w:tcW w:w="1440" w:type="dxa"/>
          </w:tcPr>
          <w:p w:rsidR="00CD39A7" w:rsidRPr="00EE1CCF" w:rsidRDefault="005B3809">
            <w:pPr>
              <w:pStyle w:val="TableParagraph"/>
              <w:spacing w:before="59"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812" w:type="dxa"/>
          </w:tcPr>
          <w:p w:rsidR="00CD39A7" w:rsidRPr="00EE1CCF" w:rsidRDefault="005B3809">
            <w:pPr>
              <w:pStyle w:val="TableParagraph"/>
              <w:spacing w:before="59" w:line="240" w:lineRule="auto"/>
              <w:ind w:right="2"/>
              <w:jc w:val="center"/>
              <w:rPr>
                <w:rFonts w:ascii="Wingdings 2" w:hAnsi="Wingdings 2"/>
                <w:b/>
                <w:sz w:val="16"/>
                <w:szCs w:val="16"/>
              </w:rPr>
            </w:pPr>
            <w:r w:rsidRPr="00EE1CCF">
              <w:rPr>
                <w:rFonts w:ascii="Wingdings 2" w:hAnsi="Wingdings 2"/>
                <w:b/>
                <w:bCs/>
                <w:sz w:val="16"/>
                <w:szCs w:val="16"/>
                <w:lang w:val="en"/>
              </w:rPr>
              <w:t></w:t>
            </w:r>
          </w:p>
        </w:tc>
        <w:tc>
          <w:tcPr>
            <w:tcW w:w="1428" w:type="dxa"/>
          </w:tcPr>
          <w:p w:rsidR="00CD39A7" w:rsidRPr="00EE1CCF" w:rsidRDefault="00CD39A7">
            <w:pPr>
              <w:rPr>
                <w:sz w:val="16"/>
                <w:szCs w:val="16"/>
              </w:rPr>
            </w:pPr>
          </w:p>
        </w:tc>
      </w:tr>
      <w:tr w:rsidR="00CD39A7" w:rsidRPr="00EE1CCF" w:rsidTr="00C61386">
        <w:trPr>
          <w:trHeight w:val="283"/>
        </w:trPr>
        <w:tc>
          <w:tcPr>
            <w:tcW w:w="2268" w:type="dxa"/>
            <w:gridSpan w:val="2"/>
            <w:vAlign w:val="center"/>
          </w:tcPr>
          <w:p w:rsidR="00CD39A7" w:rsidRPr="00EE1CCF" w:rsidRDefault="005B3809" w:rsidP="00C60F26">
            <w:pPr>
              <w:pStyle w:val="TableParagraph"/>
              <w:spacing w:before="40" w:after="40" w:line="183" w:lineRule="exact"/>
              <w:ind w:left="103"/>
              <w:rPr>
                <w:b/>
                <w:sz w:val="16"/>
                <w:szCs w:val="16"/>
              </w:rPr>
            </w:pPr>
            <w:r w:rsidRPr="00EE1CCF">
              <w:rPr>
                <w:b/>
                <w:bCs/>
                <w:sz w:val="16"/>
                <w:szCs w:val="16"/>
                <w:lang w:val="en"/>
              </w:rPr>
              <w:t>Protein Electrophoresis</w:t>
            </w:r>
            <w:r w:rsidR="00C60F26">
              <w:rPr>
                <w:b/>
                <w:bCs/>
                <w:sz w:val="16"/>
                <w:szCs w:val="16"/>
                <w:lang w:val="en"/>
              </w:rPr>
              <w:t xml:space="preserve"> </w:t>
            </w:r>
            <w:r w:rsidR="00C60F26">
              <w:rPr>
                <w:b/>
                <w:bCs/>
                <w:sz w:val="16"/>
                <w:szCs w:val="16"/>
                <w:lang w:val="en"/>
              </w:rPr>
              <w:br/>
            </w:r>
            <w:r w:rsidRPr="00EE1CCF">
              <w:rPr>
                <w:b/>
                <w:bCs/>
                <w:sz w:val="16"/>
                <w:szCs w:val="16"/>
                <w:lang w:val="en"/>
              </w:rPr>
              <w:t>+/- Ig titre</w:t>
            </w:r>
          </w:p>
        </w:tc>
        <w:tc>
          <w:tcPr>
            <w:tcW w:w="1260"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080" w:type="dxa"/>
          </w:tcPr>
          <w:p w:rsidR="00CD39A7" w:rsidRPr="00EE1CCF" w:rsidRDefault="005B3809" w:rsidP="004235C7">
            <w:pPr>
              <w:pStyle w:val="TableParagraph"/>
              <w:spacing w:before="57" w:line="240" w:lineRule="auto"/>
              <w:ind w:left="218" w:right="100" w:hanging="104"/>
              <w:jc w:val="center"/>
              <w:rPr>
                <w:b/>
                <w:sz w:val="16"/>
                <w:szCs w:val="16"/>
              </w:rPr>
            </w:pPr>
            <w:r w:rsidRPr="00EE1CCF">
              <w:rPr>
                <w:b/>
                <w:bCs/>
                <w:sz w:val="16"/>
                <w:szCs w:val="16"/>
                <w:lang w:val="en"/>
              </w:rPr>
              <w:t>IgG, IgM, IgA dosage</w:t>
            </w:r>
          </w:p>
        </w:tc>
        <w:tc>
          <w:tcPr>
            <w:tcW w:w="1440" w:type="dxa"/>
          </w:tcPr>
          <w:p w:rsidR="00CD39A7" w:rsidRPr="00EE1CCF" w:rsidRDefault="00CD39A7">
            <w:pPr>
              <w:rPr>
                <w:sz w:val="16"/>
                <w:szCs w:val="16"/>
              </w:rPr>
            </w:pPr>
          </w:p>
        </w:tc>
        <w:tc>
          <w:tcPr>
            <w:tcW w:w="1812" w:type="dxa"/>
          </w:tcPr>
          <w:p w:rsidR="00CD39A7" w:rsidRPr="00EE1CCF" w:rsidRDefault="006A4AFA" w:rsidP="004235C7">
            <w:pPr>
              <w:pStyle w:val="TableParagraph"/>
              <w:spacing w:before="57" w:line="240" w:lineRule="auto"/>
              <w:ind w:left="233" w:right="212" w:firstLine="36"/>
              <w:jc w:val="center"/>
              <w:rPr>
                <w:b/>
                <w:sz w:val="16"/>
                <w:szCs w:val="16"/>
              </w:rPr>
            </w:pPr>
            <w:r w:rsidRPr="00EE1CCF">
              <w:rPr>
                <w:rFonts w:ascii="Wingdings 2" w:hAnsi="Wingdings 2"/>
                <w:b/>
                <w:bCs/>
                <w:sz w:val="16"/>
                <w:szCs w:val="16"/>
                <w:lang w:val="en"/>
              </w:rPr>
              <w:t></w:t>
            </w:r>
            <w:r w:rsidR="005B3809" w:rsidRPr="00EE1CCF">
              <w:rPr>
                <w:b/>
                <w:bCs/>
                <w:sz w:val="16"/>
                <w:szCs w:val="16"/>
                <w:lang w:val="en"/>
              </w:rPr>
              <w:t xml:space="preserve"> M6, M12, M18, and M24</w:t>
            </w:r>
          </w:p>
        </w:tc>
        <w:tc>
          <w:tcPr>
            <w:tcW w:w="1428"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r>
      <w:tr w:rsidR="00CD39A7" w:rsidRPr="00EE1CCF" w:rsidTr="00C61386">
        <w:trPr>
          <w:trHeight w:val="283"/>
        </w:trPr>
        <w:tc>
          <w:tcPr>
            <w:tcW w:w="2268" w:type="dxa"/>
            <w:gridSpan w:val="2"/>
            <w:vAlign w:val="center"/>
          </w:tcPr>
          <w:p w:rsidR="00CD39A7" w:rsidRPr="00EE1CCF" w:rsidRDefault="005B3809" w:rsidP="00C61386">
            <w:pPr>
              <w:pStyle w:val="TableParagraph"/>
              <w:spacing w:before="40" w:after="40" w:line="240" w:lineRule="auto"/>
              <w:ind w:left="103" w:right="272"/>
              <w:rPr>
                <w:b/>
                <w:sz w:val="16"/>
                <w:szCs w:val="16"/>
              </w:rPr>
            </w:pPr>
            <w:r w:rsidRPr="00EE1CCF">
              <w:rPr>
                <w:b/>
                <w:bCs/>
                <w:sz w:val="16"/>
                <w:szCs w:val="16"/>
                <w:lang w:val="en"/>
              </w:rPr>
              <w:t>Urinary Sediment Test (urine test strip, urine microscopy and culture, proteinuria in g/L and/or g/24h)</w:t>
            </w:r>
          </w:p>
        </w:tc>
        <w:tc>
          <w:tcPr>
            <w:tcW w:w="1260"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080" w:type="dxa"/>
          </w:tcPr>
          <w:p w:rsidR="00CD39A7" w:rsidRPr="00EE1CCF" w:rsidRDefault="005B3809">
            <w:pPr>
              <w:pStyle w:val="TableParagraph"/>
              <w:spacing w:before="57" w:line="240" w:lineRule="auto"/>
              <w:ind w:left="85" w:right="86"/>
              <w:jc w:val="center"/>
              <w:rPr>
                <w:b/>
                <w:sz w:val="16"/>
                <w:szCs w:val="16"/>
              </w:rPr>
            </w:pPr>
            <w:r w:rsidRPr="00EE1CCF">
              <w:rPr>
                <w:b/>
                <w:bCs/>
                <w:sz w:val="16"/>
                <w:szCs w:val="16"/>
                <w:lang w:val="en"/>
              </w:rPr>
              <w:t>Proteinuria in g/L and/or g/24h</w:t>
            </w:r>
          </w:p>
        </w:tc>
        <w:tc>
          <w:tcPr>
            <w:tcW w:w="1440" w:type="dxa"/>
          </w:tcPr>
          <w:p w:rsidR="00CD39A7" w:rsidRPr="00EE1CCF" w:rsidRDefault="005B3809">
            <w:pPr>
              <w:pStyle w:val="TableParagraph"/>
              <w:spacing w:before="59"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812"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428"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r>
      <w:tr w:rsidR="00CD39A7" w:rsidRPr="00EE1CCF" w:rsidTr="00C61386">
        <w:trPr>
          <w:trHeight w:val="283"/>
        </w:trPr>
        <w:tc>
          <w:tcPr>
            <w:tcW w:w="2268" w:type="dxa"/>
            <w:gridSpan w:val="2"/>
            <w:vAlign w:val="center"/>
          </w:tcPr>
          <w:p w:rsidR="00CD39A7" w:rsidRPr="00EE1CCF" w:rsidRDefault="005B3809" w:rsidP="00C61386">
            <w:pPr>
              <w:pStyle w:val="TableParagraph"/>
              <w:spacing w:before="40" w:after="40" w:line="240" w:lineRule="auto"/>
              <w:ind w:left="103" w:right="246"/>
              <w:rPr>
                <w:b/>
                <w:sz w:val="16"/>
                <w:szCs w:val="16"/>
              </w:rPr>
            </w:pPr>
            <w:r w:rsidRPr="00EE1CCF">
              <w:rPr>
                <w:b/>
                <w:bCs/>
                <w:sz w:val="16"/>
                <w:szCs w:val="16"/>
                <w:lang w:val="en"/>
              </w:rPr>
              <w:t>Renal Function (creatinine, clearance per MDRD)</w:t>
            </w:r>
          </w:p>
        </w:tc>
        <w:tc>
          <w:tcPr>
            <w:tcW w:w="1260"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080" w:type="dxa"/>
          </w:tcPr>
          <w:p w:rsidR="00CD39A7" w:rsidRPr="00EE1CCF" w:rsidRDefault="005B3809">
            <w:pPr>
              <w:pStyle w:val="TableParagraph"/>
              <w:spacing w:before="59"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440" w:type="dxa"/>
          </w:tcPr>
          <w:p w:rsidR="00CD39A7" w:rsidRPr="00EE1CCF" w:rsidRDefault="005B3809">
            <w:pPr>
              <w:pStyle w:val="TableParagraph"/>
              <w:spacing w:before="59"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812"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428"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r>
      <w:tr w:rsidR="00CD39A7" w:rsidRPr="00EE1CCF" w:rsidTr="00C61386">
        <w:trPr>
          <w:trHeight w:val="283"/>
        </w:trPr>
        <w:tc>
          <w:tcPr>
            <w:tcW w:w="2268" w:type="dxa"/>
            <w:gridSpan w:val="2"/>
            <w:vAlign w:val="center"/>
          </w:tcPr>
          <w:p w:rsidR="00CD39A7" w:rsidRPr="00EE1CCF" w:rsidRDefault="005B3809" w:rsidP="00C61386">
            <w:pPr>
              <w:pStyle w:val="TableParagraph"/>
              <w:spacing w:before="40" w:after="40" w:line="240" w:lineRule="auto"/>
              <w:ind w:left="103" w:right="98"/>
              <w:rPr>
                <w:b/>
                <w:sz w:val="16"/>
                <w:szCs w:val="16"/>
              </w:rPr>
            </w:pPr>
            <w:r w:rsidRPr="00EE1CCF">
              <w:rPr>
                <w:b/>
                <w:bCs/>
                <w:sz w:val="16"/>
                <w:szCs w:val="16"/>
                <w:lang w:val="en"/>
              </w:rPr>
              <w:t>Antineutrophil Cytoplasmic Antibodies (ANCA) by IF and ELISA §§</w:t>
            </w:r>
          </w:p>
        </w:tc>
        <w:tc>
          <w:tcPr>
            <w:tcW w:w="1260"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080" w:type="dxa"/>
          </w:tcPr>
          <w:p w:rsidR="00CD39A7" w:rsidRPr="00EE1CCF" w:rsidRDefault="00CD39A7">
            <w:pPr>
              <w:rPr>
                <w:sz w:val="16"/>
                <w:szCs w:val="16"/>
              </w:rPr>
            </w:pPr>
          </w:p>
        </w:tc>
        <w:tc>
          <w:tcPr>
            <w:tcW w:w="1440" w:type="dxa"/>
          </w:tcPr>
          <w:p w:rsidR="00CD39A7" w:rsidRPr="00EE1CCF" w:rsidRDefault="005B3809">
            <w:pPr>
              <w:pStyle w:val="TableParagraph"/>
              <w:spacing w:before="59"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812"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428" w:type="dxa"/>
          </w:tcPr>
          <w:p w:rsidR="00CD39A7" w:rsidRPr="00EE1CCF" w:rsidRDefault="005B3809">
            <w:pPr>
              <w:pStyle w:val="TableParagraph"/>
              <w:spacing w:before="59" w:line="240" w:lineRule="auto"/>
              <w:ind w:right="2"/>
              <w:jc w:val="center"/>
              <w:rPr>
                <w:rFonts w:ascii="Wingdings 2" w:hAnsi="Wingdings 2"/>
                <w:b/>
                <w:sz w:val="16"/>
                <w:szCs w:val="16"/>
              </w:rPr>
            </w:pPr>
            <w:r w:rsidRPr="00EE1CCF">
              <w:rPr>
                <w:rFonts w:ascii="Wingdings 2" w:hAnsi="Wingdings 2"/>
                <w:b/>
                <w:bCs/>
                <w:sz w:val="16"/>
                <w:szCs w:val="16"/>
                <w:lang w:val="en"/>
              </w:rPr>
              <w:t></w:t>
            </w:r>
          </w:p>
        </w:tc>
      </w:tr>
      <w:tr w:rsidR="00CD39A7" w:rsidRPr="00EE1CCF" w:rsidTr="00C61386">
        <w:trPr>
          <w:trHeight w:val="283"/>
        </w:trPr>
        <w:tc>
          <w:tcPr>
            <w:tcW w:w="2268" w:type="dxa"/>
            <w:gridSpan w:val="2"/>
            <w:vAlign w:val="center"/>
          </w:tcPr>
          <w:p w:rsidR="00CD39A7" w:rsidRPr="00EE1CCF" w:rsidRDefault="005B3809" w:rsidP="00C61386">
            <w:pPr>
              <w:pStyle w:val="TableParagraph"/>
              <w:spacing w:before="40" w:after="40" w:line="240" w:lineRule="auto"/>
              <w:ind w:left="103" w:right="311"/>
              <w:rPr>
                <w:b/>
                <w:sz w:val="16"/>
                <w:szCs w:val="16"/>
              </w:rPr>
            </w:pPr>
            <w:r w:rsidRPr="00EE1CCF">
              <w:rPr>
                <w:b/>
                <w:bCs/>
                <w:sz w:val="16"/>
                <w:szCs w:val="16"/>
                <w:lang w:val="en"/>
              </w:rPr>
              <w:t>Antinuclear Antibodies and anti-DNA</w:t>
            </w:r>
          </w:p>
        </w:tc>
        <w:tc>
          <w:tcPr>
            <w:tcW w:w="1260"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080" w:type="dxa"/>
          </w:tcPr>
          <w:p w:rsidR="00CD39A7" w:rsidRPr="00EE1CCF" w:rsidRDefault="00CD39A7">
            <w:pPr>
              <w:rPr>
                <w:sz w:val="16"/>
                <w:szCs w:val="16"/>
              </w:rPr>
            </w:pPr>
          </w:p>
        </w:tc>
        <w:tc>
          <w:tcPr>
            <w:tcW w:w="1440" w:type="dxa"/>
          </w:tcPr>
          <w:p w:rsidR="00CD39A7" w:rsidRPr="00EE1CCF" w:rsidRDefault="00CD39A7">
            <w:pPr>
              <w:rPr>
                <w:sz w:val="16"/>
                <w:szCs w:val="16"/>
              </w:rPr>
            </w:pPr>
          </w:p>
        </w:tc>
        <w:tc>
          <w:tcPr>
            <w:tcW w:w="1812" w:type="dxa"/>
          </w:tcPr>
          <w:p w:rsidR="00CD39A7" w:rsidRPr="00EE1CCF" w:rsidRDefault="005B3809" w:rsidP="00B25E13">
            <w:pPr>
              <w:pStyle w:val="TableParagraph"/>
              <w:numPr>
                <w:ilvl w:val="0"/>
                <w:numId w:val="28"/>
              </w:numPr>
              <w:tabs>
                <w:tab w:val="left" w:pos="572"/>
              </w:tabs>
              <w:spacing w:before="57" w:line="240" w:lineRule="auto"/>
              <w:ind w:right="1"/>
              <w:rPr>
                <w:b/>
                <w:sz w:val="16"/>
                <w:szCs w:val="16"/>
              </w:rPr>
            </w:pPr>
            <w:r w:rsidRPr="00EE1CCF">
              <w:rPr>
                <w:b/>
                <w:bCs/>
                <w:sz w:val="16"/>
                <w:szCs w:val="16"/>
                <w:lang w:val="en"/>
              </w:rPr>
              <w:t>M12 and M24</w:t>
            </w:r>
          </w:p>
        </w:tc>
        <w:tc>
          <w:tcPr>
            <w:tcW w:w="1428" w:type="dxa"/>
          </w:tcPr>
          <w:p w:rsidR="00CD39A7" w:rsidRPr="00EE1CCF" w:rsidRDefault="00CD39A7">
            <w:pPr>
              <w:rPr>
                <w:sz w:val="16"/>
                <w:szCs w:val="16"/>
              </w:rPr>
            </w:pPr>
          </w:p>
        </w:tc>
      </w:tr>
      <w:tr w:rsidR="00CD39A7" w:rsidRPr="00EE1CCF" w:rsidTr="00C61386">
        <w:trPr>
          <w:trHeight w:val="283"/>
        </w:trPr>
        <w:tc>
          <w:tcPr>
            <w:tcW w:w="2268" w:type="dxa"/>
            <w:gridSpan w:val="2"/>
            <w:vAlign w:val="center"/>
          </w:tcPr>
          <w:p w:rsidR="00CD39A7" w:rsidRPr="00EE1CCF" w:rsidRDefault="005B3809" w:rsidP="00C61386">
            <w:pPr>
              <w:pStyle w:val="TableParagraph"/>
              <w:spacing w:before="40" w:after="40" w:line="240" w:lineRule="auto"/>
              <w:ind w:left="103"/>
              <w:rPr>
                <w:b/>
                <w:sz w:val="16"/>
                <w:szCs w:val="16"/>
              </w:rPr>
            </w:pPr>
            <w:r w:rsidRPr="00EE1CCF">
              <w:rPr>
                <w:b/>
                <w:bCs/>
                <w:sz w:val="16"/>
                <w:szCs w:val="16"/>
                <w:lang w:val="en"/>
              </w:rPr>
              <w:t>Cryoglobulins</w:t>
            </w:r>
          </w:p>
        </w:tc>
        <w:tc>
          <w:tcPr>
            <w:tcW w:w="1260"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080" w:type="dxa"/>
          </w:tcPr>
          <w:p w:rsidR="00CD39A7" w:rsidRPr="00EE1CCF" w:rsidRDefault="00CD39A7">
            <w:pPr>
              <w:rPr>
                <w:sz w:val="16"/>
                <w:szCs w:val="16"/>
              </w:rPr>
            </w:pPr>
          </w:p>
        </w:tc>
        <w:tc>
          <w:tcPr>
            <w:tcW w:w="1440" w:type="dxa"/>
          </w:tcPr>
          <w:p w:rsidR="00CD39A7" w:rsidRPr="00EE1CCF" w:rsidRDefault="00CD39A7">
            <w:pPr>
              <w:rPr>
                <w:sz w:val="16"/>
                <w:szCs w:val="16"/>
              </w:rPr>
            </w:pPr>
          </w:p>
        </w:tc>
        <w:tc>
          <w:tcPr>
            <w:tcW w:w="1812" w:type="dxa"/>
          </w:tcPr>
          <w:p w:rsidR="00CD39A7" w:rsidRPr="00EE1CCF" w:rsidRDefault="00CD39A7">
            <w:pPr>
              <w:rPr>
                <w:sz w:val="16"/>
                <w:szCs w:val="16"/>
              </w:rPr>
            </w:pPr>
          </w:p>
        </w:tc>
        <w:tc>
          <w:tcPr>
            <w:tcW w:w="1428" w:type="dxa"/>
          </w:tcPr>
          <w:p w:rsidR="00CD39A7" w:rsidRPr="00EE1CCF" w:rsidRDefault="00CD39A7">
            <w:pPr>
              <w:rPr>
                <w:sz w:val="16"/>
                <w:szCs w:val="16"/>
              </w:rPr>
            </w:pPr>
          </w:p>
        </w:tc>
      </w:tr>
      <w:tr w:rsidR="00CD39A7" w:rsidRPr="00EE1CCF" w:rsidTr="00C61386">
        <w:trPr>
          <w:trHeight w:val="283"/>
        </w:trPr>
        <w:tc>
          <w:tcPr>
            <w:tcW w:w="2268" w:type="dxa"/>
            <w:gridSpan w:val="2"/>
            <w:vAlign w:val="center"/>
          </w:tcPr>
          <w:p w:rsidR="00CD39A7" w:rsidRPr="00EE1CCF" w:rsidRDefault="005B3809" w:rsidP="00C61386">
            <w:pPr>
              <w:pStyle w:val="TableParagraph"/>
              <w:spacing w:before="40" w:after="40" w:line="240" w:lineRule="auto"/>
              <w:ind w:left="103" w:right="290"/>
              <w:rPr>
                <w:b/>
                <w:sz w:val="16"/>
                <w:szCs w:val="16"/>
              </w:rPr>
            </w:pPr>
            <w:r w:rsidRPr="00EE1CCF">
              <w:rPr>
                <w:b/>
                <w:bCs/>
                <w:sz w:val="16"/>
                <w:szCs w:val="16"/>
                <w:lang w:val="en"/>
              </w:rPr>
              <w:t>Serum bank, Plasma bank, Cell bank and DNA bank</w:t>
            </w:r>
          </w:p>
        </w:tc>
        <w:tc>
          <w:tcPr>
            <w:tcW w:w="1260"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p w:rsidR="00CD39A7" w:rsidRPr="00EE1CCF" w:rsidRDefault="005B3809">
            <w:pPr>
              <w:pStyle w:val="TableParagraph"/>
              <w:spacing w:before="58" w:line="240" w:lineRule="auto"/>
              <w:ind w:left="143" w:right="141"/>
              <w:jc w:val="center"/>
              <w:rPr>
                <w:b/>
                <w:sz w:val="16"/>
                <w:szCs w:val="16"/>
              </w:rPr>
            </w:pPr>
            <w:bookmarkStart w:id="67" w:name="+_DNAthèque__à_l’inclusion"/>
            <w:bookmarkEnd w:id="67"/>
            <w:r w:rsidRPr="00EE1CCF">
              <w:rPr>
                <w:b/>
                <w:bCs/>
                <w:sz w:val="16"/>
                <w:szCs w:val="16"/>
                <w:lang w:val="en"/>
              </w:rPr>
              <w:t>+ DNA bank at enrollment</w:t>
            </w:r>
          </w:p>
        </w:tc>
        <w:tc>
          <w:tcPr>
            <w:tcW w:w="1080" w:type="dxa"/>
          </w:tcPr>
          <w:p w:rsidR="00CD39A7" w:rsidRPr="00EE1CCF" w:rsidRDefault="00CD39A7">
            <w:pPr>
              <w:rPr>
                <w:sz w:val="16"/>
                <w:szCs w:val="16"/>
              </w:rPr>
            </w:pPr>
          </w:p>
        </w:tc>
        <w:tc>
          <w:tcPr>
            <w:tcW w:w="1440" w:type="dxa"/>
          </w:tcPr>
          <w:p w:rsidR="00CD39A7" w:rsidRPr="00EE1CCF" w:rsidRDefault="005B3809">
            <w:pPr>
              <w:pStyle w:val="TableParagraph"/>
              <w:spacing w:before="59" w:line="240" w:lineRule="auto"/>
              <w:ind w:right="1"/>
              <w:jc w:val="center"/>
              <w:rPr>
                <w:rFonts w:ascii="Wingdings 2" w:hAnsi="Wingdings 2"/>
                <w:b/>
                <w:sz w:val="16"/>
                <w:szCs w:val="16"/>
              </w:rPr>
            </w:pPr>
            <w:r w:rsidRPr="00EE1CCF">
              <w:rPr>
                <w:rFonts w:ascii="Wingdings 2" w:hAnsi="Wingdings 2"/>
                <w:b/>
                <w:bCs/>
                <w:sz w:val="16"/>
                <w:szCs w:val="16"/>
                <w:lang w:val="en"/>
              </w:rPr>
              <w:t></w:t>
            </w:r>
          </w:p>
        </w:tc>
        <w:tc>
          <w:tcPr>
            <w:tcW w:w="1812" w:type="dxa"/>
          </w:tcPr>
          <w:p w:rsidR="00CD39A7" w:rsidRPr="00EE1CCF" w:rsidRDefault="005B3809">
            <w:pPr>
              <w:pStyle w:val="TableParagraph"/>
              <w:spacing w:before="59" w:line="240" w:lineRule="auto"/>
              <w:jc w:val="center"/>
              <w:rPr>
                <w:rFonts w:ascii="Wingdings 2" w:hAnsi="Wingdings 2"/>
                <w:b/>
                <w:sz w:val="16"/>
                <w:szCs w:val="16"/>
              </w:rPr>
            </w:pPr>
            <w:r w:rsidRPr="00EE1CCF">
              <w:rPr>
                <w:rFonts w:ascii="Wingdings 2" w:hAnsi="Wingdings 2"/>
                <w:b/>
                <w:bCs/>
                <w:sz w:val="16"/>
                <w:szCs w:val="16"/>
                <w:lang w:val="en"/>
              </w:rPr>
              <w:t></w:t>
            </w:r>
          </w:p>
        </w:tc>
        <w:tc>
          <w:tcPr>
            <w:tcW w:w="1428" w:type="dxa"/>
          </w:tcPr>
          <w:p w:rsidR="00CD39A7" w:rsidRPr="00EE1CCF" w:rsidRDefault="005B3809">
            <w:pPr>
              <w:pStyle w:val="TableParagraph"/>
              <w:spacing w:before="59" w:line="240" w:lineRule="auto"/>
              <w:ind w:right="2"/>
              <w:jc w:val="center"/>
              <w:rPr>
                <w:rFonts w:ascii="Wingdings 2" w:hAnsi="Wingdings 2"/>
                <w:b/>
                <w:sz w:val="16"/>
                <w:szCs w:val="16"/>
              </w:rPr>
            </w:pPr>
            <w:r w:rsidRPr="00EE1CCF">
              <w:rPr>
                <w:rFonts w:ascii="Wingdings 2" w:hAnsi="Wingdings 2"/>
                <w:b/>
                <w:bCs/>
                <w:sz w:val="16"/>
                <w:szCs w:val="16"/>
                <w:lang w:val="en"/>
              </w:rPr>
              <w:t></w:t>
            </w:r>
          </w:p>
        </w:tc>
      </w:tr>
      <w:tr w:rsidR="00CD39A7" w:rsidRPr="00EE1CCF" w:rsidTr="00C61386">
        <w:trPr>
          <w:trHeight w:val="283"/>
        </w:trPr>
        <w:tc>
          <w:tcPr>
            <w:tcW w:w="2268" w:type="dxa"/>
            <w:gridSpan w:val="2"/>
            <w:vAlign w:val="center"/>
          </w:tcPr>
          <w:p w:rsidR="00CD39A7" w:rsidRPr="00EE1CCF" w:rsidRDefault="005B3809" w:rsidP="00C61386">
            <w:pPr>
              <w:pStyle w:val="TableParagraph"/>
              <w:spacing w:before="40" w:after="40" w:line="240" w:lineRule="auto"/>
              <w:ind w:left="103" w:right="1104"/>
              <w:rPr>
                <w:b/>
                <w:sz w:val="16"/>
                <w:szCs w:val="16"/>
              </w:rPr>
            </w:pPr>
            <w:bookmarkStart w:id="68" w:name="SF36_et_HAQ_"/>
            <w:bookmarkEnd w:id="68"/>
            <w:r w:rsidRPr="00EE1CCF">
              <w:rPr>
                <w:b/>
                <w:bCs/>
                <w:sz w:val="16"/>
                <w:szCs w:val="16"/>
                <w:lang w:val="en"/>
              </w:rPr>
              <w:t>SF36 and HAQ questionnaires</w:t>
            </w:r>
          </w:p>
          <w:p w:rsidR="00CD39A7" w:rsidRPr="00EE1CCF" w:rsidRDefault="005B3809" w:rsidP="00C61386">
            <w:pPr>
              <w:pStyle w:val="TableParagraph"/>
              <w:spacing w:before="40" w:after="40" w:line="240" w:lineRule="auto"/>
              <w:ind w:left="103" w:right="535"/>
              <w:rPr>
                <w:b/>
                <w:sz w:val="16"/>
                <w:szCs w:val="16"/>
              </w:rPr>
            </w:pPr>
            <w:r w:rsidRPr="00EE1CCF">
              <w:rPr>
                <w:b/>
                <w:bCs/>
                <w:sz w:val="16"/>
                <w:szCs w:val="16"/>
                <w:lang w:val="en"/>
              </w:rPr>
              <w:t>completed by the patient (blue booklet)</w:t>
            </w:r>
          </w:p>
        </w:tc>
        <w:tc>
          <w:tcPr>
            <w:tcW w:w="1260" w:type="dxa"/>
          </w:tcPr>
          <w:p w:rsidR="00CD39A7" w:rsidRPr="00EE1CCF" w:rsidRDefault="005B3809">
            <w:pPr>
              <w:pStyle w:val="TableParagraph"/>
              <w:spacing w:before="62" w:line="240" w:lineRule="auto"/>
              <w:jc w:val="center"/>
              <w:rPr>
                <w:rFonts w:ascii="Wingdings 2" w:hAnsi="Wingdings 2"/>
                <w:b/>
                <w:sz w:val="16"/>
                <w:szCs w:val="16"/>
              </w:rPr>
            </w:pPr>
            <w:r w:rsidRPr="00EE1CCF">
              <w:rPr>
                <w:rFonts w:ascii="Wingdings 2" w:hAnsi="Wingdings 2"/>
                <w:b/>
                <w:bCs/>
                <w:sz w:val="16"/>
                <w:szCs w:val="16"/>
                <w:lang w:val="en"/>
              </w:rPr>
              <w:t></w:t>
            </w:r>
          </w:p>
        </w:tc>
        <w:tc>
          <w:tcPr>
            <w:tcW w:w="1080" w:type="dxa"/>
          </w:tcPr>
          <w:p w:rsidR="00CD39A7" w:rsidRPr="00EE1CCF" w:rsidRDefault="005B3809">
            <w:pPr>
              <w:pStyle w:val="TableParagraph"/>
              <w:spacing w:before="62" w:line="240" w:lineRule="auto"/>
              <w:ind w:right="1"/>
              <w:jc w:val="center"/>
              <w:rPr>
                <w:rFonts w:ascii="Wingdings 2" w:hAnsi="Wingdings 2"/>
                <w:b/>
                <w:sz w:val="16"/>
                <w:szCs w:val="16"/>
              </w:rPr>
            </w:pPr>
            <w:r w:rsidRPr="00EE1CCF">
              <w:rPr>
                <w:rFonts w:ascii="Wingdings 2" w:hAnsi="Wingdings 2"/>
                <w:b/>
                <w:bCs/>
                <w:sz w:val="16"/>
                <w:szCs w:val="16"/>
                <w:lang w:val="en"/>
              </w:rPr>
              <w:t></w:t>
            </w:r>
          </w:p>
          <w:p w:rsidR="00CD39A7" w:rsidRPr="00EE1CCF" w:rsidRDefault="005B3809">
            <w:pPr>
              <w:pStyle w:val="TableParagraph"/>
              <w:spacing w:before="57" w:line="240" w:lineRule="auto"/>
              <w:ind w:left="99" w:right="97"/>
              <w:jc w:val="center"/>
              <w:rPr>
                <w:b/>
                <w:sz w:val="16"/>
                <w:szCs w:val="16"/>
              </w:rPr>
            </w:pPr>
            <w:r w:rsidRPr="00EE1CCF">
              <w:rPr>
                <w:b/>
                <w:bCs/>
                <w:sz w:val="16"/>
                <w:szCs w:val="16"/>
                <w:lang w:val="en"/>
              </w:rPr>
              <w:t>Booklets provided to patients</w:t>
            </w:r>
          </w:p>
        </w:tc>
        <w:tc>
          <w:tcPr>
            <w:tcW w:w="1440" w:type="dxa"/>
          </w:tcPr>
          <w:p w:rsidR="00CD39A7" w:rsidRPr="00EE1CCF" w:rsidRDefault="005B3809">
            <w:pPr>
              <w:pStyle w:val="TableParagraph"/>
              <w:spacing w:before="62" w:line="240" w:lineRule="auto"/>
              <w:ind w:left="652"/>
              <w:rPr>
                <w:rFonts w:ascii="Wingdings 2" w:hAnsi="Wingdings 2"/>
                <w:b/>
                <w:sz w:val="16"/>
                <w:szCs w:val="16"/>
              </w:rPr>
            </w:pPr>
            <w:r w:rsidRPr="00EE1CCF">
              <w:rPr>
                <w:rFonts w:ascii="Wingdings 2" w:hAnsi="Wingdings 2"/>
                <w:b/>
                <w:bCs/>
                <w:sz w:val="16"/>
                <w:szCs w:val="16"/>
                <w:lang w:val="en"/>
              </w:rPr>
              <w:t></w:t>
            </w:r>
          </w:p>
          <w:p w:rsidR="00CD39A7" w:rsidRPr="00EE1CCF" w:rsidRDefault="005B3809">
            <w:pPr>
              <w:pStyle w:val="TableParagraph"/>
              <w:spacing w:before="57" w:line="240" w:lineRule="auto"/>
              <w:ind w:left="117" w:right="116"/>
              <w:jc w:val="center"/>
              <w:rPr>
                <w:b/>
                <w:sz w:val="16"/>
                <w:szCs w:val="16"/>
              </w:rPr>
            </w:pPr>
            <w:r w:rsidRPr="00EE1CCF">
              <w:rPr>
                <w:b/>
                <w:bCs/>
                <w:sz w:val="16"/>
                <w:szCs w:val="16"/>
                <w:lang w:val="en"/>
              </w:rPr>
              <w:t>Booklets provided to AZATHIOPRINE patients</w:t>
            </w:r>
          </w:p>
        </w:tc>
        <w:tc>
          <w:tcPr>
            <w:tcW w:w="1812" w:type="dxa"/>
          </w:tcPr>
          <w:p w:rsidR="00CD39A7" w:rsidRPr="00EE1CCF" w:rsidRDefault="005B3809">
            <w:pPr>
              <w:pStyle w:val="TableParagraph"/>
              <w:spacing w:before="62" w:line="240" w:lineRule="auto"/>
              <w:ind w:right="2"/>
              <w:jc w:val="center"/>
              <w:rPr>
                <w:rFonts w:ascii="Wingdings 2" w:hAnsi="Wingdings 2"/>
                <w:b/>
                <w:sz w:val="16"/>
                <w:szCs w:val="16"/>
              </w:rPr>
            </w:pPr>
            <w:r w:rsidRPr="00EE1CCF">
              <w:rPr>
                <w:rFonts w:ascii="Wingdings 2" w:hAnsi="Wingdings 2"/>
                <w:b/>
                <w:bCs/>
                <w:sz w:val="16"/>
                <w:szCs w:val="16"/>
                <w:lang w:val="en"/>
              </w:rPr>
              <w:t></w:t>
            </w:r>
          </w:p>
        </w:tc>
        <w:tc>
          <w:tcPr>
            <w:tcW w:w="1428" w:type="dxa"/>
          </w:tcPr>
          <w:p w:rsidR="00CD39A7" w:rsidRPr="00EE1CCF" w:rsidRDefault="005B3809">
            <w:pPr>
              <w:pStyle w:val="TableParagraph"/>
              <w:spacing w:before="62" w:line="240" w:lineRule="auto"/>
              <w:ind w:right="2"/>
              <w:jc w:val="center"/>
              <w:rPr>
                <w:rFonts w:ascii="Wingdings 2" w:hAnsi="Wingdings 2"/>
                <w:b/>
                <w:sz w:val="16"/>
                <w:szCs w:val="16"/>
              </w:rPr>
            </w:pPr>
            <w:r w:rsidRPr="00EE1CCF">
              <w:rPr>
                <w:rFonts w:ascii="Wingdings 2" w:hAnsi="Wingdings 2"/>
                <w:b/>
                <w:bCs/>
                <w:sz w:val="16"/>
                <w:szCs w:val="16"/>
                <w:lang w:val="en"/>
              </w:rPr>
              <w:t></w:t>
            </w:r>
          </w:p>
        </w:tc>
      </w:tr>
    </w:tbl>
    <w:p w:rsidR="00CD39A7" w:rsidRDefault="00CD39A7">
      <w:pPr>
        <w:jc w:val="center"/>
        <w:rPr>
          <w:rFonts w:ascii="Wingdings 2" w:hAnsi="Wingdings 2"/>
          <w:sz w:val="16"/>
        </w:rPr>
        <w:sectPr w:rsidR="00CD39A7">
          <w:pgSz w:w="11910" w:h="16840"/>
          <w:pgMar w:top="1320" w:right="1200" w:bottom="1200" w:left="1200" w:header="0" w:footer="952" w:gutter="0"/>
          <w:cols w:space="720"/>
        </w:sectPr>
      </w:pPr>
    </w:p>
    <w:p w:rsidR="00CD39A7" w:rsidRDefault="005B3809">
      <w:pPr>
        <w:pStyle w:val="BodyText"/>
        <w:spacing w:before="69"/>
        <w:ind w:left="115"/>
        <w:jc w:val="both"/>
      </w:pPr>
      <w:r>
        <w:rPr>
          <w:lang w:val="en"/>
        </w:rPr>
        <w:lastRenderedPageBreak/>
        <w:t>* BVAS = 0, if the patient has no signs of activity.</w:t>
      </w:r>
    </w:p>
    <w:p w:rsidR="00CD39A7" w:rsidRDefault="00CD39A7">
      <w:pPr>
        <w:pStyle w:val="BodyText"/>
        <w:spacing w:before="4"/>
        <w:rPr>
          <w:sz w:val="34"/>
        </w:rPr>
      </w:pPr>
    </w:p>
    <w:p w:rsidR="00CD39A7" w:rsidRDefault="005B3809">
      <w:pPr>
        <w:pStyle w:val="BodyText"/>
        <w:ind w:left="116" w:right="117"/>
        <w:jc w:val="both"/>
      </w:pPr>
      <w:r>
        <w:rPr>
          <w:lang w:val="en"/>
        </w:rPr>
        <w:t>§§ If ANCAs are detected by immunofluorescence, systematic ELISA tests must be performed to precisely identify the type of antibody. The dates indicated relate to ANCA-positive patients at the enrollment visit +.</w:t>
      </w:r>
    </w:p>
    <w:p w:rsidR="00CD39A7" w:rsidRDefault="005B3809">
      <w:pPr>
        <w:pStyle w:val="Heading4"/>
        <w:spacing w:before="64"/>
        <w:ind w:left="116" w:right="115" w:firstLine="0"/>
      </w:pPr>
      <w:r>
        <w:rPr>
          <w:lang w:val="en"/>
        </w:rPr>
        <w:t>For each patient, only the ANCA screening must be performed in the same laboratory and within each investigation center.</w:t>
      </w:r>
    </w:p>
    <w:p w:rsidR="00CD39A7" w:rsidRDefault="00CD39A7">
      <w:pPr>
        <w:pStyle w:val="BodyText"/>
        <w:spacing w:before="8"/>
        <w:rPr>
          <w:b/>
          <w:sz w:val="28"/>
        </w:rPr>
      </w:pPr>
    </w:p>
    <w:p w:rsidR="00CD39A7" w:rsidRDefault="005B3809">
      <w:pPr>
        <w:pStyle w:val="BodyText"/>
        <w:spacing w:before="1"/>
        <w:ind w:left="116" w:right="116"/>
        <w:jc w:val="both"/>
      </w:pPr>
      <w:r>
        <w:rPr>
          <w:lang w:val="en"/>
        </w:rPr>
        <w:t>¶ Patients must complete the HAQ and SF36 questionnaires themselves. If the patient is unable to complete the questionnaires (e.g., coma), it must be mentioned in a notation added to the questionnaire. Annotations should also be added to the questionnaire if the patient suffers from psychomotor difficulties (neuropathy, apathy, moderate confusion, etc.) and a close relative (family) may help the patient complete these questionnaires. Under no circumstances should the study investigator complete these questionnaires (aside from a note providing a reason for the patient not completing the form).</w:t>
      </w:r>
    </w:p>
    <w:p w:rsidR="00CD39A7" w:rsidRDefault="00CD39A7">
      <w:pPr>
        <w:pStyle w:val="BodyText"/>
        <w:rPr>
          <w:sz w:val="26"/>
        </w:rPr>
      </w:pPr>
    </w:p>
    <w:p w:rsidR="00CD39A7" w:rsidRDefault="00CD39A7">
      <w:pPr>
        <w:pStyle w:val="BodyText"/>
        <w:rPr>
          <w:sz w:val="22"/>
        </w:rPr>
      </w:pPr>
    </w:p>
    <w:p w:rsidR="00CD39A7" w:rsidRDefault="005B3809">
      <w:pPr>
        <w:pStyle w:val="BodyText"/>
        <w:spacing w:line="472" w:lineRule="auto"/>
        <w:ind w:left="115" w:right="115"/>
        <w:jc w:val="both"/>
      </w:pPr>
      <w:r>
        <w:rPr>
          <w:lang w:val="en"/>
        </w:rPr>
        <w:t>After M28, patients will be monitored every 3 or 6 months, based on their clinical condition (and/or persistence of ANCA for patients suffering from CSS or MPA), up to the 5 years after the diagnosis (post-hoc follow-up as part of the GFEV vasculitis registry), then at a frequency chosen by the study investigator responsible for the patient.</w:t>
      </w:r>
    </w:p>
    <w:p w:rsidR="00CD39A7" w:rsidRDefault="005B3809" w:rsidP="00640D1A">
      <w:pPr>
        <w:pStyle w:val="BodyText"/>
        <w:spacing w:before="18" w:line="480" w:lineRule="auto"/>
        <w:ind w:left="115" w:right="115"/>
        <w:jc w:val="both"/>
      </w:pPr>
      <w:r>
        <w:rPr>
          <w:lang w:val="en"/>
        </w:rPr>
        <w:t>Patient participation in this study implies that they will not be able to participate in another biomedical study for a period of 28 months. However, they may participate in other observational or biological studies independent of the present study ("ancillary" studies, particularly biobanks, serum banks, and gene banks). Patients participating in such studies must read and sign the informed consent forms according to standard regulations.</w:t>
      </w:r>
    </w:p>
    <w:p w:rsidR="00CD39A7" w:rsidRDefault="005B3809" w:rsidP="00640D1A">
      <w:pPr>
        <w:pStyle w:val="Heading4"/>
        <w:numPr>
          <w:ilvl w:val="1"/>
          <w:numId w:val="35"/>
        </w:numPr>
        <w:tabs>
          <w:tab w:val="left" w:pos="476"/>
        </w:tabs>
        <w:spacing w:before="240" w:after="120" w:line="480" w:lineRule="auto"/>
      </w:pPr>
      <w:bookmarkStart w:id="69" w:name="_bookmark116"/>
      <w:bookmarkStart w:id="70" w:name="3.7_Données_recueillies"/>
      <w:bookmarkEnd w:id="69"/>
      <w:bookmarkEnd w:id="70"/>
      <w:r>
        <w:rPr>
          <w:lang w:val="en"/>
        </w:rPr>
        <w:t>Data Collected</w:t>
      </w:r>
    </w:p>
    <w:p w:rsidR="00CD39A7" w:rsidRDefault="005B3809" w:rsidP="00640D1A">
      <w:pPr>
        <w:pStyle w:val="BodyText"/>
        <w:spacing w:line="480" w:lineRule="auto"/>
        <w:ind w:left="116" w:right="117"/>
        <w:jc w:val="both"/>
      </w:pPr>
      <w:r>
        <w:rPr>
          <w:lang w:val="en"/>
        </w:rPr>
        <w:t>Clinical and paraclinical signs will be recorded in an electronic case report form (e-CRF) accessible on the Internet using a secured access code (identifier and password) specific to each scientific investigator responsible for a patient. The data transferred wil</w:t>
      </w:r>
      <w:r w:rsidR="00AD7C53">
        <w:rPr>
          <w:lang w:val="en"/>
        </w:rPr>
        <w:t xml:space="preserve">l be anonymized and encrypted. </w:t>
      </w:r>
      <w:r>
        <w:rPr>
          <w:lang w:val="en"/>
        </w:rPr>
        <w:t>This system will allow for rapid assessment of the results.</w:t>
      </w:r>
    </w:p>
    <w:p w:rsidR="00CD39A7" w:rsidRDefault="005B3809">
      <w:pPr>
        <w:pStyle w:val="BodyText"/>
        <w:spacing w:before="69" w:line="480" w:lineRule="auto"/>
        <w:ind w:left="115" w:right="115"/>
      </w:pPr>
      <w:r>
        <w:rPr>
          <w:lang w:val="en"/>
        </w:rPr>
        <w:t>The items chosen for this form will be based on the e-CRFs previously used in numerous GFEV prospective studies.</w:t>
      </w:r>
    </w:p>
    <w:p w:rsidR="00CD39A7" w:rsidRDefault="005B3809" w:rsidP="00C35499">
      <w:pPr>
        <w:pStyle w:val="Heading1"/>
        <w:numPr>
          <w:ilvl w:val="0"/>
          <w:numId w:val="35"/>
        </w:numPr>
        <w:tabs>
          <w:tab w:val="left" w:pos="397"/>
        </w:tabs>
        <w:spacing w:before="360" w:line="480" w:lineRule="auto"/>
        <w:ind w:hanging="280"/>
      </w:pPr>
      <w:bookmarkStart w:id="71" w:name="_bookmark117"/>
      <w:bookmarkStart w:id="72" w:name="4._SELECTION_DE_LA_POPULATION"/>
      <w:bookmarkEnd w:id="71"/>
      <w:bookmarkEnd w:id="72"/>
      <w:r>
        <w:rPr>
          <w:lang w:val="en"/>
        </w:rPr>
        <w:lastRenderedPageBreak/>
        <w:t>POPULATION SELECTION</w:t>
      </w:r>
    </w:p>
    <w:p w:rsidR="00CD39A7" w:rsidRDefault="005B3809" w:rsidP="00C35499">
      <w:pPr>
        <w:pStyle w:val="Heading4"/>
        <w:numPr>
          <w:ilvl w:val="1"/>
          <w:numId w:val="35"/>
        </w:numPr>
        <w:tabs>
          <w:tab w:val="left" w:pos="476"/>
        </w:tabs>
        <w:spacing w:after="120" w:line="480" w:lineRule="auto"/>
      </w:pPr>
      <w:bookmarkStart w:id="73" w:name="_bookmark118"/>
      <w:bookmarkStart w:id="74" w:name="4.1_Nombre_de_patients"/>
      <w:bookmarkEnd w:id="73"/>
      <w:bookmarkEnd w:id="74"/>
      <w:r>
        <w:rPr>
          <w:lang w:val="en"/>
        </w:rPr>
        <w:t>Number of Patients</w:t>
      </w:r>
    </w:p>
    <w:p w:rsidR="00CD39A7" w:rsidRDefault="005B3809" w:rsidP="00C35499">
      <w:pPr>
        <w:pStyle w:val="BodyText"/>
        <w:spacing w:line="480" w:lineRule="auto"/>
        <w:ind w:left="116"/>
        <w:jc w:val="both"/>
      </w:pPr>
      <w:r>
        <w:rPr>
          <w:lang w:val="en"/>
        </w:rPr>
        <w:t>A total of 112 patients is planned for the study (56 in each arm).</w:t>
      </w:r>
    </w:p>
    <w:p w:rsidR="00CD39A7" w:rsidRDefault="005B3809" w:rsidP="00C35499">
      <w:pPr>
        <w:pStyle w:val="Heading4"/>
        <w:numPr>
          <w:ilvl w:val="1"/>
          <w:numId w:val="35"/>
        </w:numPr>
        <w:tabs>
          <w:tab w:val="left" w:pos="476"/>
        </w:tabs>
        <w:spacing w:line="480" w:lineRule="auto"/>
      </w:pPr>
      <w:bookmarkStart w:id="75" w:name="_bookmark119"/>
      <w:bookmarkStart w:id="76" w:name="4.2_Critères_d'inclusion"/>
      <w:bookmarkEnd w:id="75"/>
      <w:bookmarkEnd w:id="76"/>
      <w:r>
        <w:rPr>
          <w:lang w:val="en"/>
        </w:rPr>
        <w:t>Inclusion Criteria</w:t>
      </w:r>
    </w:p>
    <w:p w:rsidR="00CD39A7" w:rsidRDefault="005B3809" w:rsidP="00A00720">
      <w:pPr>
        <w:spacing w:after="120" w:line="480" w:lineRule="auto"/>
        <w:ind w:left="116" w:right="1708"/>
        <w:rPr>
          <w:b/>
          <w:sz w:val="24"/>
        </w:rPr>
      </w:pPr>
      <w:r>
        <w:rPr>
          <w:sz w:val="24"/>
          <w:lang w:val="en"/>
        </w:rPr>
        <w:t xml:space="preserve">The patients who meet the following criteria may be included in the study: </w:t>
      </w:r>
      <w:r w:rsidR="00EE11B9">
        <w:rPr>
          <w:sz w:val="24"/>
          <w:lang w:val="en"/>
        </w:rPr>
        <w:br/>
      </w:r>
      <w:r>
        <w:rPr>
          <w:sz w:val="24"/>
          <w:lang w:val="en"/>
        </w:rPr>
        <w:t>1</w:t>
      </w:r>
      <w:r w:rsidR="00031893">
        <w:rPr>
          <w:sz w:val="24"/>
          <w:lang w:val="en"/>
        </w:rPr>
        <w:t>/</w:t>
      </w:r>
      <w:r>
        <w:rPr>
          <w:sz w:val="24"/>
          <w:lang w:val="en"/>
        </w:rPr>
        <w:t xml:space="preserve"> Between 18 and 75 years of age </w:t>
      </w:r>
      <w:r w:rsidRPr="00EE11B9">
        <w:rPr>
          <w:b/>
          <w:sz w:val="24"/>
          <w:lang w:val="en"/>
        </w:rPr>
        <w:t>(at the time of disease diagnosis)</w:t>
      </w:r>
      <w:r>
        <w:rPr>
          <w:sz w:val="24"/>
          <w:lang w:val="en"/>
        </w:rPr>
        <w:t>.</w:t>
      </w:r>
    </w:p>
    <w:p w:rsidR="00CD39A7" w:rsidRDefault="005B3809">
      <w:pPr>
        <w:pStyle w:val="BodyText"/>
        <w:spacing w:before="10" w:line="480" w:lineRule="auto"/>
        <w:ind w:left="116" w:right="115"/>
        <w:jc w:val="both"/>
      </w:pPr>
      <w:r>
        <w:rPr>
          <w:lang w:val="en"/>
        </w:rPr>
        <w:t>2</w:t>
      </w:r>
      <w:r w:rsidR="00031893">
        <w:rPr>
          <w:lang w:val="en"/>
        </w:rPr>
        <w:t>/</w:t>
      </w:r>
      <w:r>
        <w:rPr>
          <w:lang w:val="en"/>
        </w:rPr>
        <w:t xml:space="preserve"> ANCA-associated vasculitis: WG, MPA, and limited renal forms (pauci-immune glomerulonephritis) with or without ANCA (at the time of diagnosis was well as remission). There are four types of ANCA-associated vasculitis: limited renal forms, Wegener's granulomatosis, microscopic polyangiitis, and Churg-Strauss syndrome. Only the first three of these diseases will be investigated in the study. However, ANCA are absent in certain types of vasculitis at the time of diagnosis. Their absence will not be considered an exclusion criterion as long as histological confirmation of the diagnosis was obtained.</w:t>
      </w:r>
    </w:p>
    <w:p w:rsidR="00CD39A7" w:rsidRDefault="005B3809" w:rsidP="00B25E13">
      <w:pPr>
        <w:pStyle w:val="ListParagraph"/>
        <w:numPr>
          <w:ilvl w:val="0"/>
          <w:numId w:val="27"/>
        </w:numPr>
        <w:tabs>
          <w:tab w:val="left" w:pos="1556"/>
        </w:tabs>
        <w:spacing w:before="10" w:line="446" w:lineRule="auto"/>
        <w:ind w:right="115"/>
        <w:rPr>
          <w:sz w:val="24"/>
        </w:rPr>
      </w:pPr>
      <w:r>
        <w:rPr>
          <w:sz w:val="24"/>
          <w:lang w:val="en"/>
        </w:rPr>
        <w:t>Wegener's granulomatosis which meet ACR 1990 criteria and/or Chapel Hill nomenclature, with either:</w:t>
      </w:r>
    </w:p>
    <w:p w:rsidR="00CD39A7" w:rsidRPr="00651EAF" w:rsidRDefault="005B3809" w:rsidP="00651EAF">
      <w:pPr>
        <w:pStyle w:val="ListParagraph"/>
        <w:numPr>
          <w:ilvl w:val="1"/>
          <w:numId w:val="27"/>
        </w:numPr>
        <w:tabs>
          <w:tab w:val="left" w:pos="2275"/>
          <w:tab w:val="left" w:pos="2276"/>
        </w:tabs>
        <w:spacing w:before="11" w:line="480" w:lineRule="auto"/>
        <w:rPr>
          <w:sz w:val="23"/>
        </w:rPr>
      </w:pPr>
      <w:r w:rsidRPr="00651EAF">
        <w:rPr>
          <w:sz w:val="24"/>
          <w:lang w:val="en"/>
        </w:rPr>
        <w:t>a) Renal, cardiac, nervous system, and/or digestive system disorders</w:t>
      </w:r>
    </w:p>
    <w:p w:rsidR="00CD39A7" w:rsidRPr="0003542D" w:rsidRDefault="005B3809" w:rsidP="00651EAF">
      <w:pPr>
        <w:pStyle w:val="ListParagraph"/>
        <w:numPr>
          <w:ilvl w:val="1"/>
          <w:numId w:val="27"/>
        </w:numPr>
        <w:tabs>
          <w:tab w:val="left" w:pos="2276"/>
        </w:tabs>
        <w:spacing w:line="480" w:lineRule="auto"/>
        <w:ind w:right="117"/>
        <w:jc w:val="both"/>
        <w:rPr>
          <w:sz w:val="24"/>
        </w:rPr>
      </w:pPr>
      <w:r>
        <w:rPr>
          <w:sz w:val="24"/>
          <w:lang w:val="en"/>
        </w:rPr>
        <w:t xml:space="preserve">b) Other general clinical manifestations (non-infectious fever &gt; 38°3C lasting &gt; 1 week; change in overall condition with a Karnofsky score </w:t>
      </w:r>
      <w:r w:rsidR="0003542D">
        <w:rPr>
          <w:sz w:val="24"/>
          <w:lang w:val="en"/>
        </w:rPr>
        <w:br/>
      </w:r>
      <w:r>
        <w:rPr>
          <w:sz w:val="24"/>
          <w:lang w:val="en"/>
        </w:rPr>
        <w:t>&lt; 40; weight loss &gt; 5 kg in</w:t>
      </w:r>
      <w:r w:rsidR="0003542D">
        <w:rPr>
          <w:sz w:val="24"/>
          <w:lang w:val="en"/>
        </w:rPr>
        <w:t xml:space="preserve"> </w:t>
      </w:r>
      <w:r w:rsidRPr="0003542D">
        <w:rPr>
          <w:lang w:val="en"/>
        </w:rPr>
        <w:t>&lt; 3 months),</w:t>
      </w:r>
    </w:p>
    <w:p w:rsidR="00CD39A7" w:rsidRDefault="005B3809" w:rsidP="00B25E13">
      <w:pPr>
        <w:pStyle w:val="ListParagraph"/>
        <w:numPr>
          <w:ilvl w:val="1"/>
          <w:numId w:val="27"/>
        </w:numPr>
        <w:tabs>
          <w:tab w:val="left" w:pos="2276"/>
        </w:tabs>
        <w:spacing w:before="69" w:line="480" w:lineRule="auto"/>
        <w:ind w:right="116"/>
        <w:jc w:val="both"/>
        <w:rPr>
          <w:sz w:val="24"/>
        </w:rPr>
      </w:pPr>
      <w:r>
        <w:rPr>
          <w:sz w:val="24"/>
          <w:lang w:val="en"/>
        </w:rPr>
        <w:t>c) A massive intra-alveolar hemorrhage (drop in hemoglobin level greater than 3 g/dl; hypoxemia with O2 sat &lt; 90%; respiratory distress syndrome),</w:t>
      </w:r>
    </w:p>
    <w:p w:rsidR="00CD39A7" w:rsidRPr="00031893" w:rsidRDefault="005B3809" w:rsidP="00B25E13">
      <w:pPr>
        <w:pStyle w:val="ListParagraph"/>
        <w:numPr>
          <w:ilvl w:val="1"/>
          <w:numId w:val="27"/>
        </w:numPr>
        <w:tabs>
          <w:tab w:val="left" w:pos="2276"/>
        </w:tabs>
        <w:spacing w:before="9" w:line="480" w:lineRule="auto"/>
        <w:ind w:right="116"/>
        <w:jc w:val="both"/>
        <w:rPr>
          <w:sz w:val="24"/>
        </w:rPr>
      </w:pPr>
      <w:r>
        <w:rPr>
          <w:sz w:val="24"/>
          <w:lang w:val="en"/>
        </w:rPr>
        <w:t>d) Another rare form characterized by pulmonary, ocular or otorhinolaryngological granulomatous presentations,</w:t>
      </w:r>
    </w:p>
    <w:p w:rsidR="00031893" w:rsidRDefault="00031893" w:rsidP="00031893">
      <w:pPr>
        <w:pStyle w:val="ListParagraph"/>
        <w:tabs>
          <w:tab w:val="left" w:pos="2276"/>
        </w:tabs>
        <w:spacing w:before="9" w:line="480" w:lineRule="auto"/>
        <w:ind w:left="2276" w:right="116" w:firstLine="0"/>
        <w:jc w:val="both"/>
        <w:rPr>
          <w:sz w:val="24"/>
        </w:rPr>
      </w:pPr>
    </w:p>
    <w:p w:rsidR="00CD39A7" w:rsidRDefault="005B3809" w:rsidP="00A00720">
      <w:pPr>
        <w:pStyle w:val="ListParagraph"/>
        <w:numPr>
          <w:ilvl w:val="0"/>
          <w:numId w:val="27"/>
        </w:numPr>
        <w:tabs>
          <w:tab w:val="left" w:pos="1556"/>
        </w:tabs>
        <w:spacing w:before="9" w:after="120" w:line="468" w:lineRule="auto"/>
        <w:ind w:right="115"/>
        <w:jc w:val="both"/>
        <w:rPr>
          <w:sz w:val="24"/>
        </w:rPr>
      </w:pPr>
      <w:r>
        <w:rPr>
          <w:sz w:val="24"/>
          <w:lang w:val="en"/>
        </w:rPr>
        <w:t xml:space="preserve">Microscopic polyangiitis meeting the Chapel Hill nomenclature criteria and </w:t>
      </w:r>
      <w:r>
        <w:rPr>
          <w:sz w:val="24"/>
          <w:lang w:val="en"/>
        </w:rPr>
        <w:lastRenderedPageBreak/>
        <w:t xml:space="preserve">exhibiting signs of a poor prognosis in accordance with the five factor score (renal failure with serum creatinine &gt; 140 µmol/l; proteinuria with &gt;1 g in </w:t>
      </w:r>
      <w:r w:rsidR="0003542D">
        <w:rPr>
          <w:sz w:val="24"/>
          <w:lang w:val="en"/>
        </w:rPr>
        <w:br/>
      </w:r>
      <w:r>
        <w:rPr>
          <w:sz w:val="24"/>
          <w:lang w:val="en"/>
        </w:rPr>
        <w:t>24-h; specific central nervous system disorders, cardiomyopic and/or gastrointestinal involvement).</w:t>
      </w:r>
    </w:p>
    <w:p w:rsidR="00CD39A7" w:rsidRDefault="005B3809" w:rsidP="00A00720">
      <w:pPr>
        <w:pStyle w:val="BodyText"/>
        <w:spacing w:after="100" w:afterAutospacing="1" w:line="480" w:lineRule="auto"/>
        <w:ind w:left="115" w:right="117"/>
        <w:jc w:val="both"/>
      </w:pPr>
      <w:r>
        <w:rPr>
          <w:lang w:val="en"/>
        </w:rPr>
        <w:t>3</w:t>
      </w:r>
      <w:r w:rsidR="00031893">
        <w:rPr>
          <w:lang w:val="en"/>
        </w:rPr>
        <w:t>/</w:t>
      </w:r>
      <w:r>
        <w:rPr>
          <w:lang w:val="en"/>
        </w:rPr>
        <w:t xml:space="preserve"> Patients in remission following a first induction therapy or a relapse, achieved with any treatment regimen combining corticosteroids and at least one immunosuppressant, in accordance with the currently accepted good practice, with the exception of anti-CD20 and/or anti-TNFα. A period of 10 to 15 days is required between the onset of remission and the start of maintenance therapy.</w:t>
      </w:r>
    </w:p>
    <w:p w:rsidR="00CD39A7" w:rsidRDefault="005B3809" w:rsidP="00A00720">
      <w:pPr>
        <w:pStyle w:val="BodyText"/>
        <w:spacing w:after="120" w:line="480" w:lineRule="auto"/>
        <w:ind w:left="115" w:right="117"/>
        <w:jc w:val="both"/>
      </w:pPr>
      <w:r>
        <w:rPr>
          <w:lang w:val="en"/>
        </w:rPr>
        <w:t>4</w:t>
      </w:r>
      <w:r w:rsidR="00031893">
        <w:rPr>
          <w:lang w:val="en"/>
        </w:rPr>
        <w:t>/</w:t>
      </w:r>
      <w:r>
        <w:rPr>
          <w:lang w:val="en"/>
        </w:rPr>
        <w:t xml:space="preserve"> Patients who have read and signed the informed consent form for their participation in </w:t>
      </w:r>
      <w:r w:rsidR="00A00720">
        <w:rPr>
          <w:lang w:val="en"/>
        </w:rPr>
        <w:br/>
      </w:r>
      <w:r>
        <w:rPr>
          <w:lang w:val="en"/>
        </w:rPr>
        <w:t>the study.</w:t>
      </w:r>
    </w:p>
    <w:p w:rsidR="00CD39A7" w:rsidRDefault="005B3809" w:rsidP="00900AF1">
      <w:pPr>
        <w:pStyle w:val="BodyText"/>
        <w:spacing w:after="120" w:line="480" w:lineRule="auto"/>
        <w:ind w:left="115" w:right="114"/>
        <w:jc w:val="both"/>
      </w:pPr>
      <w:r>
        <w:rPr>
          <w:lang w:val="en"/>
        </w:rPr>
        <w:t>5</w:t>
      </w:r>
      <w:r w:rsidR="00031893">
        <w:rPr>
          <w:lang w:val="en"/>
        </w:rPr>
        <w:t>/</w:t>
      </w:r>
      <w:r>
        <w:rPr>
          <w:lang w:val="en"/>
        </w:rPr>
        <w:t xml:space="preserve"> A maximum period of 1 month between the end of their previous immunosuppressive therapy and randomization into the study.</w:t>
      </w:r>
    </w:p>
    <w:p w:rsidR="00CD39A7" w:rsidRDefault="005B3809">
      <w:pPr>
        <w:pStyle w:val="BodyText"/>
        <w:spacing w:line="480" w:lineRule="auto"/>
        <w:ind w:left="115" w:right="119"/>
        <w:jc w:val="both"/>
      </w:pPr>
      <w:r>
        <w:rPr>
          <w:lang w:val="en"/>
        </w:rPr>
        <w:t>Biological criteria defining satisfactory bone marrow, liver, and kidney functions for inclusion in the study are the following:</w:t>
      </w:r>
    </w:p>
    <w:p w:rsidR="00CD39A7" w:rsidRDefault="005B3809" w:rsidP="00B25E13">
      <w:pPr>
        <w:pStyle w:val="ListParagraph"/>
        <w:numPr>
          <w:ilvl w:val="0"/>
          <w:numId w:val="26"/>
        </w:numPr>
        <w:tabs>
          <w:tab w:val="left" w:pos="835"/>
          <w:tab w:val="left" w:pos="836"/>
        </w:tabs>
        <w:spacing w:before="10" w:line="480" w:lineRule="auto"/>
        <w:ind w:right="112"/>
        <w:rPr>
          <w:sz w:val="24"/>
        </w:rPr>
      </w:pPr>
      <w:r>
        <w:rPr>
          <w:sz w:val="24"/>
          <w:lang w:val="en"/>
        </w:rPr>
        <w:t>Bone marrow function: Bone marrow reserve will be evaluated using complete blood count and platelet count.</w:t>
      </w:r>
    </w:p>
    <w:p w:rsidR="00CD39A7" w:rsidRDefault="005B3809" w:rsidP="00900AF1">
      <w:pPr>
        <w:pStyle w:val="ListParagraph"/>
        <w:numPr>
          <w:ilvl w:val="0"/>
          <w:numId w:val="26"/>
        </w:numPr>
        <w:tabs>
          <w:tab w:val="left" w:pos="835"/>
          <w:tab w:val="left" w:pos="836"/>
        </w:tabs>
        <w:spacing w:line="480" w:lineRule="auto"/>
        <w:ind w:right="115"/>
        <w:rPr>
          <w:sz w:val="24"/>
        </w:rPr>
      </w:pPr>
      <w:r>
        <w:rPr>
          <w:sz w:val="24"/>
          <w:lang w:val="en"/>
        </w:rPr>
        <w:t>Liver function will be evaluated by transaminase and alkaline phosphatase levels.</w:t>
      </w:r>
    </w:p>
    <w:p w:rsidR="00CD39A7" w:rsidRDefault="005B3809" w:rsidP="00900AF1">
      <w:pPr>
        <w:pStyle w:val="ListParagraph"/>
        <w:numPr>
          <w:ilvl w:val="0"/>
          <w:numId w:val="26"/>
        </w:numPr>
        <w:tabs>
          <w:tab w:val="left" w:pos="835"/>
          <w:tab w:val="left" w:pos="836"/>
        </w:tabs>
        <w:spacing w:before="100" w:beforeAutospacing="1" w:line="480" w:lineRule="auto"/>
        <w:rPr>
          <w:sz w:val="24"/>
        </w:rPr>
      </w:pPr>
      <w:r>
        <w:rPr>
          <w:sz w:val="24"/>
          <w:lang w:val="en"/>
        </w:rPr>
        <w:t>Renal function will be evaluated based on creatinine level and calculated clearance.</w:t>
      </w:r>
    </w:p>
    <w:p w:rsidR="00CD39A7" w:rsidRDefault="005B3809" w:rsidP="00900AF1">
      <w:pPr>
        <w:pStyle w:val="BodyText"/>
        <w:spacing w:before="1" w:line="480" w:lineRule="auto"/>
        <w:ind w:left="115"/>
      </w:pPr>
      <w:r>
        <w:rPr>
          <w:lang w:val="en"/>
        </w:rPr>
        <w:t>All these tests are scheduled to be performed in the study as part of the initial testing during the enrollment visit.</w:t>
      </w:r>
    </w:p>
    <w:p w:rsidR="00CD39A7" w:rsidRDefault="005B3809" w:rsidP="00900AF1">
      <w:pPr>
        <w:pStyle w:val="Heading4"/>
        <w:numPr>
          <w:ilvl w:val="1"/>
          <w:numId w:val="35"/>
        </w:numPr>
        <w:tabs>
          <w:tab w:val="left" w:pos="476"/>
        </w:tabs>
        <w:spacing w:before="240" w:after="120" w:line="480" w:lineRule="auto"/>
      </w:pPr>
      <w:bookmarkStart w:id="77" w:name="_bookmark120"/>
      <w:bookmarkStart w:id="78" w:name="4.3_Critères_de_non-inclusion"/>
      <w:bookmarkEnd w:id="77"/>
      <w:bookmarkEnd w:id="78"/>
      <w:r>
        <w:rPr>
          <w:lang w:val="en"/>
        </w:rPr>
        <w:t>Exclusion Criteria</w:t>
      </w:r>
    </w:p>
    <w:p w:rsidR="00CD39A7" w:rsidRDefault="005B3809" w:rsidP="00900AF1">
      <w:pPr>
        <w:pStyle w:val="BodyText"/>
        <w:spacing w:line="480" w:lineRule="auto"/>
        <w:ind w:left="115" w:right="517"/>
      </w:pPr>
      <w:r>
        <w:rPr>
          <w:lang w:val="en"/>
        </w:rPr>
        <w:t>Patients who meet at least one of the following criteria will be excluded from the study:</w:t>
      </w:r>
    </w:p>
    <w:p w:rsidR="007B538B" w:rsidRDefault="005B3809" w:rsidP="007B538B">
      <w:pPr>
        <w:pStyle w:val="BodyText"/>
        <w:spacing w:before="10" w:line="480" w:lineRule="auto"/>
        <w:ind w:left="115" w:right="5341"/>
        <w:rPr>
          <w:lang w:val="en"/>
        </w:rPr>
      </w:pPr>
      <w:r>
        <w:rPr>
          <w:lang w:val="en"/>
        </w:rPr>
        <w:t>1</w:t>
      </w:r>
      <w:r w:rsidR="00031893">
        <w:rPr>
          <w:lang w:val="en"/>
        </w:rPr>
        <w:t>/</w:t>
      </w:r>
      <w:r>
        <w:rPr>
          <w:lang w:val="en"/>
        </w:rPr>
        <w:t xml:space="preserve"> Churg-Strauss syndrome. </w:t>
      </w:r>
    </w:p>
    <w:p w:rsidR="00CD39A7" w:rsidRDefault="005B3809" w:rsidP="007B538B">
      <w:pPr>
        <w:pStyle w:val="BodyText"/>
        <w:spacing w:before="10" w:line="480" w:lineRule="auto"/>
        <w:ind w:left="115" w:right="5341"/>
      </w:pPr>
      <w:r>
        <w:rPr>
          <w:lang w:val="en"/>
        </w:rPr>
        <w:lastRenderedPageBreak/>
        <w:t>2</w:t>
      </w:r>
      <w:r w:rsidR="00031893">
        <w:rPr>
          <w:lang w:val="en"/>
        </w:rPr>
        <w:t>/</w:t>
      </w:r>
      <w:r>
        <w:rPr>
          <w:lang w:val="en"/>
        </w:rPr>
        <w:t xml:space="preserve"> Other types of systemic vasculitis.</w:t>
      </w:r>
    </w:p>
    <w:p w:rsidR="00CD39A7" w:rsidRDefault="005B3809" w:rsidP="007B538B">
      <w:pPr>
        <w:pStyle w:val="BodyText"/>
        <w:spacing w:before="10" w:line="480" w:lineRule="auto"/>
        <w:ind w:left="115"/>
      </w:pPr>
      <w:r>
        <w:rPr>
          <w:lang w:val="en"/>
        </w:rPr>
        <w:t>3</w:t>
      </w:r>
      <w:r w:rsidR="00031893">
        <w:rPr>
          <w:lang w:val="en"/>
        </w:rPr>
        <w:t>/</w:t>
      </w:r>
      <w:r>
        <w:rPr>
          <w:lang w:val="en"/>
        </w:rPr>
        <w:t xml:space="preserve"> Secondary vasculitis (particularly paraneoplastic or infectious forms).</w:t>
      </w:r>
    </w:p>
    <w:p w:rsidR="00CD39A7" w:rsidRDefault="005B3809" w:rsidP="007B538B">
      <w:pPr>
        <w:pStyle w:val="BodyText"/>
        <w:spacing w:line="480" w:lineRule="auto"/>
        <w:ind w:left="116"/>
      </w:pPr>
      <w:r>
        <w:rPr>
          <w:lang w:val="en"/>
        </w:rPr>
        <w:t>4</w:t>
      </w:r>
      <w:r w:rsidR="00031893">
        <w:rPr>
          <w:lang w:val="en"/>
        </w:rPr>
        <w:t>/</w:t>
      </w:r>
      <w:r>
        <w:rPr>
          <w:lang w:val="en"/>
        </w:rPr>
        <w:t xml:space="preserve"> Patients who have not achieved remission with corticosteroid and immunosuppressant therapy (disease still active).</w:t>
      </w:r>
    </w:p>
    <w:p w:rsidR="00CD39A7" w:rsidRDefault="005B3809" w:rsidP="007B538B">
      <w:pPr>
        <w:pStyle w:val="BodyText"/>
        <w:spacing w:before="10" w:line="480" w:lineRule="auto"/>
        <w:ind w:left="116" w:right="115"/>
      </w:pPr>
      <w:r>
        <w:rPr>
          <w:lang w:val="en"/>
        </w:rPr>
        <w:t>5</w:t>
      </w:r>
      <w:r w:rsidR="00031893">
        <w:rPr>
          <w:lang w:val="en"/>
        </w:rPr>
        <w:t>/</w:t>
      </w:r>
      <w:r>
        <w:rPr>
          <w:lang w:val="en"/>
        </w:rPr>
        <w:t xml:space="preserve"> Patients previously treated with monoclonal antibodies such as anti-CD20 or anti-TNFα.</w:t>
      </w:r>
    </w:p>
    <w:p w:rsidR="00CD39A7" w:rsidRDefault="005B3809" w:rsidP="007B538B">
      <w:pPr>
        <w:pStyle w:val="BodyText"/>
        <w:tabs>
          <w:tab w:val="left" w:pos="507"/>
          <w:tab w:val="left" w:pos="1894"/>
          <w:tab w:val="left" w:pos="2326"/>
          <w:tab w:val="left" w:pos="3396"/>
          <w:tab w:val="left" w:pos="4651"/>
          <w:tab w:val="left" w:pos="5098"/>
          <w:tab w:val="left" w:pos="6845"/>
          <w:tab w:val="left" w:pos="7757"/>
          <w:tab w:val="left" w:pos="8309"/>
        </w:tabs>
        <w:spacing w:before="10" w:line="480" w:lineRule="auto"/>
        <w:ind w:left="116" w:right="116"/>
      </w:pPr>
      <w:r>
        <w:rPr>
          <w:lang w:val="en"/>
        </w:rPr>
        <w:t>6</w:t>
      </w:r>
      <w:r w:rsidR="00031893">
        <w:rPr>
          <w:lang w:val="en"/>
        </w:rPr>
        <w:t>/</w:t>
      </w:r>
      <w:r>
        <w:rPr>
          <w:lang w:val="en"/>
        </w:rPr>
        <w:t xml:space="preserve"> History of severe allergic or anaphylactic reactions to humanized or murine monoclonal antibodies.</w:t>
      </w:r>
    </w:p>
    <w:p w:rsidR="00CD39A7" w:rsidRDefault="005B3809" w:rsidP="007B538B">
      <w:pPr>
        <w:pStyle w:val="BodyText"/>
        <w:spacing w:before="10" w:line="480" w:lineRule="auto"/>
        <w:ind w:left="116"/>
      </w:pPr>
      <w:r>
        <w:rPr>
          <w:lang w:val="en"/>
        </w:rPr>
        <w:t>7</w:t>
      </w:r>
      <w:r w:rsidR="00031893">
        <w:rPr>
          <w:lang w:val="en"/>
        </w:rPr>
        <w:t>/</w:t>
      </w:r>
      <w:r>
        <w:rPr>
          <w:lang w:val="en"/>
        </w:rPr>
        <w:t xml:space="preserve"> Inability or refusal to understand or sign the informed consent form to participate in the study.</w:t>
      </w:r>
    </w:p>
    <w:p w:rsidR="00CD39A7" w:rsidRDefault="005B3809" w:rsidP="007B538B">
      <w:pPr>
        <w:pStyle w:val="BodyText"/>
        <w:spacing w:before="10" w:line="480" w:lineRule="auto"/>
        <w:ind w:left="116" w:right="178"/>
      </w:pPr>
      <w:r>
        <w:rPr>
          <w:lang w:val="en"/>
        </w:rPr>
        <w:t>8</w:t>
      </w:r>
      <w:r w:rsidR="00031893">
        <w:rPr>
          <w:lang w:val="en"/>
        </w:rPr>
        <w:t>/</w:t>
      </w:r>
      <w:r>
        <w:rPr>
          <w:lang w:val="en"/>
        </w:rPr>
        <w:t xml:space="preserve"> Inability or refusal to follow the treatment or undergo required follow-up examinations for the study. Non-compliance.</w:t>
      </w:r>
    </w:p>
    <w:p w:rsidR="00CD39A7" w:rsidRDefault="005B3809" w:rsidP="007B538B">
      <w:pPr>
        <w:pStyle w:val="BodyText"/>
        <w:spacing w:before="10" w:line="480" w:lineRule="auto"/>
        <w:ind w:left="115"/>
      </w:pPr>
      <w:r>
        <w:rPr>
          <w:lang w:val="en"/>
        </w:rPr>
        <w:t>9</w:t>
      </w:r>
      <w:r w:rsidR="00031893">
        <w:rPr>
          <w:lang w:val="en"/>
        </w:rPr>
        <w:t>/</w:t>
      </w:r>
      <w:r>
        <w:rPr>
          <w:lang w:val="en"/>
        </w:rPr>
        <w:t xml:space="preserve"> Allergy, known hypersensitivity or contraindication to the medications being used and investigated in the study (cyclophosphamide, corticosteroids, azathioprine, rituximab).</w:t>
      </w:r>
    </w:p>
    <w:p w:rsidR="00CD39A7" w:rsidRDefault="005B3809" w:rsidP="007B538B">
      <w:pPr>
        <w:pStyle w:val="BodyText"/>
        <w:spacing w:before="69" w:line="480" w:lineRule="auto"/>
        <w:ind w:left="115"/>
      </w:pPr>
      <w:r>
        <w:rPr>
          <w:lang w:val="en"/>
        </w:rPr>
        <w:t>10</w:t>
      </w:r>
      <w:r w:rsidR="00031893">
        <w:rPr>
          <w:lang w:val="en"/>
        </w:rPr>
        <w:t>/</w:t>
      </w:r>
      <w:r>
        <w:rPr>
          <w:lang w:val="en"/>
        </w:rPr>
        <w:t xml:space="preserve"> Patients being treated with allopurinol will not be included if allopurinol treatment must be continued (risk of increased azathioprine toxicity).</w:t>
      </w:r>
    </w:p>
    <w:p w:rsidR="00CD39A7" w:rsidRDefault="005B3809" w:rsidP="007B538B">
      <w:pPr>
        <w:pStyle w:val="BodyText"/>
        <w:spacing w:before="9" w:line="480" w:lineRule="auto"/>
        <w:ind w:left="116"/>
      </w:pPr>
      <w:r>
        <w:rPr>
          <w:lang w:val="en"/>
        </w:rPr>
        <w:t>11</w:t>
      </w:r>
      <w:r w:rsidR="00031893">
        <w:rPr>
          <w:lang w:val="en"/>
        </w:rPr>
        <w:t>/</w:t>
      </w:r>
      <w:r>
        <w:rPr>
          <w:lang w:val="en"/>
        </w:rPr>
        <w:t xml:space="preserve"> Pregnancy, lactation. Women of childbearing potential must use a reliable method of contraception during the entire immunosuppressive treatment period.</w:t>
      </w:r>
    </w:p>
    <w:p w:rsidR="00CD39A7" w:rsidRDefault="005B3809" w:rsidP="007B538B">
      <w:pPr>
        <w:pStyle w:val="BodyText"/>
        <w:spacing w:before="9" w:line="480" w:lineRule="auto"/>
        <w:ind w:left="116"/>
        <w:rPr>
          <w:sz w:val="23"/>
        </w:rPr>
      </w:pPr>
      <w:r>
        <w:rPr>
          <w:lang w:val="en"/>
        </w:rPr>
        <w:t>12</w:t>
      </w:r>
      <w:r w:rsidR="00031893">
        <w:rPr>
          <w:lang w:val="en"/>
        </w:rPr>
        <w:t>/</w:t>
      </w:r>
      <w:r>
        <w:rPr>
          <w:lang w:val="en"/>
        </w:rPr>
        <w:t xml:space="preserve"> HIV, HBV or HCV infection.</w:t>
      </w:r>
    </w:p>
    <w:p w:rsidR="00CD39A7" w:rsidRDefault="005B3809" w:rsidP="007B538B">
      <w:pPr>
        <w:pStyle w:val="BodyText"/>
        <w:spacing w:line="480" w:lineRule="auto"/>
        <w:ind w:left="116" w:right="115"/>
      </w:pPr>
      <w:r>
        <w:rPr>
          <w:lang w:val="en"/>
        </w:rPr>
        <w:t>13</w:t>
      </w:r>
      <w:r w:rsidR="00031893">
        <w:rPr>
          <w:lang w:val="en"/>
        </w:rPr>
        <w:t>/</w:t>
      </w:r>
      <w:r>
        <w:rPr>
          <w:lang w:val="en"/>
        </w:rPr>
        <w:t xml:space="preserve"> Progressive, uncontrolled infection requiring long-term treatment (tuberculosis, etc.). </w:t>
      </w:r>
      <w:r w:rsidR="00314A81">
        <w:rPr>
          <w:lang w:val="en"/>
        </w:rPr>
        <w:br/>
      </w:r>
      <w:r>
        <w:rPr>
          <w:lang w:val="en"/>
        </w:rPr>
        <w:t>14</w:t>
      </w:r>
      <w:r w:rsidR="00031893">
        <w:rPr>
          <w:lang w:val="en"/>
        </w:rPr>
        <w:t>/</w:t>
      </w:r>
      <w:r>
        <w:rPr>
          <w:lang w:val="en"/>
        </w:rPr>
        <w:t xml:space="preserve"> Other types of severe infection reported less than 3 months prior to randomization </w:t>
      </w:r>
      <w:r w:rsidR="00314A81">
        <w:rPr>
          <w:lang w:val="en"/>
        </w:rPr>
        <w:br/>
      </w:r>
      <w:r>
        <w:rPr>
          <w:lang w:val="en"/>
        </w:rPr>
        <w:t>(CMV, HHV-8, etc.</w:t>
      </w:r>
      <w:r w:rsidR="00314A81">
        <w:t>)</w:t>
      </w:r>
    </w:p>
    <w:p w:rsidR="00CD39A7" w:rsidRDefault="005B3809" w:rsidP="007B538B">
      <w:pPr>
        <w:pStyle w:val="BodyText"/>
        <w:spacing w:before="10" w:line="480" w:lineRule="auto"/>
        <w:ind w:left="116" w:right="115"/>
        <w:jc w:val="both"/>
      </w:pPr>
      <w:r>
        <w:rPr>
          <w:lang w:val="en"/>
        </w:rPr>
        <w:t>15</w:t>
      </w:r>
      <w:r w:rsidR="00031893">
        <w:rPr>
          <w:lang w:val="en"/>
        </w:rPr>
        <w:t>/</w:t>
      </w:r>
      <w:r>
        <w:rPr>
          <w:lang w:val="en"/>
        </w:rPr>
        <w:t xml:space="preserve"> Bacterial, viral, fungal or mycobacterial infection (with the exception of fungal infection of the nail bed) or any other progressive infection or significant episode of infection requiring hospitalization or treatment with anti-infective medication either intravenously within 4 weeks or orally within 2 weeks prior to enrollment.</w:t>
      </w:r>
    </w:p>
    <w:p w:rsidR="00CD39A7" w:rsidRDefault="005B3809" w:rsidP="007B538B">
      <w:pPr>
        <w:pStyle w:val="BodyText"/>
        <w:spacing w:before="10" w:line="480" w:lineRule="auto"/>
        <w:ind w:left="116"/>
      </w:pPr>
      <w:r>
        <w:rPr>
          <w:lang w:val="en"/>
        </w:rPr>
        <w:t>16)</w:t>
      </w:r>
      <w:r w:rsidR="00031893">
        <w:rPr>
          <w:lang w:val="en"/>
        </w:rPr>
        <w:t>/</w:t>
      </w:r>
      <w:r>
        <w:rPr>
          <w:lang w:val="en"/>
        </w:rPr>
        <w:t xml:space="preserve"> History of deep tissue infection (fasciitis, abscess, osteomyelitis, articular septic arthritis) in the year prior to enrollment in the trial.</w:t>
      </w:r>
    </w:p>
    <w:p w:rsidR="00CD39A7" w:rsidRDefault="005B3809">
      <w:pPr>
        <w:pStyle w:val="BodyText"/>
        <w:spacing w:before="10" w:line="480" w:lineRule="auto"/>
        <w:ind w:left="116"/>
      </w:pPr>
      <w:r>
        <w:rPr>
          <w:lang w:val="en"/>
        </w:rPr>
        <w:lastRenderedPageBreak/>
        <w:t>17</w:t>
      </w:r>
      <w:r w:rsidR="00031893">
        <w:rPr>
          <w:lang w:val="en"/>
        </w:rPr>
        <w:t>/</w:t>
      </w:r>
      <w:r>
        <w:rPr>
          <w:lang w:val="en"/>
        </w:rPr>
        <w:t xml:space="preserve"> History of severe chronic or recurrent infection or any other underlying condition which predisposes the patient to severe infections.</w:t>
      </w:r>
    </w:p>
    <w:p w:rsidR="00CD39A7" w:rsidRDefault="005B3809">
      <w:pPr>
        <w:pStyle w:val="BodyText"/>
        <w:spacing w:before="10" w:line="480" w:lineRule="auto"/>
        <w:ind w:left="116" w:right="115"/>
      </w:pPr>
      <w:r>
        <w:rPr>
          <w:lang w:val="en"/>
        </w:rPr>
        <w:t>18</w:t>
      </w:r>
      <w:r w:rsidR="00031893">
        <w:rPr>
          <w:lang w:val="en"/>
        </w:rPr>
        <w:t>/</w:t>
      </w:r>
      <w:r>
        <w:rPr>
          <w:lang w:val="en"/>
        </w:rPr>
        <w:t xml:space="preserve"> Administration of a live vaccine in the 4 weeks prior to enrollment in the trial. </w:t>
      </w:r>
      <w:r w:rsidR="00314A81">
        <w:rPr>
          <w:lang w:val="en"/>
        </w:rPr>
        <w:br/>
      </w:r>
      <w:r>
        <w:rPr>
          <w:lang w:val="en"/>
        </w:rPr>
        <w:t>19</w:t>
      </w:r>
      <w:r w:rsidR="00031893">
        <w:rPr>
          <w:lang w:val="en"/>
        </w:rPr>
        <w:t>/</w:t>
      </w:r>
      <w:r>
        <w:rPr>
          <w:lang w:val="en"/>
        </w:rPr>
        <w:t xml:space="preserve"> Known severe chronic obstructive pulmonary disease (FEV</w:t>
      </w:r>
      <w:r>
        <w:rPr>
          <w:vertAlign w:val="subscript"/>
          <w:lang w:val="en"/>
        </w:rPr>
        <w:t>1</w:t>
      </w:r>
      <w:r>
        <w:rPr>
          <w:lang w:val="en"/>
        </w:rPr>
        <w:t xml:space="preserve"> &lt; 50% or grade 3 functional dyspnea).</w:t>
      </w:r>
    </w:p>
    <w:p w:rsidR="00CD39A7" w:rsidRDefault="005B3809">
      <w:pPr>
        <w:pStyle w:val="BodyText"/>
        <w:spacing w:before="10" w:line="480" w:lineRule="auto"/>
        <w:ind w:left="116" w:right="2549"/>
      </w:pPr>
      <w:r>
        <w:rPr>
          <w:lang w:val="en"/>
        </w:rPr>
        <w:t>20</w:t>
      </w:r>
      <w:r w:rsidR="00031893">
        <w:rPr>
          <w:lang w:val="en"/>
        </w:rPr>
        <w:t>/</w:t>
      </w:r>
      <w:r>
        <w:rPr>
          <w:lang w:val="en"/>
        </w:rPr>
        <w:t xml:space="preserve"> NYHA stage III or IV heart failure. </w:t>
      </w:r>
      <w:r w:rsidR="00314A81">
        <w:rPr>
          <w:lang w:val="en"/>
        </w:rPr>
        <w:br/>
      </w:r>
      <w:r>
        <w:rPr>
          <w:lang w:val="en"/>
        </w:rPr>
        <w:t>21</w:t>
      </w:r>
      <w:r w:rsidR="00031893">
        <w:rPr>
          <w:lang w:val="en"/>
        </w:rPr>
        <w:t>/</w:t>
      </w:r>
      <w:r>
        <w:rPr>
          <w:lang w:val="en"/>
        </w:rPr>
        <w:t xml:space="preserve"> Recent history of acute coronary syndrome.</w:t>
      </w:r>
    </w:p>
    <w:p w:rsidR="00CD39A7" w:rsidRDefault="005B3809" w:rsidP="007B538B">
      <w:pPr>
        <w:pStyle w:val="BodyText"/>
        <w:spacing w:before="10" w:line="480" w:lineRule="auto"/>
        <w:ind w:left="116" w:right="115"/>
        <w:jc w:val="both"/>
      </w:pPr>
      <w:r>
        <w:rPr>
          <w:lang w:val="en"/>
        </w:rPr>
        <w:t>22</w:t>
      </w:r>
      <w:r w:rsidR="00031893">
        <w:rPr>
          <w:lang w:val="en"/>
        </w:rPr>
        <w:t>/</w:t>
      </w:r>
      <w:r>
        <w:rPr>
          <w:lang w:val="en"/>
        </w:rPr>
        <w:t xml:space="preserve"> Progressive cancer or hematological malignancy diagnosed in the 5 years prior to the vasculitis diagnosis. Patients with non-metastatic prostate cancer or basal cell carcinoma, or patients cured from cancer or a hematologic malignancy</w:t>
      </w:r>
      <w:r w:rsidR="00314A81">
        <w:t xml:space="preserve"> </w:t>
      </w:r>
      <w:r w:rsidR="00314A81">
        <w:rPr>
          <w:lang w:val="en"/>
        </w:rPr>
        <w:t>more than 5 years ago, and who have</w:t>
      </w:r>
      <w:r w:rsidR="007B538B">
        <w:rPr>
          <w:lang w:val="en"/>
        </w:rPr>
        <w:t xml:space="preserve"> </w:t>
      </w:r>
      <w:r>
        <w:rPr>
          <w:lang w:val="en"/>
        </w:rPr>
        <w:t>not received any cancer treatment in the past 5 years, may be included.</w:t>
      </w:r>
    </w:p>
    <w:p w:rsidR="00CD39A7" w:rsidRDefault="005B3809" w:rsidP="007B538B">
      <w:pPr>
        <w:pStyle w:val="BodyText"/>
        <w:spacing w:before="9" w:line="480" w:lineRule="auto"/>
        <w:ind w:left="115" w:right="116"/>
        <w:jc w:val="both"/>
      </w:pPr>
      <w:r>
        <w:rPr>
          <w:lang w:val="en"/>
        </w:rPr>
        <w:t>23</w:t>
      </w:r>
      <w:r w:rsidR="00031893">
        <w:rPr>
          <w:lang w:val="en"/>
        </w:rPr>
        <w:t>/</w:t>
      </w:r>
      <w:r>
        <w:rPr>
          <w:lang w:val="en"/>
        </w:rPr>
        <w:t xml:space="preserve"> Patients with systemic diseases which could render the effects of the study treatments (azathioprine or rituximab) unpredictable and inappropriate.</w:t>
      </w:r>
    </w:p>
    <w:p w:rsidR="00CD39A7" w:rsidRDefault="005B3809" w:rsidP="007B538B">
      <w:pPr>
        <w:pStyle w:val="BodyText"/>
        <w:spacing w:before="9" w:line="480" w:lineRule="auto"/>
        <w:ind w:left="115"/>
        <w:jc w:val="both"/>
      </w:pPr>
      <w:r>
        <w:rPr>
          <w:lang w:val="en"/>
        </w:rPr>
        <w:t>24</w:t>
      </w:r>
      <w:r w:rsidR="00031893">
        <w:rPr>
          <w:lang w:val="en"/>
        </w:rPr>
        <w:t>/</w:t>
      </w:r>
      <w:r>
        <w:rPr>
          <w:lang w:val="en"/>
        </w:rPr>
        <w:t xml:space="preserve"> Severe immunosuppression.</w:t>
      </w:r>
    </w:p>
    <w:p w:rsidR="00CD39A7" w:rsidRDefault="005B3809" w:rsidP="007B538B">
      <w:pPr>
        <w:pStyle w:val="BodyText"/>
        <w:spacing w:line="480" w:lineRule="auto"/>
        <w:ind w:left="115" w:right="119"/>
        <w:jc w:val="both"/>
      </w:pPr>
      <w:r>
        <w:rPr>
          <w:lang w:val="en"/>
        </w:rPr>
        <w:t>25</w:t>
      </w:r>
      <w:r w:rsidR="00031893">
        <w:rPr>
          <w:lang w:val="en"/>
        </w:rPr>
        <w:t>/</w:t>
      </w:r>
      <w:r>
        <w:rPr>
          <w:lang w:val="en"/>
        </w:rPr>
        <w:t xml:space="preserve"> Participation in another clinical research study within the 4 weeks prior to enrollment.</w:t>
      </w:r>
    </w:p>
    <w:p w:rsidR="00CD39A7" w:rsidRDefault="005B3809" w:rsidP="007B538B">
      <w:pPr>
        <w:pStyle w:val="BodyText"/>
        <w:spacing w:before="10" w:line="480" w:lineRule="auto"/>
        <w:ind w:left="115" w:right="114"/>
        <w:jc w:val="both"/>
      </w:pPr>
      <w:r>
        <w:rPr>
          <w:lang w:val="en"/>
        </w:rPr>
        <w:t>26</w:t>
      </w:r>
      <w:r w:rsidR="00031893">
        <w:rPr>
          <w:lang w:val="en"/>
        </w:rPr>
        <w:t>/</w:t>
      </w:r>
      <w:r>
        <w:rPr>
          <w:lang w:val="en"/>
        </w:rPr>
        <w:t xml:space="preserve"> Any medical or psychiatric condition which may prevent the administration of the study treatments and patient follow-up according to the protocol, and/or which, based on the judgment of the study investigator, would expose the patient to an increased risk of adverse effects.</w:t>
      </w:r>
    </w:p>
    <w:p w:rsidR="000464EA" w:rsidRDefault="005B3809" w:rsidP="007B538B">
      <w:pPr>
        <w:pStyle w:val="BodyText"/>
        <w:spacing w:before="10" w:line="480" w:lineRule="auto"/>
        <w:ind w:left="116"/>
        <w:jc w:val="both"/>
        <w:rPr>
          <w:lang w:val="en"/>
        </w:rPr>
      </w:pPr>
      <w:r>
        <w:rPr>
          <w:lang w:val="en"/>
        </w:rPr>
        <w:t>27</w:t>
      </w:r>
      <w:r w:rsidR="00031893">
        <w:rPr>
          <w:lang w:val="en"/>
        </w:rPr>
        <w:t>/</w:t>
      </w:r>
      <w:r>
        <w:rPr>
          <w:lang w:val="en"/>
        </w:rPr>
        <w:t xml:space="preserve"> Non-affiliation to a social security program (beneficiary or rights-holder).</w:t>
      </w:r>
    </w:p>
    <w:p w:rsidR="00CD39A7" w:rsidRPr="003239C1" w:rsidRDefault="005B3809" w:rsidP="007B538B">
      <w:pPr>
        <w:pStyle w:val="Heading1"/>
        <w:numPr>
          <w:ilvl w:val="0"/>
          <w:numId w:val="35"/>
        </w:numPr>
        <w:tabs>
          <w:tab w:val="left" w:pos="397"/>
        </w:tabs>
        <w:spacing w:before="360" w:line="480" w:lineRule="auto"/>
        <w:ind w:hanging="280"/>
      </w:pPr>
      <w:bookmarkStart w:id="79" w:name="_bookmark121"/>
      <w:bookmarkStart w:id="80" w:name="5._FIN_D’ESSAI_ET_ARRETS_PREMATURES_D'ES"/>
      <w:bookmarkEnd w:id="79"/>
      <w:bookmarkEnd w:id="80"/>
      <w:r w:rsidRPr="003239C1">
        <w:rPr>
          <w:lang w:val="en"/>
        </w:rPr>
        <w:t>END OF STUDY AND PREMATURE STUDY WITHDRAWAL</w:t>
      </w:r>
    </w:p>
    <w:p w:rsidR="00CD39A7" w:rsidRDefault="005B3809" w:rsidP="007B538B">
      <w:pPr>
        <w:pStyle w:val="Heading4"/>
        <w:numPr>
          <w:ilvl w:val="1"/>
          <w:numId w:val="35"/>
        </w:numPr>
        <w:tabs>
          <w:tab w:val="left" w:pos="476"/>
        </w:tabs>
        <w:spacing w:after="120" w:line="480" w:lineRule="auto"/>
      </w:pPr>
      <w:bookmarkStart w:id="81" w:name="_bookmark122"/>
      <w:bookmarkStart w:id="82" w:name="5.1_Fin_d’essai"/>
      <w:bookmarkEnd w:id="81"/>
      <w:bookmarkEnd w:id="82"/>
      <w:r>
        <w:rPr>
          <w:lang w:val="en"/>
        </w:rPr>
        <w:t>End of Study</w:t>
      </w:r>
    </w:p>
    <w:p w:rsidR="00CD39A7" w:rsidRDefault="005B3809" w:rsidP="007B538B">
      <w:pPr>
        <w:pStyle w:val="BodyText"/>
        <w:spacing w:line="480" w:lineRule="auto"/>
        <w:ind w:left="115"/>
        <w:jc w:val="both"/>
      </w:pPr>
      <w:r>
        <w:rPr>
          <w:lang w:val="en"/>
        </w:rPr>
        <w:t>The patients will complete the study after 28 months of being followed.</w:t>
      </w:r>
    </w:p>
    <w:p w:rsidR="00CD39A7" w:rsidRDefault="005B3809" w:rsidP="007B538B">
      <w:pPr>
        <w:pStyle w:val="Heading4"/>
        <w:numPr>
          <w:ilvl w:val="1"/>
          <w:numId w:val="35"/>
        </w:numPr>
        <w:tabs>
          <w:tab w:val="left" w:pos="476"/>
        </w:tabs>
        <w:spacing w:before="240" w:after="120" w:line="480" w:lineRule="auto"/>
      </w:pPr>
      <w:bookmarkStart w:id="83" w:name="_bookmark123"/>
      <w:bookmarkStart w:id="84" w:name="5.2_Arrêts_prématurés_d’essai"/>
      <w:bookmarkEnd w:id="83"/>
      <w:bookmarkEnd w:id="84"/>
      <w:r>
        <w:rPr>
          <w:lang w:val="en"/>
        </w:rPr>
        <w:t>Premature Withdrawal From Study</w:t>
      </w:r>
    </w:p>
    <w:p w:rsidR="00CD39A7" w:rsidRDefault="005B3809" w:rsidP="000464EA">
      <w:pPr>
        <w:pStyle w:val="ListParagraph"/>
        <w:numPr>
          <w:ilvl w:val="0"/>
          <w:numId w:val="25"/>
        </w:numPr>
        <w:tabs>
          <w:tab w:val="left" w:pos="836"/>
        </w:tabs>
        <w:spacing w:after="120" w:line="480" w:lineRule="auto"/>
        <w:rPr>
          <w:sz w:val="24"/>
        </w:rPr>
      </w:pPr>
      <w:bookmarkStart w:id="85" w:name="_bookmark124"/>
      <w:bookmarkStart w:id="86" w:name="a)_Motifs_et_description"/>
      <w:bookmarkEnd w:id="85"/>
      <w:bookmarkEnd w:id="86"/>
      <w:r>
        <w:rPr>
          <w:sz w:val="24"/>
          <w:lang w:val="en"/>
        </w:rPr>
        <w:t>Reasons and description</w:t>
      </w:r>
    </w:p>
    <w:p w:rsidR="00CD39A7" w:rsidRDefault="005B3809" w:rsidP="000464EA">
      <w:pPr>
        <w:pStyle w:val="BodyText"/>
        <w:spacing w:after="120" w:line="480" w:lineRule="auto"/>
        <w:ind w:left="115" w:right="114"/>
        <w:jc w:val="both"/>
      </w:pPr>
      <w:r>
        <w:rPr>
          <w:lang w:val="en"/>
        </w:rPr>
        <w:lastRenderedPageBreak/>
        <w:t>Patients may choose to withdraw from the study at any time and for any reason. Withdrawal of a patient from the study may also be initiated by an investigator or the sponsor. All patient withdrawals from the study must be documented, and the investigator must specify the reason for the withdrawal (e.g. patient not compliant with study visits despite reminders, patient is uncooperative, lack of treatment efficacy, etc.)</w:t>
      </w:r>
    </w:p>
    <w:p w:rsidR="00CD39A7" w:rsidRDefault="005B3809" w:rsidP="000464EA">
      <w:pPr>
        <w:pStyle w:val="ListParagraph"/>
        <w:numPr>
          <w:ilvl w:val="0"/>
          <w:numId w:val="25"/>
        </w:numPr>
        <w:tabs>
          <w:tab w:val="left" w:pos="836"/>
        </w:tabs>
        <w:spacing w:before="240" w:line="480" w:lineRule="auto"/>
        <w:rPr>
          <w:sz w:val="24"/>
        </w:rPr>
      </w:pPr>
      <w:bookmarkStart w:id="87" w:name="_bookmark125"/>
      <w:bookmarkStart w:id="88" w:name="b)_Procédures"/>
      <w:bookmarkEnd w:id="87"/>
      <w:bookmarkEnd w:id="88"/>
      <w:r>
        <w:rPr>
          <w:sz w:val="24"/>
          <w:lang w:val="en"/>
        </w:rPr>
        <w:t>Procedures</w:t>
      </w:r>
    </w:p>
    <w:p w:rsidR="00CD39A7" w:rsidRDefault="005B3809" w:rsidP="000464EA">
      <w:pPr>
        <w:pStyle w:val="BodyText"/>
        <w:spacing w:before="120" w:line="480" w:lineRule="auto"/>
        <w:ind w:left="115"/>
      </w:pPr>
      <w:r>
        <w:rPr>
          <w:u w:val="single"/>
          <w:lang w:val="en"/>
        </w:rPr>
        <w:t>Criteria and reasons for early withdrawal or exclusion from</w:t>
      </w:r>
      <w:r w:rsidR="00314A81">
        <w:t xml:space="preserve"> </w:t>
      </w:r>
      <w:r>
        <w:rPr>
          <w:u w:val="single"/>
          <w:lang w:val="en"/>
        </w:rPr>
        <w:t>the study</w:t>
      </w:r>
    </w:p>
    <w:p w:rsidR="00CD39A7" w:rsidRDefault="005B3809" w:rsidP="007B538B">
      <w:pPr>
        <w:pStyle w:val="BodyText"/>
        <w:spacing w:before="90" w:line="480" w:lineRule="auto"/>
        <w:ind w:left="115" w:right="115"/>
        <w:jc w:val="both"/>
      </w:pPr>
      <w:r>
        <w:rPr>
          <w:lang w:val="en"/>
        </w:rPr>
        <w:t>Early withdrawal or exclusion of a patient from the study must be reported. The failure must be recorded and the patient withdrawn from the study based on the following criteria:</w:t>
      </w:r>
    </w:p>
    <w:p w:rsidR="00CD39A7" w:rsidRDefault="005B3809" w:rsidP="007B538B">
      <w:pPr>
        <w:pStyle w:val="ListParagraph"/>
        <w:numPr>
          <w:ilvl w:val="2"/>
          <w:numId w:val="35"/>
        </w:numPr>
        <w:tabs>
          <w:tab w:val="left" w:pos="836"/>
        </w:tabs>
        <w:spacing w:before="12" w:line="480" w:lineRule="auto"/>
        <w:ind w:right="114"/>
        <w:jc w:val="both"/>
        <w:rPr>
          <w:sz w:val="24"/>
        </w:rPr>
      </w:pPr>
      <w:r>
        <w:rPr>
          <w:sz w:val="24"/>
          <w:lang w:val="en"/>
        </w:rPr>
        <w:t>Major relapse: reappearance of the initial clinical signs or appearance of new clinical signs and symptoms representative of active disease. Thus, BVAS will be &gt; 0. Some of these symptoms may be life-threatening or involve a major organ (e.g., kidney, cardiac, pulmonary or cerebral) corresponding to the definition of a major relapse. These relapses will require higher doses of corticosteroids and an immunosuppressant.</w:t>
      </w:r>
    </w:p>
    <w:p w:rsidR="00CD39A7" w:rsidRDefault="005B3809">
      <w:pPr>
        <w:pStyle w:val="BodyText"/>
        <w:spacing w:before="12" w:line="480" w:lineRule="auto"/>
        <w:ind w:left="116" w:right="115" w:firstLine="2"/>
        <w:jc w:val="both"/>
      </w:pPr>
      <w:r>
        <w:rPr>
          <w:lang w:val="en"/>
        </w:rPr>
        <w:t>A relapse will be considered minor of it is not life-threatening and does not involve a major organ. These relapses which are not life-threatening and do not involve major organ damage are to be recorded in the e-CRF, but will not be considered a reason for withdrawal from the study. For these patients, a modest increase in corticosteroid, up to 20 mg/day during 3 weeks, is allowed to control a relapse, with gradual tapering over a maximum of 6 weeks, returning to the dose level used before the minor relapse.</w:t>
      </w:r>
    </w:p>
    <w:p w:rsidR="00CD39A7" w:rsidRDefault="005B3809">
      <w:pPr>
        <w:pStyle w:val="BodyText"/>
        <w:spacing w:before="9" w:line="480" w:lineRule="auto"/>
        <w:ind w:left="116" w:right="113"/>
        <w:jc w:val="both"/>
      </w:pPr>
      <w:r>
        <w:rPr>
          <w:lang w:val="en"/>
        </w:rPr>
        <w:t>If an increased dose of corticosteroids to 20 mg/day is insufficient for these patients, or if another immunosuppressant must be prescribed to control the minor relapse (BVAS unchanged or increased at 4 weeks, or not reduced by at least 50% by the 6th week), they will be considered as treatment failures and/or major relapses, and they will be withdrawn from the study.</w:t>
      </w:r>
    </w:p>
    <w:p w:rsidR="00CD39A7" w:rsidRDefault="005B3809" w:rsidP="00917939">
      <w:pPr>
        <w:pStyle w:val="ListParagraph"/>
        <w:numPr>
          <w:ilvl w:val="2"/>
          <w:numId w:val="35"/>
        </w:numPr>
        <w:tabs>
          <w:tab w:val="left" w:pos="835"/>
          <w:tab w:val="left" w:pos="836"/>
        </w:tabs>
        <w:spacing w:before="11" w:line="480" w:lineRule="auto"/>
        <w:ind w:left="833" w:hanging="357"/>
        <w:rPr>
          <w:sz w:val="24"/>
        </w:rPr>
      </w:pPr>
      <w:r>
        <w:rPr>
          <w:sz w:val="24"/>
          <w:lang w:val="en"/>
        </w:rPr>
        <w:t xml:space="preserve">Any side-effect due to the investigational medication (rituximab) justifying its </w:t>
      </w:r>
      <w:r>
        <w:rPr>
          <w:sz w:val="24"/>
          <w:lang w:val="en"/>
        </w:rPr>
        <w:lastRenderedPageBreak/>
        <w:t>discontinuation</w:t>
      </w:r>
      <w:r w:rsidR="00917939">
        <w:rPr>
          <w:sz w:val="24"/>
          <w:lang w:val="en"/>
        </w:rPr>
        <w:t>.</w:t>
      </w:r>
    </w:p>
    <w:p w:rsidR="00CD39A7" w:rsidRDefault="005B3809" w:rsidP="00917939">
      <w:pPr>
        <w:pStyle w:val="BodyText"/>
        <w:spacing w:before="69" w:line="480" w:lineRule="auto"/>
        <w:ind w:left="116"/>
      </w:pPr>
      <w:r>
        <w:rPr>
          <w:lang w:val="en"/>
        </w:rPr>
        <w:t>If the patient experiences a severe allergic reaction during the first infusion, the administration of the treatment will discontinued permanently.</w:t>
      </w:r>
    </w:p>
    <w:p w:rsidR="00CD39A7" w:rsidRDefault="005B3809" w:rsidP="00917939">
      <w:pPr>
        <w:pStyle w:val="ListParagraph"/>
        <w:numPr>
          <w:ilvl w:val="2"/>
          <w:numId w:val="35"/>
        </w:numPr>
        <w:tabs>
          <w:tab w:val="left" w:pos="835"/>
          <w:tab w:val="left" w:pos="836"/>
        </w:tabs>
        <w:spacing w:before="11" w:line="480" w:lineRule="auto"/>
        <w:rPr>
          <w:sz w:val="24"/>
        </w:rPr>
      </w:pPr>
      <w:r>
        <w:rPr>
          <w:sz w:val="24"/>
          <w:lang w:val="en"/>
        </w:rPr>
        <w:t>Any side-effect due to azathioprine justifying its discontinuation</w:t>
      </w:r>
    </w:p>
    <w:p w:rsidR="00CD39A7" w:rsidRDefault="005B3809" w:rsidP="00917939">
      <w:pPr>
        <w:pStyle w:val="ListParagraph"/>
        <w:numPr>
          <w:ilvl w:val="2"/>
          <w:numId w:val="35"/>
        </w:numPr>
        <w:tabs>
          <w:tab w:val="left" w:pos="835"/>
          <w:tab w:val="left" w:pos="836"/>
        </w:tabs>
        <w:spacing w:line="480" w:lineRule="auto"/>
        <w:rPr>
          <w:sz w:val="24"/>
        </w:rPr>
      </w:pPr>
      <w:r>
        <w:rPr>
          <w:sz w:val="24"/>
          <w:lang w:val="en"/>
        </w:rPr>
        <w:t>Withdrawal of consent</w:t>
      </w:r>
    </w:p>
    <w:p w:rsidR="00CD39A7" w:rsidRDefault="005B3809" w:rsidP="00917939">
      <w:pPr>
        <w:pStyle w:val="ListParagraph"/>
        <w:numPr>
          <w:ilvl w:val="2"/>
          <w:numId w:val="35"/>
        </w:numPr>
        <w:tabs>
          <w:tab w:val="left" w:pos="835"/>
          <w:tab w:val="left" w:pos="836"/>
        </w:tabs>
        <w:spacing w:line="480" w:lineRule="auto"/>
        <w:rPr>
          <w:sz w:val="24"/>
        </w:rPr>
      </w:pPr>
      <w:r>
        <w:rPr>
          <w:sz w:val="24"/>
          <w:lang w:val="en"/>
        </w:rPr>
        <w:t>Patients lost to follow-up (intent-to-treat analysis)</w:t>
      </w:r>
    </w:p>
    <w:p w:rsidR="00CD39A7" w:rsidRDefault="005B3809" w:rsidP="00917939">
      <w:pPr>
        <w:pStyle w:val="ListParagraph"/>
        <w:numPr>
          <w:ilvl w:val="2"/>
          <w:numId w:val="35"/>
        </w:numPr>
        <w:tabs>
          <w:tab w:val="left" w:pos="835"/>
          <w:tab w:val="left" w:pos="836"/>
        </w:tabs>
        <w:spacing w:line="480" w:lineRule="auto"/>
        <w:rPr>
          <w:sz w:val="24"/>
        </w:rPr>
      </w:pPr>
      <w:r>
        <w:rPr>
          <w:sz w:val="24"/>
          <w:lang w:val="en"/>
        </w:rPr>
        <w:t>Investigator’s decision</w:t>
      </w:r>
    </w:p>
    <w:p w:rsidR="00CD39A7" w:rsidRDefault="005B3809" w:rsidP="000464EA">
      <w:pPr>
        <w:pStyle w:val="BodyText"/>
        <w:spacing w:before="360" w:line="480" w:lineRule="auto"/>
        <w:ind w:left="115"/>
      </w:pPr>
      <w:r>
        <w:rPr>
          <w:u w:val="single"/>
          <w:lang w:val="en"/>
        </w:rPr>
        <w:t>Data collection and schedule for these patients</w:t>
      </w:r>
    </w:p>
    <w:p w:rsidR="00CD39A7" w:rsidRDefault="005B3809" w:rsidP="00E375C7">
      <w:pPr>
        <w:pStyle w:val="BodyText"/>
        <w:spacing w:line="480" w:lineRule="auto"/>
        <w:ind w:left="116" w:right="116"/>
        <w:jc w:val="both"/>
      </w:pPr>
      <w:r>
        <w:rPr>
          <w:lang w:val="en"/>
        </w:rPr>
        <w:t>Data obtained from these patients will be recorded regularly on the e-CRF at least every 3</w:t>
      </w:r>
      <w:r w:rsidR="00917939">
        <w:rPr>
          <w:lang w:val="en"/>
        </w:rPr>
        <w:t> </w:t>
      </w:r>
      <w:r>
        <w:rPr>
          <w:lang w:val="en"/>
        </w:rPr>
        <w:t>months, until the M28 visit. The investigators will continuously keep the study coordinators informed of the health status and progress of the patient.</w:t>
      </w:r>
    </w:p>
    <w:p w:rsidR="00CD39A7" w:rsidRDefault="005B3809" w:rsidP="00917939">
      <w:pPr>
        <w:pStyle w:val="BodyText"/>
        <w:spacing w:before="9" w:line="480" w:lineRule="auto"/>
        <w:ind w:left="116" w:right="114"/>
        <w:jc w:val="both"/>
      </w:pPr>
      <w:r>
        <w:rPr>
          <w:lang w:val="en"/>
        </w:rPr>
        <w:t>For subjects who are lost to follow-up, the e-CRF must be completed until the last visit performed. The investigator and collaborators will provide the reason for the patient’s absence at a visit and his/her health status.</w:t>
      </w:r>
    </w:p>
    <w:p w:rsidR="00CD39A7" w:rsidRDefault="005B3809" w:rsidP="000464EA">
      <w:pPr>
        <w:pStyle w:val="BodyText"/>
        <w:spacing w:before="360" w:line="480" w:lineRule="auto"/>
        <w:ind w:left="115"/>
        <w:jc w:val="both"/>
      </w:pPr>
      <w:r>
        <w:rPr>
          <w:u w:val="single"/>
          <w:lang w:val="en"/>
        </w:rPr>
        <w:t>Replacement of patients, if necessary</w:t>
      </w:r>
    </w:p>
    <w:p w:rsidR="00CD39A7" w:rsidRDefault="005B3809" w:rsidP="00E375C7">
      <w:pPr>
        <w:pStyle w:val="BodyText"/>
        <w:spacing w:line="480" w:lineRule="auto"/>
        <w:ind w:left="115"/>
      </w:pPr>
      <w:r>
        <w:rPr>
          <w:lang w:val="en"/>
        </w:rPr>
        <w:t>Patients withdrawn prematurely or excluded from the study will not be replaced. The intent-to-treat analysis will include treatment failures, patients lost to follow-up or with missing data, patients who died, and those who interrupted treatment due to intolerance or side-effects.</w:t>
      </w:r>
    </w:p>
    <w:p w:rsidR="00CD39A7" w:rsidRDefault="005B3809" w:rsidP="000464EA">
      <w:pPr>
        <w:pStyle w:val="BodyText"/>
        <w:spacing w:before="360" w:line="480" w:lineRule="auto"/>
        <w:ind w:left="115"/>
      </w:pPr>
      <w:r>
        <w:rPr>
          <w:u w:val="single"/>
          <w:lang w:val="en"/>
        </w:rPr>
        <w:t>Follow-up procedures for these patients</w:t>
      </w:r>
    </w:p>
    <w:p w:rsidR="000464EA" w:rsidRDefault="005B3809" w:rsidP="00E375C7">
      <w:pPr>
        <w:pStyle w:val="BodyText"/>
        <w:spacing w:after="120" w:line="480" w:lineRule="auto"/>
        <w:ind w:left="115" w:right="114"/>
        <w:jc w:val="both"/>
      </w:pPr>
      <w:r>
        <w:rPr>
          <w:lang w:val="en"/>
        </w:rPr>
        <w:t>After a relapse or premature withdrawal from the study, patients will continue to be followed until the end of the study, at a minimum according to the visit schedule outlined in the protocol, and the investigator will continue to complete the e-CRF until M28. After exiting the study,</w:t>
      </w:r>
      <w:r w:rsidR="00C870E4">
        <w:t xml:space="preserve"> </w:t>
      </w:r>
    </w:p>
    <w:p w:rsidR="00CD39A7" w:rsidRDefault="00C870E4" w:rsidP="00E375C7">
      <w:pPr>
        <w:pStyle w:val="BodyText"/>
        <w:spacing w:after="120" w:line="480" w:lineRule="auto"/>
        <w:ind w:left="115" w:right="114"/>
        <w:jc w:val="both"/>
      </w:pPr>
      <w:r>
        <w:rPr>
          <w:lang w:val="en"/>
        </w:rPr>
        <w:t xml:space="preserve">these patients will continue to be followed regularly according to current recommendations </w:t>
      </w:r>
      <w:r>
        <w:rPr>
          <w:lang w:val="en"/>
        </w:rPr>
        <w:lastRenderedPageBreak/>
        <w:t>[standard of care] in France.</w:t>
      </w:r>
    </w:p>
    <w:p w:rsidR="00CD39A7" w:rsidRDefault="005B3809" w:rsidP="000464EA">
      <w:pPr>
        <w:pStyle w:val="ListParagraph"/>
        <w:numPr>
          <w:ilvl w:val="0"/>
          <w:numId w:val="25"/>
        </w:numPr>
        <w:tabs>
          <w:tab w:val="left" w:pos="836"/>
        </w:tabs>
        <w:spacing w:before="240" w:line="480" w:lineRule="auto"/>
        <w:rPr>
          <w:sz w:val="24"/>
        </w:rPr>
      </w:pPr>
      <w:bookmarkStart w:id="89" w:name="_bookmark126"/>
      <w:bookmarkStart w:id="90" w:name="c)_Conséquence"/>
      <w:bookmarkEnd w:id="89"/>
      <w:bookmarkEnd w:id="90"/>
      <w:r>
        <w:rPr>
          <w:sz w:val="24"/>
          <w:lang w:val="en"/>
        </w:rPr>
        <w:t>Consequences</w:t>
      </w:r>
    </w:p>
    <w:p w:rsidR="00CD39A7" w:rsidRDefault="005B3809" w:rsidP="00E375C7">
      <w:pPr>
        <w:pStyle w:val="BodyText"/>
        <w:spacing w:line="480" w:lineRule="auto"/>
        <w:ind w:left="115" w:right="115"/>
        <w:jc w:val="both"/>
      </w:pPr>
      <w:r>
        <w:rPr>
          <w:lang w:val="en"/>
        </w:rPr>
        <w:t>The patients withdrawn from the study may not be rescreened for the study. Their randomization number must not be reused.</w:t>
      </w:r>
    </w:p>
    <w:p w:rsidR="00CD39A7" w:rsidRDefault="005B3809" w:rsidP="00E375C7">
      <w:pPr>
        <w:pStyle w:val="Heading1"/>
        <w:numPr>
          <w:ilvl w:val="0"/>
          <w:numId w:val="35"/>
        </w:numPr>
        <w:tabs>
          <w:tab w:val="left" w:pos="397"/>
        </w:tabs>
        <w:spacing w:before="360" w:line="480" w:lineRule="auto"/>
        <w:ind w:hanging="280"/>
      </w:pPr>
      <w:bookmarkStart w:id="91" w:name="_bookmark127"/>
      <w:bookmarkStart w:id="92" w:name="6._TRAITEMENTS"/>
      <w:bookmarkEnd w:id="91"/>
      <w:bookmarkEnd w:id="92"/>
      <w:r>
        <w:rPr>
          <w:lang w:val="en"/>
        </w:rPr>
        <w:t>TREATMENTS</w:t>
      </w:r>
    </w:p>
    <w:p w:rsidR="00CD39A7" w:rsidRDefault="005B3809" w:rsidP="000464EA">
      <w:pPr>
        <w:pStyle w:val="Heading4"/>
        <w:spacing w:after="120" w:line="480" w:lineRule="auto"/>
        <w:ind w:left="115" w:firstLine="0"/>
      </w:pPr>
      <w:bookmarkStart w:id="93" w:name="_bookmark128"/>
      <w:bookmarkStart w:id="94" w:name="Traitement_d’induction"/>
      <w:bookmarkEnd w:id="93"/>
      <w:bookmarkEnd w:id="94"/>
      <w:r>
        <w:rPr>
          <w:lang w:val="en"/>
        </w:rPr>
        <w:t>Induction Therapy</w:t>
      </w:r>
    </w:p>
    <w:p w:rsidR="00CD39A7" w:rsidRDefault="005B3809" w:rsidP="00E375C7">
      <w:pPr>
        <w:pStyle w:val="BodyText"/>
        <w:spacing w:line="480" w:lineRule="auto"/>
        <w:ind w:left="116" w:right="114"/>
        <w:jc w:val="both"/>
      </w:pPr>
      <w:r>
        <w:rPr>
          <w:lang w:val="en"/>
        </w:rPr>
        <w:t>According to current recommendations in France, induction therapy includes a combination of corticosteroids and an immunosuppressant, namely bolus doses of cyclophosphamide (oral cyclophosphamide and methotrexate are accepted induction therapies). The clinician is free to define the initial treatment, provided that it does not include monoclonal antibodies such as anti-CD20 or anti-TNFα. Plasma exchanges and/or immunoglobulins administered intravenously may also be used as part of the initial treatment.</w:t>
      </w:r>
    </w:p>
    <w:p w:rsidR="00CD39A7" w:rsidRDefault="005B3809" w:rsidP="00E375C7">
      <w:pPr>
        <w:pStyle w:val="BodyText"/>
        <w:spacing w:before="9" w:line="480" w:lineRule="auto"/>
        <w:ind w:left="116" w:right="118"/>
        <w:jc w:val="both"/>
        <w:rPr>
          <w:lang w:val="en"/>
        </w:rPr>
      </w:pPr>
      <w:r>
        <w:rPr>
          <w:lang w:val="en"/>
        </w:rPr>
        <w:t>Corticosteroid treatment is left to the investigator’s discretion and should be gradually tapered as the disease improves. The tapering schedule outlined in the IMPROVE protocol (EUVAS protocol) (see Appendix V) offers guidelines for reduction in corticosteroid therapy.</w:t>
      </w:r>
    </w:p>
    <w:p w:rsidR="00CD39A7" w:rsidRDefault="005B3809" w:rsidP="000464EA">
      <w:pPr>
        <w:pStyle w:val="Heading4"/>
        <w:spacing w:before="360" w:line="480" w:lineRule="auto"/>
        <w:ind w:left="116" w:firstLine="0"/>
      </w:pPr>
      <w:bookmarkStart w:id="95" w:name="_bookmark129"/>
      <w:bookmarkStart w:id="96" w:name="Critères_de_rémission"/>
      <w:bookmarkEnd w:id="95"/>
      <w:bookmarkEnd w:id="96"/>
      <w:r>
        <w:rPr>
          <w:lang w:val="en"/>
        </w:rPr>
        <w:t>Remission Criteria</w:t>
      </w:r>
    </w:p>
    <w:p w:rsidR="00CD39A7" w:rsidRDefault="005B3809" w:rsidP="00D579E9">
      <w:pPr>
        <w:pStyle w:val="BodyText"/>
        <w:spacing w:before="1" w:line="480" w:lineRule="auto"/>
        <w:ind w:left="116" w:right="115"/>
        <w:jc w:val="both"/>
      </w:pPr>
      <w:r>
        <w:rPr>
          <w:lang w:val="en"/>
        </w:rPr>
        <w:t>Remission will be considered achieved when the BVAS score is 0 [30]. This corresponds to an absence of clinical signs of the disease and laboratory evidence of a least stabilized kidney function. Persistence of ANCA is not an exclusion criterion as remission can be achieved despite the persistence of ANCA.</w:t>
      </w:r>
    </w:p>
    <w:p w:rsidR="00CD39A7" w:rsidRDefault="005B3809" w:rsidP="00D579E9">
      <w:pPr>
        <w:pStyle w:val="Heading4"/>
        <w:numPr>
          <w:ilvl w:val="1"/>
          <w:numId w:val="35"/>
        </w:numPr>
        <w:tabs>
          <w:tab w:val="left" w:pos="486"/>
        </w:tabs>
        <w:spacing w:before="240" w:after="120" w:line="480" w:lineRule="auto"/>
        <w:ind w:left="116" w:right="115" w:firstLine="0"/>
      </w:pPr>
      <w:bookmarkStart w:id="97" w:name="_bookmark130"/>
      <w:bookmarkStart w:id="98" w:name="6.1_Description_des_traitements_nécessai"/>
      <w:bookmarkEnd w:id="97"/>
      <w:bookmarkEnd w:id="98"/>
      <w:r>
        <w:rPr>
          <w:lang w:val="en"/>
        </w:rPr>
        <w:t>Description of the Maintenance Treatments in this Study Traitement d’entretien</w:t>
      </w:r>
    </w:p>
    <w:p w:rsidR="00CD39A7" w:rsidRDefault="005B3809" w:rsidP="00D579E9">
      <w:pPr>
        <w:pStyle w:val="BodyText"/>
        <w:spacing w:before="5" w:line="480" w:lineRule="auto"/>
        <w:ind w:left="115" w:right="117"/>
        <w:jc w:val="both"/>
      </w:pPr>
      <w:r>
        <w:rPr>
          <w:lang w:val="en"/>
        </w:rPr>
        <w:t xml:space="preserve">Once remission is achieved, centralized randomization will be performed to the rituximab and azathioprine treatment arms, stratified by disease characteristic: newly diagnosed or disease </w:t>
      </w:r>
      <w:r>
        <w:rPr>
          <w:lang w:val="en"/>
        </w:rPr>
        <w:lastRenderedPageBreak/>
        <w:t>relapsing (</w:t>
      </w:r>
      <w:r>
        <w:rPr>
          <w:i/>
          <w:iCs/>
          <w:lang w:val="en"/>
        </w:rPr>
        <w:t>a priori</w:t>
      </w:r>
      <w:r>
        <w:rPr>
          <w:lang w:val="en"/>
        </w:rPr>
        <w:t>, 66% of newly diagnosed and 33% relapsers).</w:t>
      </w:r>
    </w:p>
    <w:p w:rsidR="00CD39A7" w:rsidRDefault="005B3809" w:rsidP="000464EA">
      <w:pPr>
        <w:pStyle w:val="Heading4"/>
        <w:spacing w:before="360" w:line="480" w:lineRule="auto"/>
        <w:ind w:left="116" w:firstLine="0"/>
      </w:pPr>
      <w:r>
        <w:rPr>
          <w:lang w:val="en"/>
        </w:rPr>
        <w:t>Study Medication</w:t>
      </w:r>
    </w:p>
    <w:p w:rsidR="00CD39A7" w:rsidRDefault="005B3809" w:rsidP="00D579E9">
      <w:pPr>
        <w:spacing w:line="480" w:lineRule="auto"/>
        <w:ind w:left="115" w:right="119"/>
        <w:jc w:val="both"/>
        <w:rPr>
          <w:sz w:val="24"/>
        </w:rPr>
      </w:pPr>
      <w:r>
        <w:rPr>
          <w:b/>
          <w:bCs/>
          <w:sz w:val="24"/>
          <w:lang w:val="en"/>
        </w:rPr>
        <w:t xml:space="preserve">Rituximab </w:t>
      </w:r>
      <w:r>
        <w:rPr>
          <w:sz w:val="24"/>
          <w:lang w:val="en"/>
        </w:rPr>
        <w:t>will be administered intravenously at a</w:t>
      </w:r>
      <w:r>
        <w:rPr>
          <w:b/>
          <w:bCs/>
          <w:sz w:val="24"/>
          <w:lang w:val="en"/>
        </w:rPr>
        <w:t xml:space="preserve"> </w:t>
      </w:r>
      <w:r w:rsidRPr="006074F4">
        <w:rPr>
          <w:b/>
          <w:bCs/>
          <w:sz w:val="24"/>
          <w:lang w:val="en"/>
        </w:rPr>
        <w:t>fixed dose</w:t>
      </w:r>
      <w:r w:rsidRPr="006074F4">
        <w:rPr>
          <w:b/>
          <w:sz w:val="24"/>
          <w:lang w:val="en"/>
        </w:rPr>
        <w:t xml:space="preserve"> of 500 mg</w:t>
      </w:r>
      <w:r>
        <w:rPr>
          <w:sz w:val="24"/>
          <w:lang w:val="en"/>
        </w:rPr>
        <w:t xml:space="preserve"> in the first month following discontinuation of the immunosuppressive therapy that led to remission.</w:t>
      </w:r>
    </w:p>
    <w:p w:rsidR="00CD39A7" w:rsidRDefault="005B3809" w:rsidP="00D579E9">
      <w:pPr>
        <w:pStyle w:val="BodyText"/>
        <w:spacing w:before="10" w:line="480" w:lineRule="auto"/>
        <w:ind w:left="115" w:right="115"/>
        <w:jc w:val="both"/>
      </w:pPr>
      <w:r>
        <w:rPr>
          <w:lang w:val="en"/>
        </w:rPr>
        <w:t xml:space="preserve">The first infusion will occur 4 days after the enrolment </w:t>
      </w:r>
      <w:r w:rsidR="00AD7C53">
        <w:rPr>
          <w:lang w:val="en"/>
        </w:rPr>
        <w:t>visit, which corresponds to the</w:t>
      </w:r>
      <w:r>
        <w:rPr>
          <w:lang w:val="en"/>
        </w:rPr>
        <w:t xml:space="preserve"> time interval required for delivery of the vial of rituximab to the site pharmacy (72 hours between receipt of the supply request and arrival of the treatment at the site).</w:t>
      </w:r>
    </w:p>
    <w:p w:rsidR="00CD39A7" w:rsidRDefault="005B3809" w:rsidP="00D579E9">
      <w:pPr>
        <w:pStyle w:val="ListParagraph"/>
        <w:numPr>
          <w:ilvl w:val="0"/>
          <w:numId w:val="24"/>
        </w:numPr>
        <w:tabs>
          <w:tab w:val="left" w:pos="1556"/>
        </w:tabs>
        <w:spacing w:before="10" w:line="480" w:lineRule="auto"/>
        <w:ind w:right="113"/>
        <w:jc w:val="both"/>
        <w:rPr>
          <w:sz w:val="24"/>
        </w:rPr>
      </w:pPr>
      <w:r>
        <w:rPr>
          <w:sz w:val="24"/>
          <w:lang w:val="en"/>
        </w:rPr>
        <w:t>Before each infusion, the patients will be treated with premedications consisting of an analgesic/antipyretic drug (paracetamol), a short intravenous infusion of 100 mg methylprednisolone and one 5 mg ampoule dexchlorpheniramine.</w:t>
      </w:r>
    </w:p>
    <w:p w:rsidR="00CD39A7" w:rsidRDefault="005B3809" w:rsidP="00D579E9">
      <w:pPr>
        <w:pStyle w:val="ListParagraph"/>
        <w:numPr>
          <w:ilvl w:val="0"/>
          <w:numId w:val="24"/>
        </w:numPr>
        <w:tabs>
          <w:tab w:val="left" w:pos="1556"/>
        </w:tabs>
        <w:spacing w:before="23" w:line="480" w:lineRule="auto"/>
        <w:ind w:right="114"/>
        <w:jc w:val="both"/>
        <w:rPr>
          <w:sz w:val="24"/>
        </w:rPr>
      </w:pPr>
      <w:r>
        <w:rPr>
          <w:sz w:val="24"/>
          <w:lang w:val="en"/>
        </w:rPr>
        <w:t>Subsequent injections of Rituximab will be administered at the D15, M6, M12 and M18 visits (5 infusions total), regardless of the ANCA titre and the level of circulating CD19+ lymphocytes.</w:t>
      </w:r>
    </w:p>
    <w:p w:rsidR="00CD39A7" w:rsidRDefault="005B3809" w:rsidP="00B25E13">
      <w:pPr>
        <w:pStyle w:val="ListParagraph"/>
        <w:numPr>
          <w:ilvl w:val="0"/>
          <w:numId w:val="24"/>
        </w:numPr>
        <w:tabs>
          <w:tab w:val="left" w:pos="1619"/>
        </w:tabs>
        <w:spacing w:before="23" w:line="468" w:lineRule="auto"/>
        <w:ind w:right="115"/>
        <w:jc w:val="both"/>
        <w:rPr>
          <w:sz w:val="24"/>
        </w:rPr>
      </w:pPr>
      <w:r>
        <w:rPr>
          <w:sz w:val="24"/>
          <w:lang w:val="en"/>
        </w:rPr>
        <w:t>Quantitative immunoglobulin testing and CD19 lymphocyte immunophenotyping will be performed as recommended before each infusion, namely at D15, M6, M12, and M18 visits. ANCA titres will be measured every 3 months for 2 years. These results will be collected for data analysis and interpretation only and not for</w:t>
      </w:r>
      <w:r w:rsidR="00FF1629">
        <w:rPr>
          <w:sz w:val="24"/>
        </w:rPr>
        <w:t xml:space="preserve"> </w:t>
      </w:r>
      <w:r w:rsidR="00FF1629">
        <w:rPr>
          <w:lang w:val="en"/>
        </w:rPr>
        <w:t>adjusting treatment regimens.</w:t>
      </w:r>
    </w:p>
    <w:p w:rsidR="00CD39A7" w:rsidRDefault="005B3809" w:rsidP="00FF1629">
      <w:pPr>
        <w:pStyle w:val="BodyText"/>
        <w:spacing w:before="9" w:line="480" w:lineRule="auto"/>
        <w:ind w:left="115" w:right="117"/>
        <w:jc w:val="both"/>
      </w:pPr>
      <w:r>
        <w:rPr>
          <w:lang w:val="en"/>
        </w:rPr>
        <w:t>Any recommended immunization as detailed in the adult immunization report should be followed prior to rituximab administration. Unless contraindicated, anti-pneumococcal and anti-haemophilus immunizations are recommended before starting rituximab therapy.</w:t>
      </w:r>
    </w:p>
    <w:p w:rsidR="00CD39A7" w:rsidRDefault="005B3809" w:rsidP="00FF1629">
      <w:pPr>
        <w:pStyle w:val="BodyText"/>
        <w:spacing w:line="480" w:lineRule="auto"/>
        <w:ind w:left="115" w:right="115"/>
        <w:jc w:val="both"/>
      </w:pPr>
      <w:r>
        <w:rPr>
          <w:lang w:val="en"/>
        </w:rPr>
        <w:t>Forms will be completed by pharmacy or nursing staff (for the purposes of preparation and monitoring) at the time of the infusion to enable notification of possible side effects and/or serious side effects in the 4 hours following the infusion.</w:t>
      </w:r>
    </w:p>
    <w:p w:rsidR="00CD39A7" w:rsidRDefault="005B3809" w:rsidP="00FF1629">
      <w:pPr>
        <w:pStyle w:val="BodyText"/>
        <w:spacing w:before="9" w:line="480" w:lineRule="auto"/>
        <w:ind w:left="115" w:right="114"/>
        <w:jc w:val="both"/>
      </w:pPr>
      <w:r>
        <w:rPr>
          <w:lang w:val="en"/>
        </w:rPr>
        <w:t xml:space="preserve">Rituximab infusions must be administered in an environment where full resuscitation facilities </w:t>
      </w:r>
      <w:r>
        <w:rPr>
          <w:lang w:val="en"/>
        </w:rPr>
        <w:lastRenderedPageBreak/>
        <w:t>are immediately available.</w:t>
      </w:r>
    </w:p>
    <w:p w:rsidR="00CD39A7" w:rsidRDefault="005B3809" w:rsidP="00FF1629">
      <w:pPr>
        <w:pStyle w:val="BodyText"/>
        <w:spacing w:before="9" w:line="480" w:lineRule="auto"/>
        <w:ind w:left="115" w:right="115"/>
        <w:jc w:val="both"/>
      </w:pPr>
      <w:r>
        <w:rPr>
          <w:lang w:val="en"/>
        </w:rPr>
        <w:t>In the event of an allergic reaction during the infusion, treatments for hypersensitivity reactions (adrenaline, antihistamines and glucocorticosteroids) must be readily available for immediate use.</w:t>
      </w:r>
    </w:p>
    <w:p w:rsidR="00CD39A7" w:rsidRDefault="005B3809" w:rsidP="00FF1629">
      <w:pPr>
        <w:pStyle w:val="BodyText"/>
        <w:spacing w:before="9" w:line="480" w:lineRule="auto"/>
        <w:ind w:left="115" w:right="119"/>
        <w:jc w:val="both"/>
      </w:pPr>
      <w:r>
        <w:rPr>
          <w:lang w:val="en"/>
        </w:rPr>
        <w:t>To avoid any risk of hypotension related to the infusion of MabThera, this antihypertensive treatment must be interrupted 12 hours before rituximab infusion.</w:t>
      </w:r>
    </w:p>
    <w:p w:rsidR="00CD39A7" w:rsidRDefault="005B3809" w:rsidP="00FF1629">
      <w:pPr>
        <w:pStyle w:val="BodyText"/>
        <w:spacing w:before="9" w:line="480" w:lineRule="auto"/>
        <w:ind w:left="115" w:right="117"/>
        <w:jc w:val="both"/>
      </w:pPr>
      <w:r>
        <w:rPr>
          <w:lang w:val="en"/>
        </w:rPr>
        <w:t>Rituximab infusion will be discontinued if signs of severe infusion related reactions to are detected, especially severe dyspnea or bronchospasms.</w:t>
      </w:r>
    </w:p>
    <w:p w:rsidR="00CD39A7" w:rsidRDefault="005B3809" w:rsidP="00FF1629">
      <w:pPr>
        <w:pStyle w:val="BodyText"/>
        <w:spacing w:before="9" w:line="480" w:lineRule="auto"/>
        <w:ind w:left="115"/>
        <w:jc w:val="both"/>
      </w:pPr>
      <w:r>
        <w:rPr>
          <w:lang w:val="en"/>
        </w:rPr>
        <w:t>If the patient develops an initial allergic reaction during the first infusion, the administration of the product will permanently discontinued.</w:t>
      </w:r>
    </w:p>
    <w:p w:rsidR="00CD39A7" w:rsidRDefault="005B3809" w:rsidP="00FF1629">
      <w:pPr>
        <w:pStyle w:val="BodyText"/>
        <w:spacing w:before="1" w:line="480" w:lineRule="auto"/>
        <w:ind w:left="115" w:right="115"/>
        <w:jc w:val="both"/>
      </w:pPr>
      <w:r>
        <w:rPr>
          <w:lang w:val="en"/>
        </w:rPr>
        <w:t>If a patient develops a mild-to-moderate reaction during the first infusion, an antihistamine and corticosteroid treatment will be recommended at the second infusion and patient care will be reinforced with closer monitoring.</w:t>
      </w:r>
    </w:p>
    <w:p w:rsidR="00CD39A7" w:rsidRDefault="005B3809" w:rsidP="006711F3">
      <w:pPr>
        <w:pStyle w:val="Heading4"/>
        <w:spacing w:before="360" w:line="480" w:lineRule="auto"/>
        <w:ind w:left="115" w:firstLine="0"/>
        <w:jc w:val="left"/>
      </w:pPr>
      <w:r>
        <w:rPr>
          <w:u w:val="thick"/>
          <w:lang w:val="en"/>
        </w:rPr>
        <w:t>The Azathioprine Arm</w:t>
      </w:r>
    </w:p>
    <w:p w:rsidR="00CD39A7" w:rsidRDefault="005B3809" w:rsidP="006711F3">
      <w:pPr>
        <w:pStyle w:val="BodyText"/>
        <w:spacing w:before="90" w:line="480" w:lineRule="auto"/>
        <w:ind w:left="115"/>
        <w:jc w:val="both"/>
        <w:rPr>
          <w:b/>
        </w:rPr>
      </w:pPr>
      <w:r>
        <w:rPr>
          <w:b/>
          <w:bCs/>
          <w:lang w:val="en"/>
        </w:rPr>
        <w:t xml:space="preserve">Azathioprine </w:t>
      </w:r>
      <w:r>
        <w:rPr>
          <w:lang w:val="en"/>
        </w:rPr>
        <w:t xml:space="preserve">will be orally administered at a dose of 2 mg/kg/day for 12 months, followed by 1.5 mg/kg/day for 6 months, and finally 1 mg/kg/day for 4 months (with treatment discontinuation after 22 months). The daily dose, based on body weight, will be rounded to the nearest multiple of 25, without exceeding 200 mg/day (for example, a dose of 2 mg/kg/day, a patient weighing 70 kg would take 150 mg/day of azathioprine). Maintenance therapy will be initiated </w:t>
      </w:r>
      <w:r>
        <w:rPr>
          <w:b/>
          <w:bCs/>
          <w:lang w:val="en"/>
        </w:rPr>
        <w:t>in the month following discontinuation of the immunosuppressive therapy that led to the patient’s remission, and no later than 8 days after the patient was included in the study.</w:t>
      </w:r>
    </w:p>
    <w:p w:rsidR="00CD39A7" w:rsidRDefault="005B3809" w:rsidP="006711F3">
      <w:pPr>
        <w:pStyle w:val="Heading4"/>
        <w:numPr>
          <w:ilvl w:val="1"/>
          <w:numId w:val="23"/>
        </w:numPr>
        <w:tabs>
          <w:tab w:val="left" w:pos="476"/>
        </w:tabs>
        <w:spacing w:before="240" w:after="120" w:line="480" w:lineRule="auto"/>
      </w:pPr>
      <w:bookmarkStart w:id="99" w:name="_bookmark131"/>
      <w:bookmarkStart w:id="100" w:name="6.2_Traitements_autorisés_et_interdits"/>
      <w:bookmarkEnd w:id="99"/>
      <w:bookmarkEnd w:id="100"/>
      <w:r>
        <w:rPr>
          <w:lang w:val="en"/>
        </w:rPr>
        <w:t>Concomitant and Prohibited Therapies</w:t>
      </w:r>
    </w:p>
    <w:p w:rsidR="00CD39A7" w:rsidRDefault="005B3809" w:rsidP="006711F3">
      <w:pPr>
        <w:pStyle w:val="BodyText"/>
        <w:spacing w:line="480" w:lineRule="auto"/>
        <w:ind w:left="116" w:right="115"/>
        <w:jc w:val="both"/>
        <w:rPr>
          <w:lang w:val="en"/>
        </w:rPr>
      </w:pPr>
      <w:r>
        <w:rPr>
          <w:lang w:val="en"/>
        </w:rPr>
        <w:t>Any concomitant medication administered during the study must be recorded in the e-CRF.</w:t>
      </w:r>
    </w:p>
    <w:p w:rsidR="005F344B" w:rsidRDefault="005F344B" w:rsidP="006711F3">
      <w:pPr>
        <w:pStyle w:val="BodyText"/>
        <w:spacing w:line="480" w:lineRule="auto"/>
        <w:ind w:left="116" w:right="115"/>
        <w:jc w:val="both"/>
      </w:pPr>
    </w:p>
    <w:p w:rsidR="00CD39A7" w:rsidRDefault="005B3809" w:rsidP="00934177">
      <w:pPr>
        <w:pStyle w:val="Heading4"/>
        <w:spacing w:before="240" w:line="480" w:lineRule="auto"/>
        <w:ind w:left="824" w:firstLine="0"/>
        <w:jc w:val="left"/>
      </w:pPr>
      <w:bookmarkStart w:id="101" w:name="_bookmark132"/>
      <w:bookmarkStart w:id="102" w:name="Traitements_adjuvants_autorisés_:"/>
      <w:bookmarkEnd w:id="101"/>
      <w:bookmarkEnd w:id="102"/>
      <w:r>
        <w:rPr>
          <w:u w:val="thick"/>
          <w:lang w:val="en"/>
        </w:rPr>
        <w:lastRenderedPageBreak/>
        <w:t>Approved Adjuvant Therapies:</w:t>
      </w:r>
    </w:p>
    <w:p w:rsidR="00CD39A7" w:rsidRDefault="005B3809" w:rsidP="006711F3">
      <w:pPr>
        <w:pStyle w:val="ListParagraph"/>
        <w:numPr>
          <w:ilvl w:val="2"/>
          <w:numId w:val="23"/>
        </w:numPr>
        <w:tabs>
          <w:tab w:val="left" w:pos="835"/>
          <w:tab w:val="left" w:pos="836"/>
        </w:tabs>
        <w:spacing w:line="480" w:lineRule="auto"/>
        <w:ind w:right="117" w:firstLine="360"/>
        <w:rPr>
          <w:sz w:val="24"/>
        </w:rPr>
      </w:pPr>
      <w:r>
        <w:rPr>
          <w:b/>
          <w:bCs/>
          <w:sz w:val="24"/>
          <w:lang w:val="en"/>
        </w:rPr>
        <w:t xml:space="preserve">Prescription of trimethoprim/sulfamethoxazole </w:t>
      </w:r>
      <w:r>
        <w:rPr>
          <w:sz w:val="24"/>
          <w:lang w:val="en"/>
        </w:rPr>
        <w:t>(80 mg at 400 mg/day) is required in the two treatment arms if the levels of circulating CD4 T lymphocytes is lower than 250/mm</w:t>
      </w:r>
      <w:r>
        <w:rPr>
          <w:sz w:val="24"/>
          <w:vertAlign w:val="superscript"/>
          <w:lang w:val="en"/>
        </w:rPr>
        <w:t>3</w:t>
      </w:r>
      <w:r>
        <w:rPr>
          <w:sz w:val="24"/>
          <w:lang w:val="en"/>
        </w:rPr>
        <w:t xml:space="preserve"> and the patient is not allergic to trimethoprim/sulfamethoxazole.</w:t>
      </w:r>
    </w:p>
    <w:p w:rsidR="00CD39A7" w:rsidRDefault="005B3809" w:rsidP="006711F3">
      <w:pPr>
        <w:pStyle w:val="BodyText"/>
        <w:spacing w:before="20" w:line="480" w:lineRule="auto"/>
        <w:ind w:left="116" w:right="114"/>
        <w:jc w:val="both"/>
      </w:pPr>
      <w:r>
        <w:rPr>
          <w:lang w:val="en"/>
        </w:rPr>
        <w:t>In the event of persistent lymphopenia, any patient allergic or intolerant to cotrimoxazole (trimethoprim/sulfamethoxazole) will be treated monthly with pentamidine aerosol. After 18 months of maintenance therapy, this treatment will also be prescribed (160 mg/800 mg x 2/day) in WG patients for a period of 2 years, as recommended by current standard of care guidelines.</w:t>
      </w:r>
    </w:p>
    <w:p w:rsidR="00CD39A7" w:rsidRPr="006711F3" w:rsidRDefault="005B3809" w:rsidP="00F13813">
      <w:pPr>
        <w:pStyle w:val="Heading4"/>
        <w:numPr>
          <w:ilvl w:val="2"/>
          <w:numId w:val="23"/>
        </w:numPr>
        <w:tabs>
          <w:tab w:val="left" w:pos="835"/>
          <w:tab w:val="left" w:pos="836"/>
          <w:tab w:val="left" w:pos="1423"/>
          <w:tab w:val="left" w:pos="1843"/>
          <w:tab w:val="left" w:pos="2254"/>
          <w:tab w:val="left" w:pos="3531"/>
          <w:tab w:val="left" w:pos="3953"/>
          <w:tab w:val="left" w:pos="4375"/>
          <w:tab w:val="left" w:pos="5866"/>
          <w:tab w:val="left" w:pos="6341"/>
          <w:tab w:val="left" w:pos="8177"/>
          <w:tab w:val="left" w:pos="8919"/>
        </w:tabs>
        <w:spacing w:before="240" w:line="480" w:lineRule="auto"/>
        <w:ind w:left="836" w:right="114"/>
        <w:jc w:val="left"/>
        <w:rPr>
          <w:b w:val="0"/>
        </w:rPr>
      </w:pPr>
      <w:r>
        <w:rPr>
          <w:lang w:val="en"/>
        </w:rPr>
        <w:t xml:space="preserve">Prescriptions of calcium, vitamin D3, potassium (in accordance with standard </w:t>
      </w:r>
      <w:r w:rsidR="00A74F43">
        <w:rPr>
          <w:lang w:val="en"/>
        </w:rPr>
        <w:br/>
      </w:r>
      <w:r>
        <w:rPr>
          <w:lang w:val="en"/>
        </w:rPr>
        <w:t>of care), and a prescription of biphosphonates</w:t>
      </w:r>
      <w:r w:rsidR="006711F3">
        <w:rPr>
          <w:lang w:val="en"/>
        </w:rPr>
        <w:t xml:space="preserve"> </w:t>
      </w:r>
      <w:r w:rsidRPr="006711F3">
        <w:rPr>
          <w:b w:val="0"/>
          <w:lang w:val="en"/>
        </w:rPr>
        <w:t>(as recommended by the World Medical Association for cortisone-related osteoporosis) will be prescribed to the patients under long-term corticosteroid therapy.</w:t>
      </w:r>
    </w:p>
    <w:p w:rsidR="00CD39A7" w:rsidRDefault="005B3809" w:rsidP="00F13813">
      <w:pPr>
        <w:pStyle w:val="Heading4"/>
        <w:numPr>
          <w:ilvl w:val="2"/>
          <w:numId w:val="23"/>
        </w:numPr>
        <w:tabs>
          <w:tab w:val="left" w:pos="835"/>
          <w:tab w:val="left" w:pos="836"/>
        </w:tabs>
        <w:spacing w:before="240" w:line="480" w:lineRule="auto"/>
        <w:ind w:left="836"/>
        <w:jc w:val="left"/>
      </w:pPr>
      <w:r>
        <w:rPr>
          <w:b w:val="0"/>
          <w:bCs w:val="0"/>
          <w:lang w:val="en"/>
        </w:rPr>
        <w:t>Prophylactic therapy for tuberculosis</w:t>
      </w:r>
    </w:p>
    <w:p w:rsidR="00CD39A7" w:rsidRDefault="005B3809" w:rsidP="006711F3">
      <w:pPr>
        <w:pStyle w:val="BodyText"/>
        <w:spacing w:before="1" w:line="480" w:lineRule="auto"/>
        <w:ind w:left="116" w:right="115"/>
        <w:jc w:val="both"/>
      </w:pPr>
      <w:r>
        <w:rPr>
          <w:lang w:val="en"/>
        </w:rPr>
        <w:t xml:space="preserve">Patients with a history of untreated, spontaneously healed tuberculosis, or who were recently in contact with a tuberculosis patient, may be offered prophylactic tuberculosis therapy following testing performed in accordance with standard recommendations (tuberculin test, thorax radiography) [49]. This will consist of dual therapy: rifampicin (Rifadine® 10 mg/kg/day) + isoniazid (Rimifon® 4 mg/kg/day as a single daily dose for 3 months) or Rifinah® (rifampicin + isoniazid: 2 tablets/day as a single daily dose for 3 months). Where rifampicin is contraindicated or results in toxicity, or for cirrhotic patients, isoniazid alone (Rimifon®) 4 mg/kg/day may be prescribed </w:t>
      </w:r>
      <w:r w:rsidR="00D72855">
        <w:rPr>
          <w:lang w:val="en"/>
        </w:rPr>
        <w:t>as an alternative for 9 months.</w:t>
      </w:r>
      <w:r>
        <w:rPr>
          <w:lang w:val="en"/>
        </w:rPr>
        <w:t xml:space="preserve"> Since Rifampicin reduces their efficacy, the dose of corticosteroids must be increased by 30% for the patients prescribed rifampicin.</w:t>
      </w:r>
    </w:p>
    <w:p w:rsidR="00CD39A7" w:rsidRDefault="005B3809" w:rsidP="00F13813">
      <w:pPr>
        <w:pStyle w:val="Heading4"/>
        <w:numPr>
          <w:ilvl w:val="2"/>
          <w:numId w:val="23"/>
        </w:numPr>
        <w:tabs>
          <w:tab w:val="left" w:pos="835"/>
          <w:tab w:val="left" w:pos="836"/>
        </w:tabs>
        <w:spacing w:before="240" w:line="480" w:lineRule="auto"/>
        <w:ind w:left="836"/>
        <w:jc w:val="left"/>
      </w:pPr>
      <w:r>
        <w:rPr>
          <w:lang w:val="en"/>
        </w:rPr>
        <w:t>Other Adjuvant Therapies</w:t>
      </w:r>
    </w:p>
    <w:p w:rsidR="00CD39A7" w:rsidRDefault="005B3809" w:rsidP="006711F3">
      <w:pPr>
        <w:pStyle w:val="BodyText"/>
        <w:spacing w:before="1" w:line="480" w:lineRule="auto"/>
        <w:ind w:left="116" w:right="116"/>
        <w:jc w:val="both"/>
      </w:pPr>
      <w:r>
        <w:rPr>
          <w:lang w:val="en"/>
        </w:rPr>
        <w:t xml:space="preserve">Treatments commonly used to prevent and, if necessary, correct hypokalemia and other </w:t>
      </w:r>
      <w:r>
        <w:rPr>
          <w:lang w:val="en"/>
        </w:rPr>
        <w:lastRenderedPageBreak/>
        <w:t>metabolic or hormonal disorders induced by corticosteroid therapy, must be prescribed in accordance with standard of care.</w:t>
      </w:r>
    </w:p>
    <w:p w:rsidR="00CD39A7" w:rsidRDefault="005B3809" w:rsidP="00934177">
      <w:pPr>
        <w:pStyle w:val="Heading4"/>
        <w:spacing w:before="240" w:line="480" w:lineRule="auto"/>
        <w:ind w:left="824" w:firstLine="0"/>
        <w:jc w:val="left"/>
      </w:pPr>
      <w:bookmarkStart w:id="103" w:name="_bookmark133"/>
      <w:bookmarkStart w:id="104" w:name="Traitements_interdits"/>
      <w:bookmarkEnd w:id="103"/>
      <w:bookmarkEnd w:id="104"/>
      <w:r>
        <w:rPr>
          <w:u w:val="thick"/>
          <w:lang w:val="en"/>
        </w:rPr>
        <w:t>Prohibited Therapies</w:t>
      </w:r>
    </w:p>
    <w:p w:rsidR="00CD39A7" w:rsidRDefault="005B3809" w:rsidP="006711F3">
      <w:pPr>
        <w:pStyle w:val="BodyText"/>
        <w:spacing w:before="90" w:line="480" w:lineRule="auto"/>
        <w:ind w:left="116" w:right="118"/>
        <w:jc w:val="both"/>
      </w:pPr>
      <w:r>
        <w:rPr>
          <w:lang w:val="en"/>
        </w:rPr>
        <w:t>Allopurinol is contraindicated in combinations with azathioprine and must be discontinued in patients taking azathioprine (enhances hematological toxicity). Patients who must continue to take allopurinol will not be included in the study.</w:t>
      </w:r>
    </w:p>
    <w:p w:rsidR="00CD39A7" w:rsidRDefault="005B3809" w:rsidP="00F13813">
      <w:pPr>
        <w:pStyle w:val="BodyText"/>
        <w:spacing w:before="69" w:line="480" w:lineRule="auto"/>
        <w:ind w:left="116" w:right="114"/>
        <w:jc w:val="both"/>
      </w:pPr>
      <w:r>
        <w:rPr>
          <w:lang w:val="en"/>
        </w:rPr>
        <w:t>All other immunosuppressants and immunomodulators specifically intended to control vasculitis (colchicine, Disulone, Plaquenil, Danatrol, etc.) are prohibited for the duration of the study. If the disease worsens and requires more intensive treatment, the patient will be withdrawn from the study (premature withdrawal) and will receive treatment in accordance with current standard practices for vasculitis.</w:t>
      </w:r>
    </w:p>
    <w:p w:rsidR="00CD39A7" w:rsidRDefault="005B3809" w:rsidP="00F13813">
      <w:pPr>
        <w:pStyle w:val="BodyText"/>
        <w:spacing w:before="9" w:line="480" w:lineRule="auto"/>
        <w:ind w:left="116" w:right="114"/>
        <w:jc w:val="both"/>
      </w:pPr>
      <w:r>
        <w:rPr>
          <w:lang w:val="en"/>
        </w:rPr>
        <w:t>Any attenuated live vaccine or any treatment causing lymphocyte depletion is prohibited for the duration of the study.</w:t>
      </w:r>
    </w:p>
    <w:p w:rsidR="00CD39A7" w:rsidRDefault="005B3809" w:rsidP="00F13813">
      <w:pPr>
        <w:pStyle w:val="Heading4"/>
        <w:numPr>
          <w:ilvl w:val="1"/>
          <w:numId w:val="23"/>
        </w:numPr>
        <w:tabs>
          <w:tab w:val="left" w:pos="476"/>
        </w:tabs>
        <w:spacing w:before="240" w:after="120" w:line="480" w:lineRule="auto"/>
      </w:pPr>
      <w:bookmarkStart w:id="105" w:name="_bookmark134"/>
      <w:bookmarkStart w:id="106" w:name="6.3_Conditionnement_et_étiquetage_du_méd"/>
      <w:bookmarkEnd w:id="105"/>
      <w:bookmarkEnd w:id="106"/>
      <w:r>
        <w:rPr>
          <w:lang w:val="en"/>
        </w:rPr>
        <w:t>Packaging and Labelling of the Investigational Medication</w:t>
      </w:r>
    </w:p>
    <w:p w:rsidR="00CD39A7" w:rsidRDefault="005B3809" w:rsidP="00F13813">
      <w:pPr>
        <w:pStyle w:val="BodyText"/>
        <w:spacing w:before="1" w:line="480" w:lineRule="auto"/>
        <w:ind w:left="116" w:right="114"/>
        <w:jc w:val="both"/>
      </w:pPr>
      <w:r>
        <w:rPr>
          <w:lang w:val="en"/>
        </w:rPr>
        <w:t>The Unité Essais Cliniques (Clinical Study Unit) of the AGEPS will be responsible for supplying rituximab and azathioprine as well as packaging and labeling the treatments in accordance with Section 12 of the current Good Manufacturing Practice guidelines. A removable label, applied on each treatment kit, will be used to track the administration of each treatment.</w:t>
      </w:r>
    </w:p>
    <w:p w:rsidR="00CD39A7" w:rsidRDefault="005B3809" w:rsidP="00F13813">
      <w:pPr>
        <w:pStyle w:val="Heading4"/>
        <w:numPr>
          <w:ilvl w:val="1"/>
          <w:numId w:val="23"/>
        </w:numPr>
        <w:tabs>
          <w:tab w:val="left" w:pos="476"/>
        </w:tabs>
        <w:spacing w:before="240" w:after="120" w:line="480" w:lineRule="auto"/>
      </w:pPr>
      <w:bookmarkStart w:id="107" w:name="_bookmark135"/>
      <w:bookmarkStart w:id="108" w:name="6.4_Conditions_de_stockage_des_médicamen"/>
      <w:bookmarkEnd w:id="107"/>
      <w:bookmarkEnd w:id="108"/>
      <w:r>
        <w:rPr>
          <w:lang w:val="en"/>
        </w:rPr>
        <w:t>Storage Conditions for the Investigational Medication</w:t>
      </w:r>
    </w:p>
    <w:p w:rsidR="00CD39A7" w:rsidRDefault="005B3809" w:rsidP="00F13813">
      <w:pPr>
        <w:pStyle w:val="BodyText"/>
        <w:spacing w:line="480" w:lineRule="auto"/>
        <w:ind w:left="116" w:right="113"/>
        <w:jc w:val="both"/>
      </w:pPr>
      <w:r>
        <w:rPr>
          <w:lang w:val="en"/>
        </w:rPr>
        <w:t>The treatment kits will be stored in their original packaging, away from light, in dedicated areas between 2-8°C for rituximab and at a temperature not exceeding 25°C for azathioprine.</w:t>
      </w:r>
    </w:p>
    <w:p w:rsidR="00CD39A7" w:rsidRDefault="005B3809" w:rsidP="00F13813">
      <w:pPr>
        <w:pStyle w:val="Heading4"/>
        <w:numPr>
          <w:ilvl w:val="1"/>
          <w:numId w:val="23"/>
        </w:numPr>
        <w:tabs>
          <w:tab w:val="left" w:pos="476"/>
        </w:tabs>
        <w:spacing w:before="240" w:after="120" w:line="480" w:lineRule="auto"/>
      </w:pPr>
      <w:bookmarkStart w:id="109" w:name="_bookmark136"/>
      <w:bookmarkStart w:id="110" w:name="6.5_Conditions_de_dispensation_des_médic"/>
      <w:bookmarkEnd w:id="109"/>
      <w:bookmarkEnd w:id="110"/>
      <w:r>
        <w:rPr>
          <w:lang w:val="en"/>
        </w:rPr>
        <w:t>Dispensing Conditions for the Investigational Medication</w:t>
      </w:r>
    </w:p>
    <w:p w:rsidR="00CD39A7" w:rsidRDefault="005B3809" w:rsidP="00F13813">
      <w:pPr>
        <w:pStyle w:val="BodyText"/>
        <w:spacing w:line="480" w:lineRule="auto"/>
        <w:ind w:left="116" w:right="118"/>
        <w:jc w:val="both"/>
      </w:pPr>
      <w:r>
        <w:rPr>
          <w:lang w:val="en"/>
        </w:rPr>
        <w:t>The AGEPS of Paris will be responsible for managing, packaging, and shipping treatments.</w:t>
      </w:r>
    </w:p>
    <w:p w:rsidR="00CD39A7" w:rsidRDefault="005B3809" w:rsidP="00F13813">
      <w:pPr>
        <w:pStyle w:val="Heading4"/>
        <w:numPr>
          <w:ilvl w:val="2"/>
          <w:numId w:val="23"/>
        </w:numPr>
        <w:tabs>
          <w:tab w:val="left" w:pos="835"/>
          <w:tab w:val="left" w:pos="836"/>
        </w:tabs>
        <w:spacing w:before="17" w:line="480" w:lineRule="auto"/>
        <w:ind w:left="836"/>
        <w:jc w:val="left"/>
      </w:pPr>
      <w:r>
        <w:rPr>
          <w:lang w:val="en"/>
        </w:rPr>
        <w:lastRenderedPageBreak/>
        <w:t>Azathioprine</w:t>
      </w:r>
    </w:p>
    <w:p w:rsidR="00CD39A7" w:rsidRDefault="005B3809">
      <w:pPr>
        <w:pStyle w:val="BodyText"/>
        <w:spacing w:before="69" w:line="480" w:lineRule="auto"/>
        <w:ind w:left="115" w:right="116"/>
        <w:jc w:val="both"/>
      </w:pPr>
      <w:r>
        <w:rPr>
          <w:lang w:val="en"/>
        </w:rPr>
        <w:t>Kits will contain a 3 month supply of treatment including supplies for an additional 15 days (visit schedule window).</w:t>
      </w:r>
    </w:p>
    <w:p w:rsidR="00CD39A7" w:rsidRDefault="005B3809">
      <w:pPr>
        <w:pStyle w:val="BodyText"/>
        <w:spacing w:before="9" w:line="480" w:lineRule="auto"/>
        <w:ind w:left="115" w:right="115"/>
        <w:jc w:val="both"/>
      </w:pPr>
      <w:r>
        <w:rPr>
          <w:lang w:val="en"/>
        </w:rPr>
        <w:t>The first 3-month treatment kit for azathioprine will be sent after patient randomization.</w:t>
      </w:r>
    </w:p>
    <w:p w:rsidR="00CD39A7" w:rsidRDefault="005B3809">
      <w:pPr>
        <w:pStyle w:val="BodyText"/>
        <w:spacing w:before="9" w:line="480" w:lineRule="auto"/>
        <w:ind w:left="115" w:right="113"/>
        <w:jc w:val="both"/>
      </w:pPr>
      <w:r>
        <w:rPr>
          <w:lang w:val="en"/>
        </w:rPr>
        <w:t>Azathioprine will be dispensed directly to patients by the site pharmacy (PUI) at each center during the scheduled visits, every 3 months for a period of 22 months.</w:t>
      </w:r>
    </w:p>
    <w:p w:rsidR="00CD39A7" w:rsidRDefault="005B3809">
      <w:pPr>
        <w:pStyle w:val="BodyText"/>
        <w:spacing w:before="9" w:line="480" w:lineRule="auto"/>
        <w:ind w:left="115" w:right="117"/>
        <w:jc w:val="both"/>
      </w:pPr>
      <w:r>
        <w:rPr>
          <w:lang w:val="en"/>
        </w:rPr>
        <w:t>AGEPS will ship the remaining treatment kits to the centers upon receipt of a fax requesting a refill. The e-CRF will be programmed to automatically send the refill request faxes three weeks before the expected dates for visits M3, M6, M9, M12, M15, and M18.</w:t>
      </w:r>
    </w:p>
    <w:p w:rsidR="00CD39A7" w:rsidRDefault="005B3809">
      <w:pPr>
        <w:pStyle w:val="BodyText"/>
        <w:spacing w:before="9" w:line="480" w:lineRule="auto"/>
        <w:ind w:left="115" w:right="113"/>
        <w:jc w:val="both"/>
      </w:pPr>
      <w:r>
        <w:rPr>
          <w:lang w:val="en"/>
        </w:rPr>
        <w:t>Prescriptions specific to the MAINRITSAN study and azathioprine will be provided to the investigators in the e-CRF at the Enrollment visit and M3, M6, M9, M12, M15, M18, and M21 visits.</w:t>
      </w:r>
    </w:p>
    <w:p w:rsidR="00CD39A7" w:rsidRDefault="005B3809">
      <w:pPr>
        <w:pStyle w:val="BodyText"/>
        <w:spacing w:before="9" w:line="480" w:lineRule="auto"/>
        <w:ind w:left="115" w:right="115"/>
        <w:jc w:val="both"/>
        <w:rPr>
          <w:lang w:val="en"/>
        </w:rPr>
      </w:pPr>
      <w:r>
        <w:rPr>
          <w:lang w:val="en"/>
        </w:rPr>
        <w:t>The removable labels found on each treatment kit will be attached to the prescription forms at the time of dispensing.</w:t>
      </w:r>
    </w:p>
    <w:p w:rsidR="00CD39A7" w:rsidRDefault="005B3809" w:rsidP="000F2CCB">
      <w:pPr>
        <w:pStyle w:val="Heading4"/>
        <w:numPr>
          <w:ilvl w:val="2"/>
          <w:numId w:val="23"/>
        </w:numPr>
        <w:tabs>
          <w:tab w:val="left" w:pos="835"/>
          <w:tab w:val="left" w:pos="836"/>
        </w:tabs>
        <w:spacing w:before="240" w:line="480" w:lineRule="auto"/>
        <w:ind w:left="836"/>
        <w:jc w:val="left"/>
      </w:pPr>
      <w:r>
        <w:rPr>
          <w:lang w:val="en"/>
        </w:rPr>
        <w:t>Rituximab</w:t>
      </w:r>
    </w:p>
    <w:p w:rsidR="00CD39A7" w:rsidRDefault="005B3809" w:rsidP="000F2CCB">
      <w:pPr>
        <w:pStyle w:val="BodyText"/>
        <w:spacing w:line="480" w:lineRule="auto"/>
        <w:ind w:left="115" w:right="116"/>
        <w:jc w:val="both"/>
      </w:pPr>
      <w:r>
        <w:rPr>
          <w:lang w:val="en"/>
        </w:rPr>
        <w:t>The first two vials of Rituximab will be sent after patient randomization (for infusion visits D1 and D15).</w:t>
      </w:r>
    </w:p>
    <w:p w:rsidR="00CD39A7" w:rsidRDefault="005B3809" w:rsidP="000F2CCB">
      <w:pPr>
        <w:pStyle w:val="BodyText"/>
        <w:spacing w:before="9" w:line="480" w:lineRule="auto"/>
        <w:ind w:left="115" w:right="117"/>
        <w:jc w:val="both"/>
      </w:pPr>
      <w:r>
        <w:rPr>
          <w:lang w:val="en"/>
        </w:rPr>
        <w:t>Vials corresponding to the remaining treatments will be sent to the centers by the AGEPS upon receipt of a fax requesting a refill. The e-CRF will be programmed to automatically send the refill request faxes three weeks before the expected dates for visits M6, M12, and M18.</w:t>
      </w:r>
    </w:p>
    <w:p w:rsidR="00CD39A7" w:rsidRDefault="005B3809" w:rsidP="000F2CCB">
      <w:pPr>
        <w:pStyle w:val="BodyText"/>
        <w:spacing w:before="69" w:line="480" w:lineRule="auto"/>
        <w:ind w:left="115" w:right="115"/>
        <w:jc w:val="both"/>
      </w:pPr>
      <w:r>
        <w:rPr>
          <w:lang w:val="en"/>
        </w:rPr>
        <w:t>Prescriptions specific to the MAINRITSAN study and rituximab will be provided to the investigators in the e-CRF at the Enrollment visit and D15, M6, M12, and M18 visits.</w:t>
      </w:r>
    </w:p>
    <w:p w:rsidR="00CD39A7" w:rsidRDefault="005B3809" w:rsidP="000F2CCB">
      <w:pPr>
        <w:pStyle w:val="BodyText"/>
        <w:spacing w:before="9" w:line="480" w:lineRule="auto"/>
        <w:ind w:left="116" w:right="117"/>
        <w:jc w:val="both"/>
        <w:rPr>
          <w:lang w:val="en"/>
        </w:rPr>
      </w:pPr>
      <w:r>
        <w:rPr>
          <w:lang w:val="en"/>
        </w:rPr>
        <w:t>The two removable labels found on each vial will be attached to the prescription form and the nursing report [site record], respectively.</w:t>
      </w:r>
    </w:p>
    <w:p w:rsidR="001A5673" w:rsidRDefault="001A5673" w:rsidP="000F2CCB">
      <w:pPr>
        <w:pStyle w:val="BodyText"/>
        <w:spacing w:before="9" w:line="480" w:lineRule="auto"/>
        <w:ind w:left="116" w:right="117"/>
        <w:jc w:val="both"/>
      </w:pPr>
    </w:p>
    <w:p w:rsidR="00CD39A7" w:rsidRDefault="005B3809" w:rsidP="000F2CCB">
      <w:pPr>
        <w:pStyle w:val="Heading4"/>
        <w:numPr>
          <w:ilvl w:val="1"/>
          <w:numId w:val="23"/>
        </w:numPr>
        <w:tabs>
          <w:tab w:val="left" w:pos="476"/>
        </w:tabs>
        <w:spacing w:before="240" w:after="120" w:line="480" w:lineRule="auto"/>
      </w:pPr>
      <w:bookmarkStart w:id="111" w:name="_bookmark137"/>
      <w:bookmarkStart w:id="112" w:name="6.6_Comptabilité_/_Observance/_Devenir_d"/>
      <w:bookmarkEnd w:id="111"/>
      <w:bookmarkEnd w:id="112"/>
      <w:r>
        <w:rPr>
          <w:lang w:val="en"/>
        </w:rPr>
        <w:lastRenderedPageBreak/>
        <w:t>Accountability / Compliance / Disposal of the Products</w:t>
      </w:r>
    </w:p>
    <w:p w:rsidR="00CD39A7" w:rsidRDefault="005B3809" w:rsidP="000F2CCB">
      <w:pPr>
        <w:pStyle w:val="ListParagraph"/>
        <w:numPr>
          <w:ilvl w:val="2"/>
          <w:numId w:val="23"/>
        </w:numPr>
        <w:tabs>
          <w:tab w:val="left" w:pos="836"/>
        </w:tabs>
        <w:spacing w:before="1" w:line="480" w:lineRule="auto"/>
        <w:ind w:left="836" w:right="115"/>
        <w:jc w:val="both"/>
        <w:rPr>
          <w:sz w:val="24"/>
        </w:rPr>
      </w:pPr>
      <w:r>
        <w:rPr>
          <w:sz w:val="24"/>
          <w:lang w:val="en"/>
        </w:rPr>
        <w:t>At each visit, patients will be asked to return their empty, opened, and full boxes and blister packs of azathioprine. These products will be kept at the pharmacy until the clinical research associate assesses the inventory and, in turn, patient compliance.</w:t>
      </w:r>
    </w:p>
    <w:p w:rsidR="00CD39A7" w:rsidRDefault="005B3809" w:rsidP="000F2CCB">
      <w:pPr>
        <w:pStyle w:val="BodyText"/>
        <w:spacing w:before="15" w:line="480" w:lineRule="auto"/>
        <w:ind w:left="116" w:right="115"/>
        <w:jc w:val="both"/>
      </w:pPr>
      <w:r>
        <w:rPr>
          <w:lang w:val="en"/>
        </w:rPr>
        <w:t>Following this accounting by the CRA, returned products will be destroyed at the site pharmacy (PUI) of each investigational center.</w:t>
      </w:r>
    </w:p>
    <w:p w:rsidR="00CD39A7" w:rsidRDefault="005B3809" w:rsidP="000F2CCB">
      <w:pPr>
        <w:pStyle w:val="ListParagraph"/>
        <w:numPr>
          <w:ilvl w:val="2"/>
          <w:numId w:val="23"/>
        </w:numPr>
        <w:tabs>
          <w:tab w:val="left" w:pos="835"/>
          <w:tab w:val="left" w:pos="836"/>
        </w:tabs>
        <w:spacing w:before="11" w:line="480" w:lineRule="auto"/>
        <w:ind w:left="836"/>
        <w:rPr>
          <w:sz w:val="24"/>
        </w:rPr>
      </w:pPr>
      <w:r>
        <w:rPr>
          <w:sz w:val="24"/>
          <w:lang w:val="en"/>
        </w:rPr>
        <w:t>The department will discard all empty or opened vials of rituximab.</w:t>
      </w:r>
    </w:p>
    <w:p w:rsidR="00CD39A7" w:rsidRDefault="005B3809" w:rsidP="000F2CCB">
      <w:pPr>
        <w:pStyle w:val="ListParagraph"/>
        <w:numPr>
          <w:ilvl w:val="2"/>
          <w:numId w:val="23"/>
        </w:numPr>
        <w:tabs>
          <w:tab w:val="left" w:pos="836"/>
        </w:tabs>
        <w:spacing w:before="1" w:line="480" w:lineRule="auto"/>
        <w:ind w:left="836" w:right="116"/>
        <w:jc w:val="both"/>
        <w:rPr>
          <w:sz w:val="24"/>
        </w:rPr>
      </w:pPr>
      <w:r>
        <w:rPr>
          <w:sz w:val="24"/>
          <w:lang w:val="en"/>
        </w:rPr>
        <w:t>Along with the first azathioprine treatment kit or the first rituximab infusion, all patients will receive their first patient diary (for 3 months) to collect the doses of corticosteroids and azathioprine (for the patients randomized into this arm) and to report any side effects or serious side effects occurring between visits.</w:t>
      </w:r>
    </w:p>
    <w:p w:rsidR="00CD39A7" w:rsidRDefault="005B3809" w:rsidP="000F2CCB">
      <w:pPr>
        <w:pStyle w:val="BodyText"/>
        <w:spacing w:before="15" w:line="480" w:lineRule="auto"/>
        <w:ind w:left="116" w:right="115"/>
        <w:jc w:val="both"/>
      </w:pPr>
      <w:r>
        <w:rPr>
          <w:lang w:val="en"/>
        </w:rPr>
        <w:t>The patients will receive a new diary every 3 months. The patients will bring these diaries to each study visit with the investigator in order to record all side effects in the e-CRF.</w:t>
      </w:r>
    </w:p>
    <w:p w:rsidR="00CD39A7" w:rsidRDefault="005B3809" w:rsidP="00BC59E4">
      <w:pPr>
        <w:pStyle w:val="Heading4"/>
        <w:numPr>
          <w:ilvl w:val="1"/>
          <w:numId w:val="23"/>
        </w:numPr>
        <w:tabs>
          <w:tab w:val="left" w:pos="476"/>
        </w:tabs>
        <w:spacing w:before="240" w:after="120" w:line="480" w:lineRule="auto"/>
      </w:pPr>
      <w:bookmarkStart w:id="113" w:name="_bookmark138"/>
      <w:bookmarkStart w:id="114" w:name="6.7_Carte_patient"/>
      <w:bookmarkEnd w:id="113"/>
      <w:bookmarkEnd w:id="114"/>
      <w:r>
        <w:rPr>
          <w:lang w:val="en"/>
        </w:rPr>
        <w:t>Patient Card</w:t>
      </w:r>
    </w:p>
    <w:p w:rsidR="000464EA" w:rsidRDefault="005B3809" w:rsidP="000F2CCB">
      <w:pPr>
        <w:pStyle w:val="BodyText"/>
        <w:spacing w:line="480" w:lineRule="auto"/>
        <w:ind w:left="115" w:right="395"/>
        <w:jc w:val="both"/>
        <w:rPr>
          <w:lang w:val="en"/>
        </w:rPr>
      </w:pPr>
      <w:r>
        <w:rPr>
          <w:lang w:val="en"/>
        </w:rPr>
        <w:t>In accordance with the requirements of the Good Manufacturing Practice dated May 26, 2006, all patients will be issued a patient card with the statement "Please keep this card with you at all times". The card must also specify the name, address and telephone number of the investigational center and the coordinating study center (Pôle Médecine, Hôpital Cochin), the research code, the patient identification code, and the starting date of the treatment.</w:t>
      </w:r>
    </w:p>
    <w:p w:rsidR="000464EA" w:rsidRDefault="000464EA">
      <w:pPr>
        <w:rPr>
          <w:sz w:val="24"/>
          <w:szCs w:val="24"/>
          <w:lang w:val="en"/>
        </w:rPr>
      </w:pPr>
      <w:r>
        <w:rPr>
          <w:lang w:val="en"/>
        </w:rPr>
        <w:br w:type="page"/>
      </w:r>
    </w:p>
    <w:p w:rsidR="00CD39A7" w:rsidRDefault="005B3809" w:rsidP="000F2CCB">
      <w:pPr>
        <w:pStyle w:val="BodyText"/>
        <w:spacing w:before="10" w:line="480" w:lineRule="auto"/>
        <w:ind w:left="115"/>
        <w:jc w:val="both"/>
      </w:pPr>
      <w:r>
        <w:rPr>
          <w:lang w:val="en"/>
        </w:rPr>
        <w:lastRenderedPageBreak/>
        <w:t>Front of card:</w:t>
      </w:r>
    </w:p>
    <w:p w:rsidR="00CD39A7" w:rsidRDefault="001A5673" w:rsidP="000464EA">
      <w:pPr>
        <w:pStyle w:val="BodyText"/>
        <w:spacing w:before="10"/>
        <w:rPr>
          <w:sz w:val="26"/>
        </w:rPr>
      </w:pPr>
      <w:r>
        <w:rPr>
          <w:lang w:val="en"/>
        </w:rPr>
        <w:pict>
          <v:shape id="_x0000_s1055" type="#_x0000_t202" style="position:absolute;margin-left:160.85pt;margin-top:13.65pt;width:369pt;height:261pt;z-index:251638272;mso-wrap-distance-left:0;mso-wrap-distance-right:0;mso-position-horizontal-relative:page" filled="f" strokeweight=".5pt">
            <v:textbox inset="0,0,0,0">
              <w:txbxContent>
                <w:p w:rsidR="003239C1" w:rsidRDefault="003239C1">
                  <w:pPr>
                    <w:spacing w:before="72"/>
                    <w:ind w:left="2"/>
                    <w:jc w:val="center"/>
                    <w:rPr>
                      <w:rFonts w:ascii="Arial"/>
                      <w:b/>
                      <w:sz w:val="18"/>
                    </w:rPr>
                  </w:pPr>
                  <w:r>
                    <w:rPr>
                      <w:rFonts w:ascii="Arial" w:hAnsi="Arial"/>
                      <w:b/>
                      <w:bCs/>
                      <w:sz w:val="18"/>
                      <w:lang w:val="en"/>
                    </w:rPr>
                    <w:t>PATIENT CARD</w:t>
                  </w:r>
                </w:p>
                <w:p w:rsidR="003239C1" w:rsidRDefault="003239C1">
                  <w:pPr>
                    <w:spacing w:before="106"/>
                    <w:ind w:left="1"/>
                    <w:jc w:val="center"/>
                    <w:rPr>
                      <w:rFonts w:ascii="Arial"/>
                      <w:b/>
                      <w:i/>
                      <w:sz w:val="24"/>
                    </w:rPr>
                  </w:pPr>
                  <w:r>
                    <w:rPr>
                      <w:rFonts w:ascii="Arial" w:hAnsi="Arial"/>
                      <w:b/>
                      <w:bCs/>
                      <w:i/>
                      <w:iCs/>
                      <w:sz w:val="24"/>
                      <w:u w:val="thick"/>
                      <w:lang w:val="en"/>
                    </w:rPr>
                    <w:t>Please keep this card with you at all times</w:t>
                  </w:r>
                </w:p>
                <w:p w:rsidR="003239C1" w:rsidRDefault="003239C1">
                  <w:pPr>
                    <w:spacing w:before="132"/>
                    <w:ind w:left="4"/>
                    <w:jc w:val="center"/>
                    <w:rPr>
                      <w:rFonts w:ascii="Arial" w:hAnsi="Arial"/>
                      <w:b/>
                      <w:sz w:val="16"/>
                    </w:rPr>
                  </w:pPr>
                  <w:r>
                    <w:rPr>
                      <w:rFonts w:ascii="Arial" w:hAnsi="Arial"/>
                      <w:b/>
                      <w:bCs/>
                      <w:sz w:val="16"/>
                      <w:lang w:val="en"/>
                    </w:rPr>
                    <w:t>Last name:…………………………………….  First name:…………………………….</w:t>
                  </w:r>
                </w:p>
                <w:p w:rsidR="003239C1" w:rsidRPr="00724B29" w:rsidRDefault="003239C1">
                  <w:pPr>
                    <w:tabs>
                      <w:tab w:val="left" w:pos="2825"/>
                      <w:tab w:val="left" w:pos="4726"/>
                    </w:tabs>
                    <w:spacing w:before="90"/>
                    <w:ind w:left="3"/>
                    <w:jc w:val="center"/>
                    <w:rPr>
                      <w:i/>
                      <w:sz w:val="20"/>
                    </w:rPr>
                  </w:pPr>
                  <w:bookmarkStart w:id="115" w:name="Code_d’identification_patient_:_|__|__|_"/>
                  <w:bookmarkEnd w:id="115"/>
                  <w:r w:rsidRPr="00724B29">
                    <w:rPr>
                      <w:b/>
                      <w:bCs/>
                      <w:i/>
                      <w:iCs/>
                      <w:lang w:val="en"/>
                    </w:rPr>
                    <w:t xml:space="preserve">Patient identification code: </w:t>
                  </w:r>
                  <w:r w:rsidRPr="00724B29">
                    <w:rPr>
                      <w:i/>
                      <w:iCs/>
                      <w:lang w:val="en"/>
                    </w:rPr>
                    <w:t>|</w:t>
                  </w:r>
                  <w:r w:rsidRPr="00724B29">
                    <w:rPr>
                      <w:i/>
                      <w:iCs/>
                      <w:u w:val="single"/>
                      <w:lang w:val="en"/>
                    </w:rPr>
                    <w:t xml:space="preserve">   </w:t>
                  </w:r>
                  <w:r w:rsidRPr="00724B29">
                    <w:rPr>
                      <w:i/>
                      <w:iCs/>
                      <w:lang w:val="en"/>
                    </w:rPr>
                    <w:t>|</w:t>
                  </w:r>
                  <w:r w:rsidRPr="00724B29">
                    <w:rPr>
                      <w:i/>
                      <w:iCs/>
                      <w:u w:val="single"/>
                      <w:lang w:val="en"/>
                    </w:rPr>
                    <w:t xml:space="preserve">   </w:t>
                  </w:r>
                  <w:r w:rsidRPr="00724B29">
                    <w:rPr>
                      <w:i/>
                      <w:iCs/>
                      <w:lang w:val="en"/>
                    </w:rPr>
                    <w:t>|</w:t>
                  </w:r>
                  <w:r>
                    <w:rPr>
                      <w:i/>
                      <w:iCs/>
                      <w:u w:val="single"/>
                      <w:lang w:val="en"/>
                    </w:rPr>
                    <w:t xml:space="preserve">  </w:t>
                  </w:r>
                  <w:r w:rsidRPr="00724B29">
                    <w:rPr>
                      <w:i/>
                      <w:iCs/>
                      <w:u w:val="single"/>
                      <w:lang w:val="en"/>
                    </w:rPr>
                    <w:t xml:space="preserve"> </w:t>
                  </w:r>
                  <w:r w:rsidRPr="00724B29">
                    <w:rPr>
                      <w:i/>
                      <w:iCs/>
                      <w:lang w:val="en"/>
                    </w:rPr>
                    <w:t>| / |</w:t>
                  </w:r>
                  <w:r>
                    <w:rPr>
                      <w:i/>
                      <w:iCs/>
                      <w:u w:val="single"/>
                      <w:lang w:val="en"/>
                    </w:rPr>
                    <w:t xml:space="preserve"> </w:t>
                  </w:r>
                  <w:r w:rsidRPr="00724B29">
                    <w:rPr>
                      <w:i/>
                      <w:iCs/>
                      <w:u w:val="single"/>
                      <w:lang w:val="en"/>
                    </w:rPr>
                    <w:t xml:space="preserve">  </w:t>
                  </w:r>
                  <w:r w:rsidRPr="00724B29">
                    <w:rPr>
                      <w:i/>
                      <w:iCs/>
                      <w:lang w:val="en"/>
                    </w:rPr>
                    <w:t>|</w:t>
                  </w:r>
                  <w:r>
                    <w:rPr>
                      <w:i/>
                      <w:iCs/>
                      <w:u w:val="single"/>
                      <w:lang w:val="en"/>
                    </w:rPr>
                    <w:t xml:space="preserve"> </w:t>
                  </w:r>
                  <w:r w:rsidRPr="00724B29">
                    <w:rPr>
                      <w:i/>
                      <w:iCs/>
                      <w:u w:val="single"/>
                      <w:lang w:val="en"/>
                    </w:rPr>
                    <w:t xml:space="preserve">  </w:t>
                  </w:r>
                  <w:r w:rsidRPr="00724B29">
                    <w:rPr>
                      <w:i/>
                      <w:iCs/>
                      <w:lang w:val="en"/>
                    </w:rPr>
                    <w:t>|</w:t>
                  </w:r>
                  <w:r>
                    <w:rPr>
                      <w:i/>
                      <w:iCs/>
                      <w:u w:val="single"/>
                      <w:lang w:val="en"/>
                    </w:rPr>
                    <w:t xml:space="preserve"> </w:t>
                  </w:r>
                  <w:r w:rsidRPr="00724B29">
                    <w:rPr>
                      <w:i/>
                      <w:iCs/>
                      <w:u w:val="single"/>
                      <w:lang w:val="en"/>
                    </w:rPr>
                    <w:t xml:space="preserve">  </w:t>
                  </w:r>
                  <w:r w:rsidRPr="00724B29">
                    <w:rPr>
                      <w:i/>
                      <w:iCs/>
                      <w:lang w:val="en"/>
                    </w:rPr>
                    <w:t>| /</w:t>
                  </w:r>
                  <w:r>
                    <w:rPr>
                      <w:i/>
                      <w:iCs/>
                      <w:lang w:val="en"/>
                    </w:rPr>
                    <w:t xml:space="preserve"> </w:t>
                  </w:r>
                  <w:r w:rsidRPr="00724B29">
                    <w:rPr>
                      <w:i/>
                      <w:iCs/>
                      <w:lang w:val="en"/>
                    </w:rPr>
                    <w:t>|</w:t>
                  </w:r>
                  <w:r w:rsidRPr="00724B29">
                    <w:rPr>
                      <w:i/>
                      <w:iCs/>
                      <w:u w:val="single"/>
                      <w:lang w:val="en"/>
                    </w:rPr>
                    <w:t xml:space="preserve">   </w:t>
                  </w:r>
                  <w:r w:rsidRPr="00724B29">
                    <w:rPr>
                      <w:i/>
                      <w:iCs/>
                      <w:lang w:val="en"/>
                    </w:rPr>
                    <w:t>|</w:t>
                  </w:r>
                  <w:r w:rsidRPr="00724B29">
                    <w:rPr>
                      <w:i/>
                      <w:iCs/>
                      <w:u w:val="single"/>
                      <w:lang w:val="en"/>
                    </w:rPr>
                    <w:t xml:space="preserve">   </w:t>
                  </w:r>
                  <w:r w:rsidRPr="00724B29">
                    <w:rPr>
                      <w:i/>
                      <w:iCs/>
                      <w:lang w:val="en"/>
                    </w:rPr>
                    <w:t>|</w:t>
                  </w:r>
                </w:p>
                <w:p w:rsidR="003239C1" w:rsidRDefault="003239C1" w:rsidP="00724B29">
                  <w:pPr>
                    <w:spacing w:before="3"/>
                    <w:ind w:left="3686"/>
                    <w:rPr>
                      <w:rFonts w:ascii="Arial Narrow" w:hAnsi="Arial Narrow"/>
                      <w:sz w:val="16"/>
                    </w:rPr>
                  </w:pPr>
                  <w:r>
                    <w:rPr>
                      <w:rFonts w:ascii="Arial Narrow" w:hAnsi="Arial Narrow"/>
                      <w:sz w:val="16"/>
                      <w:lang w:val="en"/>
                    </w:rPr>
                    <w:t>Center No. / Randomization No. / Initials (N-P)</w:t>
                  </w:r>
                </w:p>
                <w:p w:rsidR="003239C1" w:rsidRDefault="003239C1" w:rsidP="00724B29">
                  <w:pPr>
                    <w:spacing w:before="91"/>
                    <w:ind w:left="142" w:right="322" w:hanging="1"/>
                    <w:jc w:val="center"/>
                    <w:rPr>
                      <w:b/>
                      <w:sz w:val="18"/>
                    </w:rPr>
                  </w:pPr>
                  <w:r>
                    <w:rPr>
                      <w:b/>
                      <w:bCs/>
                      <w:sz w:val="18"/>
                      <w:lang w:val="en"/>
                    </w:rPr>
                    <w:t>I am participating in the MAINRITSAN study</w:t>
                  </w:r>
                  <w:r>
                    <w:rPr>
                      <w:b/>
                      <w:bCs/>
                      <w:i/>
                      <w:iCs/>
                      <w:sz w:val="18"/>
                      <w:lang w:val="en"/>
                    </w:rPr>
                    <w:t xml:space="preserve">: </w:t>
                  </w:r>
                  <w:r>
                    <w:rPr>
                      <w:sz w:val="18"/>
                      <w:lang w:val="en"/>
                    </w:rPr>
                    <w:t xml:space="preserve">A study comparing the efficacy of rituximab and azathioprine as maintenance therapy for ANCA-associated vasculitis: a prospective, multi-center, controlled, randomized study </w:t>
                  </w:r>
                  <w:r>
                    <w:rPr>
                      <w:b/>
                      <w:bCs/>
                      <w:sz w:val="18"/>
                      <w:lang w:val="en"/>
                    </w:rPr>
                    <w:t>sponsored by the AP-HP [Public Hospitals of Paris]</w:t>
                  </w:r>
                </w:p>
                <w:p w:rsidR="003239C1" w:rsidRDefault="003239C1">
                  <w:pPr>
                    <w:pStyle w:val="BodyText"/>
                    <w:spacing w:before="10"/>
                    <w:rPr>
                      <w:sz w:val="25"/>
                    </w:rPr>
                  </w:pPr>
                </w:p>
                <w:p w:rsidR="003239C1" w:rsidRPr="00724B29" w:rsidRDefault="003239C1">
                  <w:pPr>
                    <w:spacing w:before="1"/>
                    <w:jc w:val="center"/>
                    <w:rPr>
                      <w:rFonts w:asciiTheme="minorBidi" w:hAnsiTheme="minorBidi" w:cstheme="minorBidi"/>
                      <w:sz w:val="18"/>
                    </w:rPr>
                  </w:pPr>
                  <w:r w:rsidRPr="00724B29">
                    <w:rPr>
                      <w:rFonts w:asciiTheme="minorBidi" w:hAnsiTheme="minorBidi" w:cstheme="minorBidi"/>
                      <w:sz w:val="18"/>
                      <w:lang w:val="en"/>
                    </w:rPr>
                    <w:t>I am currently receiving the following treatment:</w:t>
                  </w:r>
                </w:p>
                <w:p w:rsidR="003239C1" w:rsidRPr="00724B29" w:rsidRDefault="003239C1" w:rsidP="00724B29">
                  <w:pPr>
                    <w:tabs>
                      <w:tab w:val="left" w:pos="2984"/>
                      <w:tab w:val="left" w:pos="3533"/>
                      <w:tab w:val="left" w:pos="4585"/>
                    </w:tabs>
                    <w:spacing w:before="101" w:line="360" w:lineRule="auto"/>
                    <w:ind w:left="150" w:right="222"/>
                    <w:rPr>
                      <w:rFonts w:asciiTheme="minorBidi" w:hAnsiTheme="minorBidi" w:cstheme="minorBidi"/>
                      <w:sz w:val="18"/>
                    </w:rPr>
                  </w:pPr>
                  <w:r w:rsidRPr="00724B29">
                    <w:rPr>
                      <w:rFonts w:asciiTheme="minorBidi" w:hAnsiTheme="minorBidi" w:cstheme="minorBidi"/>
                      <w:lang w:val="en"/>
                    </w:rPr>
                    <w:sym w:font="Wingdings" w:char="F071"/>
                  </w:r>
                  <w:r w:rsidRPr="00724B29">
                    <w:rPr>
                      <w:rFonts w:asciiTheme="minorBidi" w:hAnsiTheme="minorBidi" w:cstheme="minorBidi"/>
                      <w:lang w:val="en"/>
                    </w:rPr>
                    <w:t xml:space="preserve"> </w:t>
                  </w:r>
                  <w:r w:rsidRPr="00724B29">
                    <w:rPr>
                      <w:rFonts w:asciiTheme="minorBidi" w:hAnsiTheme="minorBidi" w:cstheme="minorBidi"/>
                      <w:sz w:val="18"/>
                      <w:lang w:val="en"/>
                    </w:rPr>
                    <w:t>Azathioprine administered orally at a dose of 2 mg/kg/day for 12 months, then 1.5 mg/kg/day for 6 months, and finally 1 mg/kg/day for 4 months (with treatment discontinuation after 22 months). Start date of treatment:</w:t>
                  </w:r>
                  <w:r w:rsidRPr="00724B29">
                    <w:rPr>
                      <w:rFonts w:asciiTheme="minorBidi" w:hAnsiTheme="minorBidi" w:cstheme="minorBidi"/>
                      <w:lang w:val="en"/>
                    </w:rPr>
                    <w:t xml:space="preserve"> ___/___/______</w:t>
                  </w:r>
                </w:p>
                <w:p w:rsidR="003239C1" w:rsidRPr="00724B29" w:rsidRDefault="003239C1">
                  <w:pPr>
                    <w:spacing w:before="139" w:line="362" w:lineRule="auto"/>
                    <w:ind w:left="150" w:right="178"/>
                    <w:rPr>
                      <w:rFonts w:asciiTheme="minorBidi" w:hAnsiTheme="minorBidi" w:cstheme="minorBidi"/>
                      <w:sz w:val="18"/>
                    </w:rPr>
                  </w:pPr>
                  <w:r w:rsidRPr="00724B29">
                    <w:rPr>
                      <w:rFonts w:asciiTheme="minorBidi" w:hAnsiTheme="minorBidi" w:cstheme="minorBidi"/>
                      <w:lang w:val="en"/>
                    </w:rPr>
                    <w:sym w:font="Wingdings" w:char="F071"/>
                  </w:r>
                  <w:r w:rsidRPr="00724B29">
                    <w:rPr>
                      <w:rFonts w:asciiTheme="minorBidi" w:hAnsiTheme="minorBidi" w:cstheme="minorBidi"/>
                      <w:lang w:val="en"/>
                    </w:rPr>
                    <w:t xml:space="preserve"> </w:t>
                  </w:r>
                  <w:r w:rsidRPr="00724B29">
                    <w:rPr>
                      <w:rFonts w:asciiTheme="minorBidi" w:hAnsiTheme="minorBidi" w:cstheme="minorBidi"/>
                      <w:sz w:val="18"/>
                      <w:lang w:val="en"/>
                    </w:rPr>
                    <w:t>Rituximab administered intravenously at a fixed dose of 500 mg. One injection at D1, D15, M6, M12 and M18.</w:t>
                  </w:r>
                </w:p>
                <w:p w:rsidR="003239C1" w:rsidRPr="00724B29" w:rsidRDefault="003239C1" w:rsidP="00724B29">
                  <w:pPr>
                    <w:tabs>
                      <w:tab w:val="left" w:pos="3044"/>
                      <w:tab w:val="left" w:pos="3594"/>
                      <w:tab w:val="left" w:pos="4645"/>
                    </w:tabs>
                    <w:ind w:left="150"/>
                    <w:rPr>
                      <w:rFonts w:asciiTheme="minorBidi" w:hAnsiTheme="minorBidi" w:cstheme="minorBidi"/>
                      <w:sz w:val="18"/>
                    </w:rPr>
                  </w:pPr>
                  <w:r w:rsidRPr="00724B29">
                    <w:rPr>
                      <w:rFonts w:asciiTheme="minorBidi" w:hAnsiTheme="minorBidi" w:cstheme="minorBidi"/>
                      <w:sz w:val="18"/>
                      <w:lang w:val="en"/>
                    </w:rPr>
                    <w:t>Date of the first injection: _</w:t>
                  </w:r>
                  <w:r>
                    <w:rPr>
                      <w:rFonts w:asciiTheme="minorBidi" w:hAnsiTheme="minorBidi" w:cstheme="minorBidi"/>
                      <w:sz w:val="18"/>
                      <w:lang w:val="en"/>
                    </w:rPr>
                    <w:t>_</w:t>
                  </w:r>
                  <w:r w:rsidRPr="00724B29">
                    <w:rPr>
                      <w:rFonts w:asciiTheme="minorBidi" w:hAnsiTheme="minorBidi" w:cstheme="minorBidi"/>
                      <w:sz w:val="18"/>
                      <w:lang w:val="en"/>
                    </w:rPr>
                    <w:t>_/</w:t>
                  </w:r>
                  <w:r>
                    <w:rPr>
                      <w:rFonts w:asciiTheme="minorBidi" w:hAnsiTheme="minorBidi" w:cstheme="minorBidi"/>
                      <w:sz w:val="18"/>
                      <w:lang w:val="en"/>
                    </w:rPr>
                    <w:t>___</w:t>
                  </w:r>
                  <w:r w:rsidRPr="00724B29">
                    <w:rPr>
                      <w:rFonts w:asciiTheme="minorBidi" w:hAnsiTheme="minorBidi" w:cstheme="minorBidi"/>
                      <w:sz w:val="18"/>
                      <w:lang w:val="en"/>
                    </w:rPr>
                    <w:t>/</w:t>
                  </w:r>
                  <w:r>
                    <w:rPr>
                      <w:rFonts w:asciiTheme="minorBidi" w:hAnsiTheme="minorBidi" w:cstheme="minorBidi"/>
                      <w:sz w:val="18"/>
                      <w:u w:val="single"/>
                      <w:lang w:val="en"/>
                    </w:rPr>
                    <w:t>______</w:t>
                  </w:r>
                </w:p>
              </w:txbxContent>
            </v:textbox>
            <w10:wrap type="topAndBottom" anchorx="page"/>
          </v:shape>
        </w:pict>
      </w:r>
    </w:p>
    <w:p w:rsidR="000464EA" w:rsidRDefault="000464EA" w:rsidP="000464EA">
      <w:pPr>
        <w:pStyle w:val="BodyText"/>
        <w:spacing w:before="10"/>
        <w:rPr>
          <w:sz w:val="26"/>
        </w:rPr>
      </w:pPr>
    </w:p>
    <w:p w:rsidR="000464EA" w:rsidRDefault="000464EA" w:rsidP="000464EA">
      <w:pPr>
        <w:pStyle w:val="BodyText"/>
        <w:spacing w:before="10"/>
        <w:rPr>
          <w:sz w:val="26"/>
        </w:rPr>
      </w:pPr>
    </w:p>
    <w:p w:rsidR="00CD39A7" w:rsidRDefault="00CD39A7">
      <w:pPr>
        <w:pStyle w:val="BodyText"/>
        <w:spacing w:before="5"/>
        <w:rPr>
          <w:sz w:val="23"/>
        </w:rPr>
      </w:pPr>
    </w:p>
    <w:p w:rsidR="00CD39A7" w:rsidRDefault="001A5673">
      <w:pPr>
        <w:pStyle w:val="BodyText"/>
        <w:ind w:left="115"/>
        <w:jc w:val="both"/>
      </w:pPr>
      <w:r>
        <w:rPr>
          <w:lang w:val="en"/>
        </w:rPr>
        <w:pict>
          <v:shape id="_x0000_s1054" type="#_x0000_t202" style="position:absolute;left:0;text-align:left;margin-left:169.85pt;margin-top:-10.25pt;width:369pt;height:153pt;z-index:251639296;mso-position-horizontal-relative:page" filled="f" strokeweight=".5pt">
            <v:textbox inset="0,0,0,0">
              <w:txbxContent>
                <w:p w:rsidR="003239C1" w:rsidRDefault="003239C1">
                  <w:pPr>
                    <w:spacing w:before="72"/>
                    <w:ind w:left="2"/>
                    <w:jc w:val="center"/>
                    <w:rPr>
                      <w:rFonts w:ascii="Arial"/>
                      <w:b/>
                      <w:sz w:val="18"/>
                    </w:rPr>
                  </w:pPr>
                  <w:r>
                    <w:rPr>
                      <w:rFonts w:ascii="Arial" w:hAnsi="Arial"/>
                      <w:b/>
                      <w:bCs/>
                      <w:sz w:val="18"/>
                      <w:lang w:val="en"/>
                    </w:rPr>
                    <w:t>PATIENT CARD</w:t>
                  </w:r>
                </w:p>
                <w:p w:rsidR="003239C1" w:rsidRDefault="003239C1">
                  <w:pPr>
                    <w:pStyle w:val="BodyText"/>
                    <w:rPr>
                      <w:sz w:val="20"/>
                    </w:rPr>
                  </w:pPr>
                </w:p>
                <w:p w:rsidR="003239C1" w:rsidRDefault="003239C1">
                  <w:pPr>
                    <w:pStyle w:val="BodyText"/>
                    <w:spacing w:before="1"/>
                    <w:rPr>
                      <w:sz w:val="16"/>
                    </w:rPr>
                  </w:pPr>
                </w:p>
                <w:p w:rsidR="003239C1" w:rsidRDefault="003239C1">
                  <w:pPr>
                    <w:ind w:left="1"/>
                    <w:jc w:val="center"/>
                    <w:rPr>
                      <w:rFonts w:ascii="Arial"/>
                      <w:b/>
                      <w:i/>
                      <w:sz w:val="24"/>
                    </w:rPr>
                  </w:pPr>
                  <w:r>
                    <w:rPr>
                      <w:rFonts w:ascii="Arial" w:hAnsi="Arial"/>
                      <w:b/>
                      <w:bCs/>
                      <w:i/>
                      <w:iCs/>
                      <w:sz w:val="24"/>
                      <w:u w:val="thick"/>
                      <w:lang w:val="en"/>
                    </w:rPr>
                    <w:t>Please keep this card with you at all times</w:t>
                  </w:r>
                </w:p>
                <w:p w:rsidR="003239C1" w:rsidRDefault="003239C1">
                  <w:pPr>
                    <w:pStyle w:val="BodyText"/>
                    <w:rPr>
                      <w:sz w:val="26"/>
                    </w:rPr>
                  </w:pPr>
                </w:p>
                <w:p w:rsidR="003239C1" w:rsidRDefault="003239C1">
                  <w:pPr>
                    <w:pStyle w:val="BodyText"/>
                    <w:rPr>
                      <w:sz w:val="26"/>
                    </w:rPr>
                  </w:pPr>
                </w:p>
                <w:p w:rsidR="003239C1" w:rsidRDefault="003239C1">
                  <w:pPr>
                    <w:spacing w:before="185" w:line="360" w:lineRule="auto"/>
                    <w:ind w:left="1280" w:right="1279"/>
                    <w:jc w:val="center"/>
                    <w:rPr>
                      <w:rFonts w:ascii="Arial" w:hAnsi="Arial"/>
                      <w:sz w:val="18"/>
                    </w:rPr>
                  </w:pPr>
                  <w:r>
                    <w:rPr>
                      <w:rFonts w:ascii="Arial" w:hAnsi="Arial"/>
                      <w:sz w:val="18"/>
                      <w:lang w:val="en"/>
                    </w:rPr>
                    <w:t xml:space="preserve">I am monitored by Dr………………………………………… </w:t>
                  </w:r>
                  <w:r>
                    <w:rPr>
                      <w:rFonts w:ascii="Arial" w:hAnsi="Arial"/>
                      <w:sz w:val="18"/>
                      <w:lang w:val="en"/>
                    </w:rPr>
                    <w:br/>
                    <w:t>at ………………………………………….…………..hospital</w:t>
                  </w:r>
                </w:p>
                <w:p w:rsidR="003239C1" w:rsidRDefault="003239C1">
                  <w:pPr>
                    <w:spacing w:before="5"/>
                    <w:ind w:left="2"/>
                    <w:jc w:val="center"/>
                    <w:rPr>
                      <w:rFonts w:ascii="Arial" w:hAnsi="Arial"/>
                      <w:sz w:val="18"/>
                    </w:rPr>
                  </w:pPr>
                  <w:r>
                    <w:rPr>
                      <w:rFonts w:ascii="Wingdings" w:hAnsi="Wingdings"/>
                      <w:sz w:val="24"/>
                    </w:rPr>
                    <w:t></w:t>
                  </w:r>
                  <w:r>
                    <w:rPr>
                      <w:lang w:val="en"/>
                    </w:rPr>
                    <w:t>………………………………………………………………...</w:t>
                  </w:r>
                </w:p>
              </w:txbxContent>
            </v:textbox>
            <w10:wrap anchorx="page"/>
          </v:shape>
        </w:pict>
      </w:r>
      <w:r w:rsidR="005D56C5">
        <w:rPr>
          <w:lang w:val="en"/>
        </w:rPr>
        <w:t>Back of card:</w:t>
      </w:r>
    </w:p>
    <w:p w:rsidR="00CD39A7" w:rsidRDefault="00CD39A7">
      <w:pPr>
        <w:jc w:val="both"/>
        <w:sectPr w:rsidR="00CD39A7">
          <w:pgSz w:w="11910" w:h="16840"/>
          <w:pgMar w:top="1320" w:right="1020" w:bottom="1200" w:left="1300" w:header="0" w:footer="952" w:gutter="0"/>
          <w:cols w:space="720"/>
        </w:sectPr>
      </w:pPr>
    </w:p>
    <w:p w:rsidR="00CD39A7" w:rsidRDefault="005B3809" w:rsidP="000464EA">
      <w:pPr>
        <w:pStyle w:val="Heading1"/>
        <w:numPr>
          <w:ilvl w:val="0"/>
          <w:numId w:val="35"/>
        </w:numPr>
        <w:tabs>
          <w:tab w:val="left" w:pos="397"/>
        </w:tabs>
        <w:spacing w:before="360" w:line="480" w:lineRule="auto"/>
        <w:ind w:hanging="280"/>
      </w:pPr>
      <w:bookmarkStart w:id="116" w:name="_bookmark139"/>
      <w:bookmarkStart w:id="117" w:name="7._EVALUATION_DE_L’EFFICACITE"/>
      <w:bookmarkEnd w:id="116"/>
      <w:bookmarkEnd w:id="117"/>
      <w:r>
        <w:rPr>
          <w:lang w:val="en"/>
        </w:rPr>
        <w:lastRenderedPageBreak/>
        <w:t>EVALUATION OF EFFICACY</w:t>
      </w:r>
    </w:p>
    <w:p w:rsidR="00CD39A7" w:rsidRDefault="005B3809" w:rsidP="000464EA">
      <w:pPr>
        <w:pStyle w:val="Heading4"/>
        <w:numPr>
          <w:ilvl w:val="1"/>
          <w:numId w:val="35"/>
        </w:numPr>
        <w:tabs>
          <w:tab w:val="left" w:pos="476"/>
        </w:tabs>
        <w:spacing w:after="120" w:line="480" w:lineRule="auto"/>
      </w:pPr>
      <w:r>
        <w:rPr>
          <w:lang w:val="en"/>
        </w:rPr>
        <w:t>Description of the efficacy endpoints</w:t>
      </w:r>
    </w:p>
    <w:p w:rsidR="00CD39A7" w:rsidRDefault="005B3809" w:rsidP="000464EA">
      <w:pPr>
        <w:pStyle w:val="BodyText"/>
        <w:spacing w:line="480" w:lineRule="auto"/>
        <w:ind w:left="116"/>
      </w:pPr>
      <w:r>
        <w:rPr>
          <w:lang w:val="en"/>
        </w:rPr>
        <w:t>The primary endpoint of the study is the number of major relapses (BVAS &gt; 10)</w:t>
      </w:r>
    </w:p>
    <w:p w:rsidR="00CD39A7" w:rsidRDefault="005B3809" w:rsidP="000464EA">
      <w:pPr>
        <w:pStyle w:val="BodyText"/>
        <w:spacing w:before="90" w:line="480" w:lineRule="auto"/>
        <w:ind w:left="115" w:right="117"/>
        <w:jc w:val="both"/>
      </w:pPr>
      <w:r>
        <w:rPr>
          <w:lang w:val="en"/>
        </w:rPr>
        <w:t>in each arm at the end of 28-month maintenance therapy (18 months of treatment + 10 months of follow-up).</w:t>
      </w:r>
    </w:p>
    <w:p w:rsidR="00CD39A7" w:rsidRDefault="005B3809" w:rsidP="000464EA">
      <w:pPr>
        <w:pStyle w:val="BodyText"/>
        <w:spacing w:before="10" w:line="480" w:lineRule="auto"/>
        <w:ind w:left="116" w:right="114"/>
        <w:jc w:val="both"/>
      </w:pPr>
      <w:r>
        <w:rPr>
          <w:lang w:val="en"/>
        </w:rPr>
        <w:t>The secondary endpoints are the number and seriousness of the side-effects in each arm, the number of patients with detectable ANCAs in each arm, the rate of mortality in each arm, the number of minor relapses in each arm, the cumulative dose and duration of corticosteroid therapy in each arm after 10 months of maintenance therapy, and these same endpoints 6 months after the end of maintenance therapy (post-treatment follow-up phase).</w:t>
      </w:r>
    </w:p>
    <w:p w:rsidR="00CD39A7" w:rsidRDefault="005B3809">
      <w:pPr>
        <w:pStyle w:val="BodyText"/>
        <w:spacing w:before="10" w:line="480" w:lineRule="auto"/>
        <w:ind w:left="116" w:right="114"/>
        <w:jc w:val="both"/>
      </w:pPr>
      <w:r>
        <w:rPr>
          <w:lang w:val="en"/>
        </w:rPr>
        <w:t xml:space="preserve">Our definitions of remission and relapses are based on those recently formulated and adopted by the working group of experts of EUVAS/EULAR (Hellmich et al., </w:t>
      </w:r>
      <w:r>
        <w:rPr>
          <w:i/>
          <w:iCs/>
          <w:lang w:val="en"/>
        </w:rPr>
        <w:t>Annals of Rheumatic Disease</w:t>
      </w:r>
      <w:r>
        <w:rPr>
          <w:lang w:val="en"/>
        </w:rPr>
        <w:t>, 2007 May;66(5):605-17).</w:t>
      </w:r>
    </w:p>
    <w:p w:rsidR="00CD39A7" w:rsidRDefault="005B3809" w:rsidP="00B25E13">
      <w:pPr>
        <w:pStyle w:val="ListParagraph"/>
        <w:numPr>
          <w:ilvl w:val="0"/>
          <w:numId w:val="22"/>
        </w:numPr>
        <w:tabs>
          <w:tab w:val="left" w:pos="671"/>
        </w:tabs>
        <w:spacing w:before="10" w:line="480" w:lineRule="auto"/>
        <w:ind w:right="114" w:firstLine="0"/>
        <w:jc w:val="both"/>
        <w:rPr>
          <w:sz w:val="24"/>
        </w:rPr>
      </w:pPr>
      <w:r>
        <w:rPr>
          <w:i/>
          <w:iCs/>
          <w:sz w:val="24"/>
          <w:lang w:val="en"/>
        </w:rPr>
        <w:t>Complete remission</w:t>
      </w:r>
      <w:r>
        <w:rPr>
          <w:sz w:val="24"/>
          <w:lang w:val="en"/>
        </w:rPr>
        <w:t>: defined as the disappearance of all clinical, biological and immunological signs of disease activity, allowing continuation of stable maintenance, immunosuppressive therapy. A BVAS score = 0 is required to confirm complete remission has occurred. ANCA eradication is not required to assert that remission has occurred. As the ANCA titer may increase before a relapse; it is recommended to monitor these patients more closely.</w:t>
      </w:r>
    </w:p>
    <w:p w:rsidR="00CD39A7" w:rsidRDefault="005B3809" w:rsidP="00343B4E">
      <w:pPr>
        <w:pStyle w:val="BodyText"/>
        <w:spacing w:before="10" w:line="480" w:lineRule="auto"/>
        <w:ind w:left="476" w:right="116"/>
        <w:jc w:val="both"/>
      </w:pPr>
      <w:r>
        <w:rPr>
          <w:lang w:val="en"/>
        </w:rPr>
        <w:t>Remission may be accompanied by sequelae such as proteinuria, kidney failure, sinusitis, etc. (list not exhaustive). The clinician will ask for the specialists’ opinions to confirm a diagnosis of remission with sequelae. Remission with sequelae will be considered to be complete remission</w:t>
      </w:r>
      <w:r w:rsidR="00343B4E">
        <w:rPr>
          <w:lang w:val="en"/>
        </w:rPr>
        <w:t xml:space="preserve">. </w:t>
      </w:r>
      <w:r>
        <w:rPr>
          <w:lang w:val="en"/>
        </w:rPr>
        <w:t>The</w:t>
      </w:r>
      <w:r w:rsidR="00343B4E">
        <w:t xml:space="preserve"> </w:t>
      </w:r>
      <w:r w:rsidR="00343B4E">
        <w:rPr>
          <w:lang w:val="en"/>
        </w:rPr>
        <w:t>persistence of one of these clinical elements (with the exception of sequelae) is not sufficient to be considered confirmation of complete remission.</w:t>
      </w:r>
    </w:p>
    <w:p w:rsidR="00CD39A7" w:rsidRDefault="005B3809" w:rsidP="00ED07C8">
      <w:pPr>
        <w:pStyle w:val="ListParagraph"/>
        <w:numPr>
          <w:ilvl w:val="0"/>
          <w:numId w:val="21"/>
        </w:numPr>
        <w:tabs>
          <w:tab w:val="left" w:pos="476"/>
        </w:tabs>
        <w:spacing w:before="240" w:line="465" w:lineRule="auto"/>
        <w:ind w:right="117"/>
        <w:jc w:val="both"/>
        <w:rPr>
          <w:sz w:val="24"/>
        </w:rPr>
      </w:pPr>
      <w:r>
        <w:rPr>
          <w:i/>
          <w:iCs/>
          <w:sz w:val="24"/>
          <w:lang w:val="en"/>
        </w:rPr>
        <w:lastRenderedPageBreak/>
        <w:t>Sustained remission</w:t>
      </w:r>
      <w:r>
        <w:rPr>
          <w:sz w:val="24"/>
          <w:lang w:val="en"/>
        </w:rPr>
        <w:t>: complete remission as defined above, lasting at least 6 months.</w:t>
      </w:r>
    </w:p>
    <w:p w:rsidR="00CD39A7" w:rsidRDefault="005B3809" w:rsidP="00ED07C8">
      <w:pPr>
        <w:pStyle w:val="ListParagraph"/>
        <w:numPr>
          <w:ilvl w:val="0"/>
          <w:numId w:val="21"/>
        </w:numPr>
        <w:tabs>
          <w:tab w:val="left" w:pos="476"/>
        </w:tabs>
        <w:spacing w:before="240" w:line="480" w:lineRule="auto"/>
        <w:ind w:right="115"/>
        <w:jc w:val="both"/>
        <w:rPr>
          <w:sz w:val="24"/>
        </w:rPr>
      </w:pPr>
      <w:r>
        <w:rPr>
          <w:i/>
          <w:iCs/>
          <w:sz w:val="24"/>
          <w:lang w:val="en"/>
        </w:rPr>
        <w:t xml:space="preserve">Response: </w:t>
      </w:r>
      <w:r>
        <w:rPr>
          <w:sz w:val="24"/>
          <w:lang w:val="en"/>
        </w:rPr>
        <w:t>defined as improvement but without complete regression of the signs of disease activity (clinical and biological) for at least one of the major organs targeted by the illness, such as the regression of pulmonary alveolar hemorrhage on imaging modalities, improvement in renal function with sustained microhematuria or proteinuria which may be considered not to be a sequelae of the disease. The BVAS score must have decreased by at least 50% with respect to the initial score. The serological status of ANCAs is not used for the diagnosis of complete remission or response. In these cases of partial remission, the initial treatment of the disease will be maintained or modified based on the opinion of the clinician and study coordinator.</w:t>
      </w:r>
    </w:p>
    <w:p w:rsidR="00CD39A7" w:rsidRDefault="005B3809" w:rsidP="00ED07C8">
      <w:pPr>
        <w:pStyle w:val="BodyText"/>
        <w:spacing w:line="480" w:lineRule="auto"/>
        <w:ind w:left="476"/>
        <w:jc w:val="both"/>
      </w:pPr>
      <w:r>
        <w:rPr>
          <w:lang w:val="en"/>
        </w:rPr>
        <w:t>For this study, response is evaluated at the month 3 visit (M3). The response will be considered partial if clinical signs indicating that the disease is active or progressing persist, in particular with a BVAS &gt; 6, an inflammatory syndrome and/or eosinophilia &gt;1000/mm3. This situation would justify an increase in Azathioprine/Placebo to 3 mg/kg/day, however this is not mandatory (decision of the study investigator).</w:t>
      </w:r>
    </w:p>
    <w:p w:rsidR="00CD39A7" w:rsidRPr="00BC66D2" w:rsidRDefault="005B3809" w:rsidP="00ED07C8">
      <w:pPr>
        <w:pStyle w:val="ListParagraph"/>
        <w:numPr>
          <w:ilvl w:val="0"/>
          <w:numId w:val="21"/>
        </w:numPr>
        <w:tabs>
          <w:tab w:val="left" w:pos="476"/>
        </w:tabs>
        <w:spacing w:before="240" w:line="480" w:lineRule="auto"/>
        <w:ind w:right="115"/>
        <w:jc w:val="both"/>
        <w:rPr>
          <w:sz w:val="24"/>
          <w:szCs w:val="24"/>
        </w:rPr>
      </w:pPr>
      <w:r w:rsidRPr="00BC66D2">
        <w:rPr>
          <w:i/>
          <w:iCs/>
          <w:sz w:val="24"/>
          <w:szCs w:val="24"/>
          <w:lang w:val="en"/>
        </w:rPr>
        <w:t xml:space="preserve">Failure: </w:t>
      </w:r>
      <w:r w:rsidRPr="00BC66D2">
        <w:rPr>
          <w:sz w:val="24"/>
          <w:szCs w:val="24"/>
          <w:lang w:val="en"/>
        </w:rPr>
        <w:t>defined as an exacerbation of the symptoms of the disease, including damage to at least one of the major organs (FFS &gt; or =1) at any time, or signs of persistent disease activity despite an increase of Azathioprine to 3 mg/kg/day.</w:t>
      </w:r>
      <w:r w:rsidR="00765BBD" w:rsidRPr="00BC66D2">
        <w:rPr>
          <w:sz w:val="24"/>
          <w:szCs w:val="24"/>
        </w:rPr>
        <w:br/>
      </w:r>
      <w:r w:rsidR="00765BBD" w:rsidRPr="00BC66D2">
        <w:rPr>
          <w:sz w:val="24"/>
          <w:szCs w:val="24"/>
          <w:lang w:val="en"/>
        </w:rPr>
        <w:t>In these "forms of good prognosis" of failure, another immunosuppressive therapy should be proposed a priori, by boluses of Cyclophosphamide.</w:t>
      </w:r>
    </w:p>
    <w:p w:rsidR="00CD39A7" w:rsidRDefault="005B3809" w:rsidP="00ED07C8">
      <w:pPr>
        <w:pStyle w:val="ListParagraph"/>
        <w:numPr>
          <w:ilvl w:val="0"/>
          <w:numId w:val="21"/>
        </w:numPr>
        <w:tabs>
          <w:tab w:val="left" w:pos="476"/>
        </w:tabs>
        <w:spacing w:before="240" w:line="475" w:lineRule="auto"/>
        <w:ind w:right="114"/>
        <w:jc w:val="both"/>
        <w:rPr>
          <w:sz w:val="24"/>
        </w:rPr>
      </w:pPr>
      <w:r>
        <w:rPr>
          <w:i/>
          <w:iCs/>
          <w:sz w:val="24"/>
          <w:lang w:val="en"/>
        </w:rPr>
        <w:t>Relapse</w:t>
      </w:r>
      <w:r>
        <w:rPr>
          <w:sz w:val="24"/>
          <w:lang w:val="en"/>
        </w:rPr>
        <w:t>: defined as the reappearance of clinical and/or biological signs of vasculitis activity. The BVAS is a few points higher than during remission. T</w:t>
      </w:r>
      <w:r w:rsidR="00D72855">
        <w:rPr>
          <w:sz w:val="24"/>
          <w:lang w:val="en"/>
        </w:rPr>
        <w:t xml:space="preserve">he relapse must be documented. </w:t>
      </w:r>
      <w:r>
        <w:rPr>
          <w:sz w:val="24"/>
          <w:lang w:val="en"/>
        </w:rPr>
        <w:t>An isolated elevated ANCA titer (MPA and CSS) or eosinophil counts (CSS) cannot be considered as indications of a relapse.</w:t>
      </w:r>
    </w:p>
    <w:p w:rsidR="00CD39A7" w:rsidRDefault="005B3809" w:rsidP="00ED07C8">
      <w:pPr>
        <w:pStyle w:val="ListParagraph"/>
        <w:numPr>
          <w:ilvl w:val="1"/>
          <w:numId w:val="21"/>
        </w:numPr>
        <w:tabs>
          <w:tab w:val="left" w:pos="1196"/>
        </w:tabs>
        <w:spacing w:before="240" w:line="468" w:lineRule="auto"/>
        <w:ind w:right="113"/>
        <w:jc w:val="both"/>
        <w:rPr>
          <w:sz w:val="24"/>
        </w:rPr>
      </w:pPr>
      <w:r>
        <w:rPr>
          <w:i/>
          <w:iCs/>
          <w:sz w:val="24"/>
          <w:lang w:val="en"/>
        </w:rPr>
        <w:lastRenderedPageBreak/>
        <w:t xml:space="preserve">Major relapse: </w:t>
      </w:r>
      <w:r>
        <w:rPr>
          <w:sz w:val="24"/>
          <w:lang w:val="en"/>
        </w:rPr>
        <w:t>defined as the reappearance of clinical and/or biological signs of vasculitis activity which could lead to organ failure or destruction or could be life-threatening (in particular kidney, cardiac or pulmonary failure).</w:t>
      </w:r>
    </w:p>
    <w:p w:rsidR="00CD39A7" w:rsidRDefault="005B3809" w:rsidP="00B25E13">
      <w:pPr>
        <w:pStyle w:val="ListParagraph"/>
        <w:numPr>
          <w:ilvl w:val="1"/>
          <w:numId w:val="21"/>
        </w:numPr>
        <w:tabs>
          <w:tab w:val="left" w:pos="1196"/>
        </w:tabs>
        <w:spacing w:before="23" w:line="468" w:lineRule="auto"/>
        <w:ind w:right="115"/>
        <w:jc w:val="both"/>
        <w:rPr>
          <w:sz w:val="24"/>
        </w:rPr>
      </w:pPr>
      <w:r>
        <w:rPr>
          <w:i/>
          <w:iCs/>
          <w:sz w:val="24"/>
          <w:lang w:val="en"/>
        </w:rPr>
        <w:t xml:space="preserve">Minor relapse: </w:t>
      </w:r>
      <w:r>
        <w:rPr>
          <w:sz w:val="24"/>
          <w:lang w:val="en"/>
        </w:rPr>
        <w:t>defined by the reappearance of clinical and/or biological signs of vasculitis activity but not involving organ failure or destruction and not life-threatening.</w:t>
      </w:r>
    </w:p>
    <w:p w:rsidR="00CD39A7" w:rsidRDefault="005B3809" w:rsidP="002C40FF">
      <w:pPr>
        <w:pStyle w:val="Heading1"/>
        <w:numPr>
          <w:ilvl w:val="0"/>
          <w:numId w:val="20"/>
        </w:numPr>
        <w:tabs>
          <w:tab w:val="left" w:pos="328"/>
        </w:tabs>
        <w:spacing w:before="360" w:line="480" w:lineRule="auto"/>
        <w:ind w:hanging="211"/>
      </w:pPr>
      <w:bookmarkStart w:id="118" w:name="_bookmark140"/>
      <w:bookmarkStart w:id="119" w:name="8_EVALUATION_DE_LA_SECURITE"/>
      <w:bookmarkEnd w:id="118"/>
      <w:bookmarkEnd w:id="119"/>
      <w:r>
        <w:rPr>
          <w:lang w:val="en"/>
        </w:rPr>
        <w:t>EVALUATION OF SAFETY</w:t>
      </w:r>
    </w:p>
    <w:p w:rsidR="00CD39A7" w:rsidRPr="00B243D6" w:rsidRDefault="005B3809" w:rsidP="002C40FF">
      <w:pPr>
        <w:pStyle w:val="Heading4"/>
        <w:numPr>
          <w:ilvl w:val="1"/>
          <w:numId w:val="20"/>
        </w:numPr>
        <w:tabs>
          <w:tab w:val="left" w:pos="476"/>
        </w:tabs>
        <w:spacing w:after="120" w:line="480" w:lineRule="auto"/>
        <w:ind w:firstLine="0"/>
      </w:pPr>
      <w:bookmarkStart w:id="120" w:name="_bookmark141"/>
      <w:bookmarkStart w:id="121" w:name="8.1_Description_des_paramètres_d’évaluat"/>
      <w:bookmarkEnd w:id="120"/>
      <w:bookmarkEnd w:id="121"/>
      <w:r w:rsidRPr="00B243D6">
        <w:rPr>
          <w:lang w:val="en"/>
        </w:rPr>
        <w:t>Description of the Safety Parameters</w:t>
      </w:r>
    </w:p>
    <w:p w:rsidR="00CD39A7" w:rsidRPr="00B243D6" w:rsidRDefault="005B3809" w:rsidP="002C40FF">
      <w:pPr>
        <w:pStyle w:val="ListParagraph"/>
        <w:numPr>
          <w:ilvl w:val="0"/>
          <w:numId w:val="19"/>
        </w:numPr>
        <w:tabs>
          <w:tab w:val="left" w:pos="280"/>
        </w:tabs>
        <w:spacing w:line="480" w:lineRule="auto"/>
        <w:ind w:left="277"/>
        <w:rPr>
          <w:sz w:val="24"/>
          <w:szCs w:val="24"/>
        </w:rPr>
      </w:pPr>
      <w:r w:rsidRPr="000512F7">
        <w:rPr>
          <w:b/>
          <w:bCs/>
          <w:sz w:val="24"/>
          <w:szCs w:val="24"/>
          <w:u w:val="single"/>
          <w:lang w:val="en"/>
        </w:rPr>
        <w:t>Definition of an adverse event or effect (AE</w:t>
      </w:r>
      <w:r w:rsidRPr="00845E06">
        <w:rPr>
          <w:b/>
          <w:sz w:val="24"/>
          <w:szCs w:val="24"/>
          <w:u w:val="single"/>
          <w:lang w:val="en"/>
        </w:rPr>
        <w:t>)</w:t>
      </w:r>
      <w:r w:rsidRPr="00B243D6">
        <w:rPr>
          <w:sz w:val="24"/>
          <w:szCs w:val="24"/>
          <w:lang w:val="en"/>
        </w:rPr>
        <w:t>: An adverse event is considered</w:t>
      </w:r>
      <w:r w:rsidR="00765BBD" w:rsidRPr="00B243D6">
        <w:rPr>
          <w:sz w:val="24"/>
          <w:szCs w:val="24"/>
          <w:lang w:val="en"/>
        </w:rPr>
        <w:t xml:space="preserve"> </w:t>
      </w:r>
      <w:r w:rsidRPr="00B243D6">
        <w:rPr>
          <w:sz w:val="24"/>
          <w:szCs w:val="24"/>
          <w:lang w:val="en"/>
        </w:rPr>
        <w:t>any undesirable or unexpected harmful manifestation or worsening of a pre-existing condition occurring in an individual participating in biomedical research, whether or not the event is considered to be related to the study treatment.</w:t>
      </w:r>
    </w:p>
    <w:p w:rsidR="00CD39A7" w:rsidRPr="00B243D6" w:rsidRDefault="005B3809" w:rsidP="002C40FF">
      <w:pPr>
        <w:pStyle w:val="ListParagraph"/>
        <w:numPr>
          <w:ilvl w:val="0"/>
          <w:numId w:val="19"/>
        </w:numPr>
        <w:tabs>
          <w:tab w:val="left" w:pos="256"/>
        </w:tabs>
        <w:spacing w:before="90" w:line="480" w:lineRule="auto"/>
        <w:ind w:left="255" w:hanging="139"/>
        <w:rPr>
          <w:sz w:val="24"/>
          <w:szCs w:val="24"/>
        </w:rPr>
      </w:pPr>
      <w:r w:rsidRPr="00B243D6">
        <w:rPr>
          <w:b/>
          <w:bCs/>
          <w:sz w:val="24"/>
          <w:szCs w:val="24"/>
          <w:u w:val="thick"/>
          <w:lang w:val="en"/>
        </w:rPr>
        <w:t>Adverse effects of an investigational medication</w:t>
      </w:r>
      <w:r w:rsidRPr="000512F7">
        <w:rPr>
          <w:sz w:val="24"/>
          <w:szCs w:val="24"/>
          <w:lang w:val="en"/>
        </w:rPr>
        <w:t xml:space="preserve">: </w:t>
      </w:r>
      <w:r w:rsidRPr="00B243D6">
        <w:rPr>
          <w:sz w:val="24"/>
          <w:szCs w:val="24"/>
          <w:lang w:val="en"/>
        </w:rPr>
        <w:t>Any harmful, undesired reaction to</w:t>
      </w:r>
    </w:p>
    <w:p w:rsidR="00CD39A7" w:rsidRPr="00B243D6" w:rsidRDefault="005B3809" w:rsidP="002C40FF">
      <w:pPr>
        <w:pStyle w:val="BodyText"/>
        <w:spacing w:before="90" w:line="480" w:lineRule="auto"/>
        <w:ind w:left="115"/>
      </w:pPr>
      <w:r w:rsidRPr="00B243D6">
        <w:rPr>
          <w:lang w:val="en"/>
        </w:rPr>
        <w:t>an investigational medication, regardless of the dose administered.</w:t>
      </w:r>
    </w:p>
    <w:p w:rsidR="00CD39A7" w:rsidRPr="00B243D6" w:rsidRDefault="005B3809" w:rsidP="002C40FF">
      <w:pPr>
        <w:pStyle w:val="ListParagraph"/>
        <w:numPr>
          <w:ilvl w:val="0"/>
          <w:numId w:val="19"/>
        </w:numPr>
        <w:tabs>
          <w:tab w:val="left" w:pos="284"/>
        </w:tabs>
        <w:spacing w:before="230" w:line="480" w:lineRule="auto"/>
        <w:ind w:left="284" w:hanging="168"/>
        <w:rPr>
          <w:sz w:val="24"/>
          <w:szCs w:val="24"/>
        </w:rPr>
      </w:pPr>
      <w:r w:rsidRPr="00942ECE">
        <w:rPr>
          <w:b/>
          <w:bCs/>
          <w:sz w:val="24"/>
          <w:szCs w:val="24"/>
          <w:u w:val="single"/>
          <w:lang w:val="en"/>
        </w:rPr>
        <w:t>Definition of a serious adverse event or effect (SAE)</w:t>
      </w:r>
      <w:r w:rsidRPr="00845E06">
        <w:rPr>
          <w:bCs/>
          <w:sz w:val="24"/>
          <w:szCs w:val="24"/>
          <w:lang w:val="en"/>
        </w:rPr>
        <w:t>:</w:t>
      </w:r>
      <w:r w:rsidRPr="00B243D6">
        <w:rPr>
          <w:b/>
          <w:bCs/>
          <w:sz w:val="24"/>
          <w:szCs w:val="24"/>
          <w:lang w:val="en"/>
        </w:rPr>
        <w:t xml:space="preserve"> </w:t>
      </w:r>
      <w:r w:rsidRPr="00B243D6">
        <w:rPr>
          <w:sz w:val="24"/>
          <w:szCs w:val="24"/>
          <w:lang w:val="en"/>
        </w:rPr>
        <w:t>Any undesirable event or effect</w:t>
      </w:r>
      <w:r w:rsidR="00765BBD" w:rsidRPr="00B243D6">
        <w:rPr>
          <w:sz w:val="24"/>
          <w:szCs w:val="24"/>
          <w:lang w:val="en"/>
        </w:rPr>
        <w:t xml:space="preserve"> </w:t>
      </w:r>
      <w:r w:rsidRPr="00B243D6">
        <w:rPr>
          <w:sz w:val="24"/>
          <w:szCs w:val="24"/>
          <w:lang w:val="en"/>
        </w:rPr>
        <w:t>that leads to death, is life-threatening, requires hospitalization or prolongation of hospitalization, results in a significant or permanent disability or handicap, or causes a congenital abnormality or deformity, related to the medication, regardless of the dose administered.</w:t>
      </w:r>
    </w:p>
    <w:p w:rsidR="00CD39A7" w:rsidRPr="00B243D6" w:rsidRDefault="005B3809" w:rsidP="003910F2">
      <w:pPr>
        <w:pStyle w:val="BodyText"/>
        <w:spacing w:before="10" w:line="480" w:lineRule="auto"/>
        <w:ind w:left="284" w:right="118"/>
        <w:jc w:val="both"/>
      </w:pPr>
      <w:r w:rsidRPr="00B243D6">
        <w:rPr>
          <w:lang w:val="en"/>
        </w:rPr>
        <w:t>Cancer, pregnancy, medication overdose or drug abuse will be reported as a serious adverse event.</w:t>
      </w:r>
    </w:p>
    <w:p w:rsidR="00CD39A7" w:rsidRPr="00765BBD" w:rsidRDefault="005B3809" w:rsidP="003910F2">
      <w:pPr>
        <w:pStyle w:val="BodyText"/>
        <w:spacing w:before="10" w:line="480" w:lineRule="auto"/>
        <w:ind w:left="284" w:right="694"/>
      </w:pPr>
      <w:r w:rsidRPr="00765BBD">
        <w:rPr>
          <w:lang w:val="en"/>
        </w:rPr>
        <w:t>Hospitalization scheduled prior to the start of the study will not be considered a serious adverse event.</w:t>
      </w:r>
    </w:p>
    <w:p w:rsidR="00CD39A7" w:rsidRPr="00765BBD" w:rsidRDefault="005B3809" w:rsidP="002C40FF">
      <w:pPr>
        <w:pStyle w:val="ListParagraph"/>
        <w:numPr>
          <w:ilvl w:val="0"/>
          <w:numId w:val="19"/>
        </w:numPr>
        <w:tabs>
          <w:tab w:val="left" w:pos="275"/>
        </w:tabs>
        <w:spacing w:line="480" w:lineRule="auto"/>
        <w:ind w:left="274" w:hanging="158"/>
        <w:jc w:val="both"/>
        <w:rPr>
          <w:sz w:val="24"/>
          <w:szCs w:val="24"/>
        </w:rPr>
      </w:pPr>
      <w:r w:rsidRPr="00845E06">
        <w:rPr>
          <w:b/>
          <w:bCs/>
          <w:sz w:val="24"/>
          <w:szCs w:val="24"/>
          <w:u w:val="single"/>
          <w:lang w:val="en"/>
        </w:rPr>
        <w:t>Unexpected adverse effect to an investigational medication</w:t>
      </w:r>
      <w:r w:rsidRPr="00765BBD">
        <w:rPr>
          <w:sz w:val="24"/>
          <w:szCs w:val="24"/>
          <w:lang w:val="en"/>
        </w:rPr>
        <w:t>: Any adverse effect</w:t>
      </w:r>
      <w:r w:rsidR="00765BBD" w:rsidRPr="00765BBD">
        <w:rPr>
          <w:sz w:val="24"/>
          <w:szCs w:val="24"/>
          <w:lang w:val="en"/>
        </w:rPr>
        <w:t xml:space="preserve"> </w:t>
      </w:r>
      <w:r w:rsidRPr="00765BBD">
        <w:rPr>
          <w:sz w:val="24"/>
          <w:szCs w:val="24"/>
          <w:lang w:val="en"/>
        </w:rPr>
        <w:t xml:space="preserve">whose nature, severity or development is not in accordance with the information provided in the </w:t>
      </w:r>
      <w:r w:rsidRPr="00765BBD">
        <w:rPr>
          <w:sz w:val="24"/>
          <w:szCs w:val="24"/>
          <w:lang w:val="en"/>
        </w:rPr>
        <w:lastRenderedPageBreak/>
        <w:t>Summary of Product Characteristics at the time the medication was approved, or in the Investigator’s Brochure if not approved.</w:t>
      </w:r>
    </w:p>
    <w:p w:rsidR="00CD39A7" w:rsidRPr="00765BBD" w:rsidRDefault="005B3809" w:rsidP="002C40FF">
      <w:pPr>
        <w:pStyle w:val="ListParagraph"/>
        <w:numPr>
          <w:ilvl w:val="0"/>
          <w:numId w:val="19"/>
        </w:numPr>
        <w:tabs>
          <w:tab w:val="left" w:pos="270"/>
        </w:tabs>
        <w:spacing w:line="480" w:lineRule="auto"/>
        <w:ind w:left="269" w:hanging="153"/>
        <w:jc w:val="both"/>
        <w:rPr>
          <w:sz w:val="24"/>
          <w:szCs w:val="24"/>
        </w:rPr>
      </w:pPr>
      <w:r w:rsidRPr="00765BBD">
        <w:rPr>
          <w:b/>
          <w:bCs/>
          <w:sz w:val="24"/>
          <w:szCs w:val="24"/>
          <w:lang w:val="en"/>
        </w:rPr>
        <w:t xml:space="preserve">New data: </w:t>
      </w:r>
      <w:r w:rsidRPr="00765BBD">
        <w:rPr>
          <w:sz w:val="24"/>
          <w:szCs w:val="24"/>
          <w:lang w:val="en"/>
        </w:rPr>
        <w:t>Any new data related to safety that could lead to a reassessment of the</w:t>
      </w:r>
      <w:r w:rsidR="00765BBD" w:rsidRPr="00765BBD">
        <w:rPr>
          <w:sz w:val="24"/>
          <w:szCs w:val="24"/>
          <w:lang w:val="en"/>
        </w:rPr>
        <w:t xml:space="preserve"> </w:t>
      </w:r>
      <w:r w:rsidRPr="00765BBD">
        <w:rPr>
          <w:sz w:val="24"/>
          <w:szCs w:val="24"/>
          <w:lang w:val="en"/>
        </w:rPr>
        <w:t>benefits/risks of the study or the investigational medication, or could be sufficient to consider changes in the administration of the investigational medication in the study.</w:t>
      </w:r>
    </w:p>
    <w:p w:rsidR="00CD39A7" w:rsidRDefault="005B3809" w:rsidP="00B243D6">
      <w:pPr>
        <w:pStyle w:val="Heading4"/>
        <w:numPr>
          <w:ilvl w:val="1"/>
          <w:numId w:val="20"/>
        </w:numPr>
        <w:tabs>
          <w:tab w:val="left" w:pos="476"/>
        </w:tabs>
        <w:spacing w:before="240" w:after="120" w:line="480" w:lineRule="auto"/>
        <w:ind w:left="476"/>
      </w:pPr>
      <w:bookmarkStart w:id="122" w:name="_bookmark142"/>
      <w:bookmarkStart w:id="123" w:name="8.2_Méthodes_et_calendrier"/>
      <w:bookmarkEnd w:id="122"/>
      <w:bookmarkEnd w:id="123"/>
      <w:r>
        <w:rPr>
          <w:lang w:val="en"/>
        </w:rPr>
        <w:t>Methods and Schedule</w:t>
      </w:r>
    </w:p>
    <w:p w:rsidR="00CD39A7" w:rsidRDefault="005B3809" w:rsidP="002C40FF">
      <w:pPr>
        <w:pStyle w:val="ListParagraph"/>
        <w:numPr>
          <w:ilvl w:val="2"/>
          <w:numId w:val="20"/>
        </w:numPr>
        <w:tabs>
          <w:tab w:val="left" w:pos="1364"/>
        </w:tabs>
        <w:spacing w:line="480" w:lineRule="auto"/>
        <w:rPr>
          <w:b/>
          <w:sz w:val="24"/>
        </w:rPr>
      </w:pPr>
      <w:r>
        <w:rPr>
          <w:b/>
          <w:bCs/>
          <w:sz w:val="24"/>
          <w:lang w:val="en"/>
        </w:rPr>
        <w:t>Scientific Committee</w:t>
      </w:r>
    </w:p>
    <w:p w:rsidR="00CD39A7" w:rsidRDefault="005B3809" w:rsidP="002C40FF">
      <w:pPr>
        <w:pStyle w:val="BodyText"/>
        <w:spacing w:line="480" w:lineRule="auto"/>
        <w:ind w:left="116" w:right="115"/>
        <w:jc w:val="both"/>
      </w:pPr>
      <w:r>
        <w:rPr>
          <w:lang w:val="en"/>
        </w:rPr>
        <w:t>The MAINRITSAN study Scientific Committee will include the clinicians who initiated this study (Prof. Guillevin and Dr. Pagnoux), the biostatistician in charge of the project (Dr. Mahr), representatives of the Sponsor (Mr. Vacher, Ms. Mebarek) and the Clinical Research Unit (Prof. Tréluyer; Ms. Poignant, CRA in charge of the study) appointed for the study.</w:t>
      </w:r>
    </w:p>
    <w:p w:rsidR="00CD39A7" w:rsidRDefault="005B3809" w:rsidP="002C40FF">
      <w:pPr>
        <w:pStyle w:val="BodyText"/>
        <w:spacing w:line="480" w:lineRule="auto"/>
        <w:ind w:left="116" w:right="113"/>
        <w:jc w:val="both"/>
      </w:pPr>
      <w:r>
        <w:rPr>
          <w:lang w:val="en"/>
        </w:rPr>
        <w:t>The Scientific Committee will meet before the study is started, then at least every 3 months. Scientific Committee meetings will provide an opportunity to review study progress in the different areas and to provide feedback to each recruiting center.</w:t>
      </w:r>
    </w:p>
    <w:p w:rsidR="00CD39A7" w:rsidRDefault="005B3809" w:rsidP="00865FA3">
      <w:pPr>
        <w:pStyle w:val="BodyText"/>
        <w:spacing w:before="240" w:line="480" w:lineRule="auto"/>
        <w:ind w:left="116" w:right="115"/>
        <w:jc w:val="both"/>
      </w:pPr>
      <w:r>
        <w:rPr>
          <w:lang w:val="en"/>
        </w:rPr>
        <w:t>The committee’s mission is to approve all the major decisions requested by the coordinating investigator pertaining to study conduct and compliance with the protocol and ethics. Il vérifie le respect de l’éthique. They will inform the Centre de Méthodologie et de Gestion for the study (Center for Methodology and Management) of the study progress and of any problems and on the results. They will make decisions regarding any relevant protocol modification required to continue the study, namely:</w:t>
      </w:r>
    </w:p>
    <w:p w:rsidR="00CD39A7" w:rsidRDefault="005B3809" w:rsidP="002C40FF">
      <w:pPr>
        <w:pStyle w:val="ListParagraph"/>
        <w:numPr>
          <w:ilvl w:val="0"/>
          <w:numId w:val="18"/>
        </w:numPr>
        <w:tabs>
          <w:tab w:val="left" w:pos="256"/>
        </w:tabs>
        <w:spacing w:before="9" w:line="480" w:lineRule="auto"/>
        <w:ind w:firstLine="0"/>
        <w:jc w:val="both"/>
        <w:rPr>
          <w:sz w:val="24"/>
        </w:rPr>
      </w:pPr>
      <w:r>
        <w:rPr>
          <w:sz w:val="24"/>
          <w:lang w:val="en"/>
        </w:rPr>
        <w:t>Measures to facilitate patient recruitment in the study;</w:t>
      </w:r>
    </w:p>
    <w:p w:rsidR="00CD39A7" w:rsidRDefault="005B3809" w:rsidP="002C40FF">
      <w:pPr>
        <w:pStyle w:val="ListParagraph"/>
        <w:numPr>
          <w:ilvl w:val="0"/>
          <w:numId w:val="18"/>
        </w:numPr>
        <w:tabs>
          <w:tab w:val="left" w:pos="340"/>
        </w:tabs>
        <w:spacing w:line="480" w:lineRule="auto"/>
        <w:ind w:right="116" w:firstLine="0"/>
        <w:jc w:val="both"/>
        <w:rPr>
          <w:sz w:val="24"/>
        </w:rPr>
      </w:pPr>
      <w:r>
        <w:rPr>
          <w:sz w:val="24"/>
          <w:lang w:val="en"/>
        </w:rPr>
        <w:t>Protocol amendments before they are presented to the CPP,</w:t>
      </w:r>
    </w:p>
    <w:p w:rsidR="00CD39A7" w:rsidRDefault="005B3809" w:rsidP="002C40FF">
      <w:pPr>
        <w:pStyle w:val="ListParagraph"/>
        <w:numPr>
          <w:ilvl w:val="0"/>
          <w:numId w:val="18"/>
        </w:numPr>
        <w:tabs>
          <w:tab w:val="left" w:pos="256"/>
        </w:tabs>
        <w:spacing w:before="9" w:line="480" w:lineRule="auto"/>
        <w:ind w:left="255" w:hanging="139"/>
        <w:jc w:val="both"/>
        <w:rPr>
          <w:sz w:val="24"/>
        </w:rPr>
      </w:pPr>
      <w:r>
        <w:rPr>
          <w:sz w:val="24"/>
          <w:lang w:val="en"/>
        </w:rPr>
        <w:t>Decisions regarding opening or closing study sites,</w:t>
      </w:r>
    </w:p>
    <w:p w:rsidR="00CD39A7" w:rsidRDefault="005B3809" w:rsidP="002C40FF">
      <w:pPr>
        <w:pStyle w:val="ListParagraph"/>
        <w:numPr>
          <w:ilvl w:val="0"/>
          <w:numId w:val="18"/>
        </w:numPr>
        <w:tabs>
          <w:tab w:val="left" w:pos="256"/>
        </w:tabs>
        <w:spacing w:line="480" w:lineRule="auto"/>
        <w:ind w:left="255" w:hanging="139"/>
        <w:jc w:val="both"/>
        <w:rPr>
          <w:sz w:val="24"/>
        </w:rPr>
      </w:pPr>
      <w:r>
        <w:rPr>
          <w:sz w:val="24"/>
          <w:lang w:val="en"/>
        </w:rPr>
        <w:t>Measures ensuring the highest level of safety for individuals participating in the study,</w:t>
      </w:r>
    </w:p>
    <w:p w:rsidR="00CD39A7" w:rsidRDefault="005B3809" w:rsidP="002C40FF">
      <w:pPr>
        <w:pStyle w:val="ListParagraph"/>
        <w:numPr>
          <w:ilvl w:val="0"/>
          <w:numId w:val="18"/>
        </w:numPr>
        <w:tabs>
          <w:tab w:val="left" w:pos="256"/>
        </w:tabs>
        <w:spacing w:line="480" w:lineRule="auto"/>
        <w:ind w:left="255" w:hanging="139"/>
        <w:jc w:val="both"/>
        <w:rPr>
          <w:sz w:val="24"/>
        </w:rPr>
      </w:pPr>
      <w:r>
        <w:rPr>
          <w:sz w:val="24"/>
          <w:lang w:val="en"/>
        </w:rPr>
        <w:t>Discussions on the results and the publication strategy for these results.</w:t>
      </w:r>
    </w:p>
    <w:p w:rsidR="00CD39A7" w:rsidRDefault="005B3809" w:rsidP="002C40FF">
      <w:pPr>
        <w:pStyle w:val="BodyText"/>
        <w:spacing w:line="480" w:lineRule="auto"/>
        <w:ind w:left="116" w:right="116"/>
        <w:jc w:val="both"/>
      </w:pPr>
      <w:r>
        <w:rPr>
          <w:lang w:val="en"/>
        </w:rPr>
        <w:lastRenderedPageBreak/>
        <w:t>The Scientific Committee may recommend (on the advice of the Data Monitoring Committee) to extend or suspend the study if the rate of patient recruitment is too low, if</w:t>
      </w:r>
      <w:r w:rsidR="001A16B5">
        <w:t xml:space="preserve"> </w:t>
      </w:r>
      <w:r w:rsidR="001A16B5">
        <w:rPr>
          <w:lang w:val="en"/>
        </w:rPr>
        <w:t>the number of</w:t>
      </w:r>
      <w:r w:rsidR="002C40FF">
        <w:rPr>
          <w:lang w:val="en"/>
        </w:rPr>
        <w:t xml:space="preserve"> </w:t>
      </w:r>
      <w:r>
        <w:rPr>
          <w:lang w:val="en"/>
        </w:rPr>
        <w:t>patients lost to follow-up is too high, for major protocol violations, or for medical and/or administrative reasons.</w:t>
      </w:r>
    </w:p>
    <w:p w:rsidR="00CD39A7" w:rsidRDefault="005B3809" w:rsidP="002C40FF">
      <w:pPr>
        <w:pStyle w:val="BodyText"/>
        <w:spacing w:before="9" w:line="480" w:lineRule="auto"/>
        <w:ind w:left="116" w:right="114"/>
        <w:jc w:val="both"/>
      </w:pPr>
      <w:r>
        <w:rPr>
          <w:lang w:val="en"/>
        </w:rPr>
        <w:t>If new analyses, not included in the protocol, are proposed for the samples provided by the study subjects, the Scientific Committee will review these proposals and define the data access restrictions and rules for publishing these results.</w:t>
      </w:r>
    </w:p>
    <w:p w:rsidR="00CD39A7" w:rsidRDefault="005B3809" w:rsidP="002C40FF">
      <w:pPr>
        <w:pStyle w:val="BodyText"/>
        <w:spacing w:before="9" w:line="480" w:lineRule="auto"/>
        <w:ind w:left="116" w:right="115"/>
        <w:jc w:val="both"/>
      </w:pPr>
      <w:r>
        <w:rPr>
          <w:lang w:val="en"/>
        </w:rPr>
        <w:t>The Scientific Committee will monitor the tolerance to the study products or the therapeutic approach by reviewing, discussing, and validating the Annual Tolerance Report, to be submitted to the Health Authority and the CPP.</w:t>
      </w:r>
    </w:p>
    <w:p w:rsidR="00CD39A7" w:rsidRDefault="005B3809" w:rsidP="00865FA3">
      <w:pPr>
        <w:pStyle w:val="Heading4"/>
        <w:numPr>
          <w:ilvl w:val="2"/>
          <w:numId w:val="20"/>
        </w:numPr>
        <w:tabs>
          <w:tab w:val="left" w:pos="1364"/>
        </w:tabs>
        <w:spacing w:before="240" w:after="120" w:line="480" w:lineRule="auto"/>
      </w:pPr>
      <w:r>
        <w:rPr>
          <w:lang w:val="en"/>
        </w:rPr>
        <w:t>Committee Validating the Critical Cases</w:t>
      </w:r>
    </w:p>
    <w:p w:rsidR="00CD39A7" w:rsidRDefault="005B3809" w:rsidP="002C40FF">
      <w:pPr>
        <w:pStyle w:val="BodyText"/>
        <w:spacing w:line="480" w:lineRule="auto"/>
        <w:ind w:left="113"/>
        <w:jc w:val="both"/>
      </w:pPr>
      <w:r>
        <w:rPr>
          <w:u w:val="single"/>
          <w:lang w:val="en"/>
        </w:rPr>
        <w:t>The committee validating the critical cases is composed of 3 independent members, specialists</w:t>
      </w:r>
      <w:r w:rsidR="001A16B5">
        <w:t xml:space="preserve"> </w:t>
      </w:r>
      <w:r w:rsidR="001A16B5">
        <w:rPr>
          <w:u w:val="single"/>
          <w:lang w:val="en"/>
        </w:rPr>
        <w:t xml:space="preserve">of vasculitis, </w:t>
      </w:r>
      <w:r>
        <w:rPr>
          <w:u w:val="single"/>
          <w:lang w:val="en"/>
        </w:rPr>
        <w:t>who will meet once after the follow-up period to perform a</w:t>
      </w:r>
      <w:r w:rsidR="001A16B5">
        <w:t xml:space="preserve"> </w:t>
      </w:r>
      <w:r>
        <w:rPr>
          <w:u w:val="single"/>
          <w:lang w:val="en"/>
        </w:rPr>
        <w:t>evaluation of the relapses while blinded to the patients’ treatment arms.</w:t>
      </w:r>
    </w:p>
    <w:p w:rsidR="00CD39A7" w:rsidRDefault="005B3809" w:rsidP="006C6354">
      <w:pPr>
        <w:pStyle w:val="Heading4"/>
        <w:numPr>
          <w:ilvl w:val="1"/>
          <w:numId w:val="20"/>
        </w:numPr>
        <w:tabs>
          <w:tab w:val="left" w:pos="544"/>
        </w:tabs>
        <w:spacing w:before="240" w:after="120" w:line="480" w:lineRule="auto"/>
        <w:ind w:right="115" w:firstLine="0"/>
      </w:pPr>
      <w:bookmarkStart w:id="124" w:name="_bookmark143"/>
      <w:bookmarkStart w:id="125" w:name="8.3_Procédures_mises_en_place_en_vue_de_"/>
      <w:bookmarkEnd w:id="124"/>
      <w:bookmarkEnd w:id="125"/>
      <w:r>
        <w:rPr>
          <w:lang w:val="en"/>
        </w:rPr>
        <w:t>Procedures for Recording and Reporting Adverse Events</w:t>
      </w:r>
    </w:p>
    <w:p w:rsidR="00CD39A7" w:rsidRDefault="005B3809" w:rsidP="002C40FF">
      <w:pPr>
        <w:pStyle w:val="ListParagraph"/>
        <w:numPr>
          <w:ilvl w:val="2"/>
          <w:numId w:val="20"/>
        </w:numPr>
        <w:tabs>
          <w:tab w:val="left" w:pos="1084"/>
        </w:tabs>
        <w:spacing w:line="480" w:lineRule="auto"/>
        <w:ind w:left="1083"/>
        <w:rPr>
          <w:b/>
          <w:sz w:val="24"/>
        </w:rPr>
      </w:pPr>
      <w:r>
        <w:rPr>
          <w:b/>
          <w:bCs/>
          <w:sz w:val="24"/>
          <w:lang w:val="en"/>
        </w:rPr>
        <w:t>Non Serious Adverse Events (AE):</w:t>
      </w:r>
    </w:p>
    <w:p w:rsidR="00CD39A7" w:rsidRDefault="005B3809" w:rsidP="002C40FF">
      <w:pPr>
        <w:pStyle w:val="BodyText"/>
        <w:spacing w:line="480" w:lineRule="auto"/>
        <w:ind w:left="116" w:right="115"/>
        <w:jc w:val="both"/>
      </w:pPr>
      <w:r>
        <w:rPr>
          <w:lang w:val="en"/>
        </w:rPr>
        <w:t>Any adverse event considered non serious, according to the abovementioned definition, which occurs during or after the study must be reported in the appropriate section of the e-CRF.</w:t>
      </w:r>
    </w:p>
    <w:p w:rsidR="00CD39A7" w:rsidRDefault="005B3809" w:rsidP="002C40FF">
      <w:pPr>
        <w:pStyle w:val="BodyText"/>
        <w:spacing w:before="10" w:line="480" w:lineRule="auto"/>
        <w:ind w:left="116" w:right="116"/>
        <w:jc w:val="both"/>
      </w:pPr>
      <w:r>
        <w:rPr>
          <w:lang w:val="en"/>
        </w:rPr>
        <w:t>A single event must be reported per page. The event may correspond to a symptom, diagnosis, or an additional test result judged to be significant. All clinical or paraclinical elements to describe the corresponding should be reported.</w:t>
      </w:r>
    </w:p>
    <w:p w:rsidR="00CD39A7" w:rsidRDefault="005B3809" w:rsidP="00CA0FCB">
      <w:pPr>
        <w:pStyle w:val="Heading4"/>
        <w:numPr>
          <w:ilvl w:val="2"/>
          <w:numId w:val="20"/>
        </w:numPr>
        <w:tabs>
          <w:tab w:val="left" w:pos="1084"/>
        </w:tabs>
        <w:spacing w:before="240" w:after="120" w:line="480" w:lineRule="auto"/>
        <w:ind w:left="1083"/>
      </w:pPr>
      <w:r>
        <w:rPr>
          <w:lang w:val="en"/>
        </w:rPr>
        <w:t>Serious Adverse Events (SAE):</w:t>
      </w:r>
    </w:p>
    <w:p w:rsidR="00CD39A7" w:rsidRDefault="005B3809" w:rsidP="002C40FF">
      <w:pPr>
        <w:pStyle w:val="BodyText"/>
        <w:spacing w:line="480" w:lineRule="auto"/>
        <w:ind w:left="115" w:firstLine="708"/>
        <w:rPr>
          <w:i/>
        </w:rPr>
      </w:pPr>
      <w:r>
        <w:rPr>
          <w:lang w:val="en"/>
        </w:rPr>
        <w:t xml:space="preserve">Investigators must immediately, or as quickly as possible, report any of the </w:t>
      </w:r>
      <w:r>
        <w:rPr>
          <w:u w:val="single"/>
          <w:lang w:val="en"/>
        </w:rPr>
        <w:t>serious adverse events</w:t>
      </w:r>
      <w:r>
        <w:rPr>
          <w:lang w:val="en"/>
        </w:rPr>
        <w:t xml:space="preserve"> defined in the SAE grid </w:t>
      </w:r>
      <w:r>
        <w:rPr>
          <w:i/>
          <w:iCs/>
          <w:lang w:val="en"/>
        </w:rPr>
        <w:t>(see</w:t>
      </w:r>
      <w:r w:rsidR="001A16B5">
        <w:rPr>
          <w:i/>
          <w:iCs/>
          <w:lang w:val="en"/>
        </w:rPr>
        <w:t xml:space="preserve"> </w:t>
      </w:r>
      <w:r>
        <w:rPr>
          <w:i/>
          <w:iCs/>
          <w:lang w:val="en"/>
        </w:rPr>
        <w:t xml:space="preserve">Appendix VI) </w:t>
      </w:r>
      <w:r>
        <w:rPr>
          <w:lang w:val="en"/>
        </w:rPr>
        <w:t>to the AP-HP Sponsor.</w:t>
      </w:r>
    </w:p>
    <w:p w:rsidR="00CD39A7" w:rsidRDefault="005B3809" w:rsidP="002C40FF">
      <w:pPr>
        <w:pStyle w:val="BodyText"/>
        <w:spacing w:line="480" w:lineRule="auto"/>
        <w:ind w:left="115" w:right="116"/>
        <w:jc w:val="both"/>
      </w:pPr>
      <w:r>
        <w:rPr>
          <w:lang w:val="en"/>
        </w:rPr>
        <w:lastRenderedPageBreak/>
        <w:t xml:space="preserve">The investigator is to complete the SAE forms of the CRF, and send printed and signed copies to the Département à la Recherche Clinique et Développement (DRCD) (Department of Clinical Research and Development) by fax at 01 44 84 17 99 </w:t>
      </w:r>
      <w:r>
        <w:rPr>
          <w:u w:val="single"/>
          <w:lang w:val="en"/>
        </w:rPr>
        <w:t xml:space="preserve">within 48 hours </w:t>
      </w:r>
      <w:r>
        <w:rPr>
          <w:lang w:val="en"/>
        </w:rPr>
        <w:t>(if possible immediately followed by a phone call to 01 44</w:t>
      </w:r>
      <w:r w:rsidR="001A16B5">
        <w:rPr>
          <w:lang w:val="en"/>
        </w:rPr>
        <w:t xml:space="preserve"> </w:t>
      </w:r>
      <w:r>
        <w:rPr>
          <w:lang w:val="en"/>
        </w:rPr>
        <w:t>84 17 23 if the patient died or has a life-threatening condition).</w:t>
      </w:r>
    </w:p>
    <w:p w:rsidR="00CD39A7" w:rsidRDefault="005B3809" w:rsidP="002C40FF">
      <w:pPr>
        <w:pStyle w:val="BodyText"/>
        <w:spacing w:line="480" w:lineRule="auto"/>
        <w:ind w:left="116"/>
      </w:pPr>
      <w:r>
        <w:rPr>
          <w:lang w:val="en"/>
        </w:rPr>
        <w:t>The investigator must also inform the Clinical Research Associate responsible for the study of the occurrence of the SAE.</w:t>
      </w:r>
    </w:p>
    <w:p w:rsidR="00CD39A7" w:rsidRDefault="005B3809" w:rsidP="002C40FF">
      <w:pPr>
        <w:pStyle w:val="BodyText"/>
        <w:spacing w:before="130" w:line="480" w:lineRule="auto"/>
        <w:ind w:left="115"/>
      </w:pPr>
      <w:r>
        <w:rPr>
          <w:lang w:val="en"/>
        </w:rPr>
        <w:t xml:space="preserve">For each serious adverse event, the investigator must submit </w:t>
      </w:r>
      <w:r>
        <w:rPr>
          <w:u w:val="single"/>
          <w:lang w:val="en"/>
        </w:rPr>
        <w:t xml:space="preserve">one report </w:t>
      </w:r>
      <w:r>
        <w:rPr>
          <w:lang w:val="en"/>
        </w:rPr>
        <w:t>explaining the</w:t>
      </w:r>
      <w:r w:rsidR="001A16B5">
        <w:rPr>
          <w:lang w:val="en"/>
        </w:rPr>
        <w:t xml:space="preserve"> </w:t>
      </w:r>
      <w:r>
        <w:rPr>
          <w:lang w:val="en"/>
        </w:rPr>
        <w:t>causal link of the event with each experimental medication and any other treatments.</w:t>
      </w:r>
    </w:p>
    <w:p w:rsidR="00CD39A7" w:rsidRDefault="005B3809" w:rsidP="002C40FF">
      <w:pPr>
        <w:pStyle w:val="BodyText"/>
        <w:spacing w:before="10" w:line="480" w:lineRule="auto"/>
        <w:ind w:left="115" w:right="116"/>
        <w:jc w:val="both"/>
      </w:pPr>
      <w:r>
        <w:rPr>
          <w:lang w:val="en"/>
        </w:rPr>
        <w:t>It may be impossible to obtain information on the description and evaluation of an adverse event within the time allocated for the initial report.</w:t>
      </w:r>
    </w:p>
    <w:p w:rsidR="00CD39A7" w:rsidRDefault="005B3809" w:rsidP="002C40FF">
      <w:pPr>
        <w:pStyle w:val="BodyText"/>
        <w:spacing w:before="10" w:line="480" w:lineRule="auto"/>
        <w:ind w:left="116" w:right="116"/>
        <w:jc w:val="both"/>
      </w:pPr>
      <w:r>
        <w:rPr>
          <w:lang w:val="en"/>
        </w:rPr>
        <w:t>The investigator must also report the clinical progress of the patient, as well as the results of any clinical tests diagnostic test, and/or examinations, or other information required for an adequate analysis of causality:</w:t>
      </w:r>
    </w:p>
    <w:p w:rsidR="00CD39A7" w:rsidRDefault="005B3809" w:rsidP="000F1F9A">
      <w:pPr>
        <w:pStyle w:val="ListParagraph"/>
        <w:numPr>
          <w:ilvl w:val="0"/>
          <w:numId w:val="17"/>
        </w:numPr>
        <w:tabs>
          <w:tab w:val="left" w:pos="836"/>
        </w:tabs>
        <w:spacing w:before="10" w:line="480" w:lineRule="auto"/>
        <w:ind w:left="0" w:firstLine="142"/>
        <w:jc w:val="both"/>
        <w:rPr>
          <w:sz w:val="24"/>
        </w:rPr>
      </w:pPr>
      <w:r>
        <w:rPr>
          <w:sz w:val="24"/>
          <w:lang w:val="en"/>
        </w:rPr>
        <w:t>either in the initial SAE report (if the abovementioned information is immediately available),</w:t>
      </w:r>
    </w:p>
    <w:p w:rsidR="00CD39A7" w:rsidRDefault="005B3809" w:rsidP="000F1F9A">
      <w:pPr>
        <w:pStyle w:val="ListParagraph"/>
        <w:numPr>
          <w:ilvl w:val="0"/>
          <w:numId w:val="17"/>
        </w:numPr>
        <w:spacing w:before="80" w:line="480" w:lineRule="auto"/>
        <w:ind w:left="0" w:right="115" w:firstLine="142"/>
        <w:jc w:val="both"/>
        <w:rPr>
          <w:sz w:val="24"/>
        </w:rPr>
      </w:pPr>
      <w:r>
        <w:rPr>
          <w:sz w:val="24"/>
          <w:lang w:val="en"/>
        </w:rPr>
        <w:t>or as soon as possible, by completing and faxing a new SAE report (clearly identified as follow-up SAE report with the follow-up number).</w:t>
      </w:r>
    </w:p>
    <w:p w:rsidR="00CD39A7" w:rsidRDefault="005B3809" w:rsidP="00C74FD2">
      <w:pPr>
        <w:pStyle w:val="BodyText"/>
        <w:spacing w:before="240" w:line="480" w:lineRule="auto"/>
        <w:ind w:left="113"/>
        <w:jc w:val="both"/>
      </w:pPr>
      <w:r>
        <w:rPr>
          <w:lang w:val="en"/>
        </w:rPr>
        <w:t xml:space="preserve">All reports submitted by investigators must </w:t>
      </w:r>
      <w:r>
        <w:rPr>
          <w:u w:val="single"/>
          <w:lang w:val="en"/>
        </w:rPr>
        <w:t>identify each subject participating</w:t>
      </w:r>
      <w:r w:rsidR="009B0A1A">
        <w:t xml:space="preserve"> </w:t>
      </w:r>
      <w:r>
        <w:rPr>
          <w:u w:val="single"/>
          <w:lang w:val="en"/>
        </w:rPr>
        <w:t>in the study, using the unique patient identification code</w:t>
      </w:r>
      <w:r>
        <w:rPr>
          <w:lang w:val="en"/>
        </w:rPr>
        <w:t>.</w:t>
      </w:r>
    </w:p>
    <w:p w:rsidR="00CD39A7" w:rsidRDefault="005B3809" w:rsidP="002C40FF">
      <w:pPr>
        <w:pStyle w:val="BodyText"/>
        <w:spacing w:before="90" w:line="480" w:lineRule="auto"/>
        <w:ind w:left="113"/>
      </w:pPr>
      <w:r>
        <w:rPr>
          <w:u w:val="single"/>
          <w:lang w:val="en"/>
        </w:rPr>
        <w:t>In case of the death</w:t>
      </w:r>
      <w:r>
        <w:rPr>
          <w:lang w:val="en"/>
        </w:rPr>
        <w:t xml:space="preserve"> of a study subject, the investigator will provide</w:t>
      </w:r>
      <w:r w:rsidR="009B0A1A">
        <w:rPr>
          <w:lang w:val="en"/>
        </w:rPr>
        <w:t xml:space="preserve"> </w:t>
      </w:r>
      <w:r>
        <w:rPr>
          <w:lang w:val="en"/>
        </w:rPr>
        <w:t>any additional information requested by the Sponsor (hospitalization report, autopsy report, etc.).</w:t>
      </w:r>
    </w:p>
    <w:p w:rsidR="00CD39A7" w:rsidRDefault="005B3809" w:rsidP="0068438F">
      <w:pPr>
        <w:pStyle w:val="BodyText"/>
        <w:spacing w:before="240" w:line="480" w:lineRule="auto"/>
        <w:ind w:left="115"/>
      </w:pPr>
      <w:r>
        <w:rPr>
          <w:u w:val="single"/>
          <w:lang w:val="en"/>
        </w:rPr>
        <w:t xml:space="preserve">Any new information </w:t>
      </w:r>
      <w:r>
        <w:rPr>
          <w:lang w:val="en"/>
        </w:rPr>
        <w:t>discovered during this study or related to this study, originating from</w:t>
      </w:r>
    </w:p>
    <w:p w:rsidR="00CD39A7" w:rsidRDefault="005B3809" w:rsidP="002C40FF">
      <w:pPr>
        <w:pStyle w:val="BodyText"/>
        <w:spacing w:before="90" w:line="480" w:lineRule="auto"/>
        <w:ind w:left="115"/>
        <w:jc w:val="both"/>
      </w:pPr>
      <w:r>
        <w:rPr>
          <w:lang w:val="en"/>
        </w:rPr>
        <w:t>published data or ongoing research must be reported to the Sponsor.</w:t>
      </w:r>
    </w:p>
    <w:p w:rsidR="00CD39A7" w:rsidRDefault="005B3809" w:rsidP="004F56F6">
      <w:pPr>
        <w:pStyle w:val="ListParagraph"/>
        <w:numPr>
          <w:ilvl w:val="0"/>
          <w:numId w:val="16"/>
        </w:numPr>
        <w:spacing w:before="170" w:line="480" w:lineRule="auto"/>
        <w:ind w:left="284" w:hanging="142"/>
        <w:jc w:val="both"/>
        <w:rPr>
          <w:sz w:val="24"/>
        </w:rPr>
      </w:pPr>
      <w:r>
        <w:rPr>
          <w:sz w:val="24"/>
          <w:lang w:val="en"/>
        </w:rPr>
        <w:lastRenderedPageBreak/>
        <w:t>Reporting serious adverse events to Health Authorities</w:t>
      </w:r>
    </w:p>
    <w:p w:rsidR="00CD39A7" w:rsidRDefault="005B3809" w:rsidP="002C40FF">
      <w:pPr>
        <w:pStyle w:val="BodyText"/>
        <w:spacing w:line="480" w:lineRule="auto"/>
        <w:ind w:left="116" w:right="117"/>
        <w:jc w:val="both"/>
      </w:pPr>
      <w:r>
        <w:rPr>
          <w:lang w:val="en"/>
        </w:rPr>
        <w:t>The Pôle de Pharmacovigilance (Pharmacovigilance Unit) of the DRCD will be responsible for submitting this report after evaluating the seriousness of the adverse event, its causal link to each experimental drug and any other treatments, as well as the unexpected nature of the adverse event.</w:t>
      </w:r>
    </w:p>
    <w:p w:rsidR="00CD39A7" w:rsidRDefault="005B3809" w:rsidP="002C40FF">
      <w:pPr>
        <w:pStyle w:val="BodyText"/>
        <w:spacing w:before="130" w:line="480" w:lineRule="auto"/>
        <w:ind w:left="116" w:right="116"/>
        <w:jc w:val="both"/>
      </w:pPr>
      <w:r>
        <w:rPr>
          <w:lang w:val="en"/>
        </w:rPr>
        <w:t>Any suspicion of a serious unexpected adverse effect must be reported by the Sponsor to the competent authorities within the notification period required by law.</w:t>
      </w:r>
    </w:p>
    <w:p w:rsidR="00CD39A7" w:rsidRDefault="005B3809" w:rsidP="002C40FF">
      <w:pPr>
        <w:pStyle w:val="BodyText"/>
        <w:spacing w:before="130" w:line="480" w:lineRule="auto"/>
        <w:ind w:left="116" w:right="115"/>
        <w:jc w:val="both"/>
      </w:pPr>
      <w:r>
        <w:rPr>
          <w:lang w:val="en"/>
        </w:rPr>
        <w:t>Any safety-related data or new information that could significantly modify the evaluation of the benefits/risks ratio concerning the investigational medication or the study, or that could result in changes in administration of the investigational medication or the conduct of the study must be reported by the Sponsor to the competent authorities, the CPP, and the study investigators.</w:t>
      </w:r>
    </w:p>
    <w:p w:rsidR="00CD39A7" w:rsidRDefault="005B3809" w:rsidP="0026396B">
      <w:pPr>
        <w:pStyle w:val="Heading4"/>
        <w:numPr>
          <w:ilvl w:val="1"/>
          <w:numId w:val="20"/>
        </w:numPr>
        <w:tabs>
          <w:tab w:val="left" w:pos="476"/>
        </w:tabs>
        <w:spacing w:before="240" w:after="120" w:line="480" w:lineRule="auto"/>
        <w:ind w:left="476"/>
      </w:pPr>
      <w:bookmarkStart w:id="126" w:name="_bookmark144"/>
      <w:bookmarkStart w:id="127" w:name="8.4_Conduite_à_tenir_pendant_et_après_l'"/>
      <w:bookmarkEnd w:id="126"/>
      <w:bookmarkEnd w:id="127"/>
      <w:r>
        <w:rPr>
          <w:lang w:val="en"/>
        </w:rPr>
        <w:t>Procedures During and After the Study</w:t>
      </w:r>
    </w:p>
    <w:p w:rsidR="00CD39A7" w:rsidRDefault="005B3809" w:rsidP="002C40FF">
      <w:pPr>
        <w:pStyle w:val="BodyText"/>
        <w:spacing w:line="480" w:lineRule="auto"/>
        <w:ind w:left="115" w:right="178" w:firstLine="708"/>
      </w:pPr>
      <w:r>
        <w:rPr>
          <w:lang w:val="en"/>
        </w:rPr>
        <w:t>Any patient exhibiting an adverse event must be monitored until the event is resolved or stabilized.</w:t>
      </w:r>
    </w:p>
    <w:p w:rsidR="00CD39A7" w:rsidRDefault="005B3809" w:rsidP="002C40FF">
      <w:pPr>
        <w:pStyle w:val="ListParagraph"/>
        <w:numPr>
          <w:ilvl w:val="0"/>
          <w:numId w:val="16"/>
        </w:numPr>
        <w:tabs>
          <w:tab w:val="left" w:pos="296"/>
        </w:tabs>
        <w:spacing w:before="69" w:line="480" w:lineRule="auto"/>
        <w:ind w:right="118" w:firstLine="0"/>
        <w:jc w:val="both"/>
        <w:rPr>
          <w:sz w:val="24"/>
        </w:rPr>
      </w:pPr>
      <w:r>
        <w:rPr>
          <w:sz w:val="24"/>
          <w:lang w:val="en"/>
        </w:rPr>
        <w:t>If the event is not serious, its progress must be recorded on the applicable e-CRF page.</w:t>
      </w:r>
    </w:p>
    <w:p w:rsidR="00CD39A7" w:rsidRDefault="005B3809" w:rsidP="002C40FF">
      <w:pPr>
        <w:pStyle w:val="ListParagraph"/>
        <w:numPr>
          <w:ilvl w:val="0"/>
          <w:numId w:val="16"/>
        </w:numPr>
        <w:tabs>
          <w:tab w:val="left" w:pos="256"/>
        </w:tabs>
        <w:spacing w:before="9" w:line="480" w:lineRule="auto"/>
        <w:ind w:left="255" w:hanging="139"/>
        <w:jc w:val="both"/>
        <w:rPr>
          <w:sz w:val="24"/>
        </w:rPr>
      </w:pPr>
      <w:r>
        <w:rPr>
          <w:sz w:val="24"/>
          <w:lang w:val="en"/>
        </w:rPr>
        <w:t>If the effect is serious, an SAE report must be sent to the DRCD.</w:t>
      </w:r>
    </w:p>
    <w:p w:rsidR="00CD39A7" w:rsidRDefault="005B3809" w:rsidP="00E45428">
      <w:pPr>
        <w:pStyle w:val="BodyText"/>
        <w:spacing w:before="240" w:line="480" w:lineRule="auto"/>
        <w:ind w:left="115" w:right="115"/>
        <w:jc w:val="both"/>
      </w:pPr>
      <w:r>
        <w:rPr>
          <w:lang w:val="en"/>
        </w:rPr>
        <w:t>For the duration of the MAINRITSAN study, investigators are required to inform the Sponsor of the occurrence of an event of this nature (within 24 hours, if the event appeared over the course of the 24-month period of the study). The investigators will be required to complete the SAE report form provided within the initial study documents (protocol), also available on the GFEV website, on the e-CRF, or upon request from the sponsor or coordinating investigator. The study may be suspended for further investigation or interrupted, if serious adverse events are reported more in of the two treatment arms.</w:t>
      </w:r>
    </w:p>
    <w:p w:rsidR="00CD39A7" w:rsidRDefault="005B3809" w:rsidP="002C0F76">
      <w:pPr>
        <w:pStyle w:val="Heading1"/>
        <w:numPr>
          <w:ilvl w:val="0"/>
          <w:numId w:val="15"/>
        </w:numPr>
        <w:tabs>
          <w:tab w:val="left" w:pos="397"/>
        </w:tabs>
        <w:spacing w:before="360" w:line="480" w:lineRule="auto"/>
        <w:ind w:firstLine="0"/>
      </w:pPr>
      <w:bookmarkStart w:id="128" w:name="_bookmark145"/>
      <w:bookmarkStart w:id="129" w:name="9._ANALYSE_STATISTIQUE"/>
      <w:bookmarkEnd w:id="128"/>
      <w:bookmarkEnd w:id="129"/>
      <w:r>
        <w:rPr>
          <w:lang w:val="en"/>
        </w:rPr>
        <w:lastRenderedPageBreak/>
        <w:t>STATISTICAL ANALYSIS</w:t>
      </w:r>
    </w:p>
    <w:p w:rsidR="00CD39A7" w:rsidRDefault="005B3809" w:rsidP="002C0F76">
      <w:pPr>
        <w:pStyle w:val="BodyText"/>
        <w:spacing w:line="480" w:lineRule="auto"/>
        <w:ind w:left="115" w:right="115"/>
        <w:jc w:val="both"/>
      </w:pPr>
      <w:r>
        <w:rPr>
          <w:lang w:val="en"/>
        </w:rPr>
        <w:t>The statistical analysis will be performed at the Centre d’Epidémiologie Clinique [Centre for Clinical Epidemiology], Hôtel-Dieu Hospital in Paris, by Prof. Philippe Ravaud.</w:t>
      </w:r>
    </w:p>
    <w:p w:rsidR="00CD39A7" w:rsidRDefault="005B3809" w:rsidP="002C0F76">
      <w:pPr>
        <w:pStyle w:val="Heading4"/>
        <w:numPr>
          <w:ilvl w:val="1"/>
          <w:numId w:val="15"/>
        </w:numPr>
        <w:tabs>
          <w:tab w:val="left" w:pos="476"/>
        </w:tabs>
        <w:spacing w:before="240" w:after="120" w:line="480" w:lineRule="auto"/>
      </w:pPr>
      <w:bookmarkStart w:id="130" w:name="_bookmark146"/>
      <w:bookmarkStart w:id="131" w:name="9.1_Stratégie_d'analyse_des_données_et_m"/>
      <w:bookmarkEnd w:id="130"/>
      <w:bookmarkEnd w:id="131"/>
      <w:r>
        <w:rPr>
          <w:lang w:val="en"/>
        </w:rPr>
        <w:t>Data Analysis and Statistical Methods</w:t>
      </w:r>
    </w:p>
    <w:p w:rsidR="00CD39A7" w:rsidRDefault="005B3809" w:rsidP="002C0F76">
      <w:pPr>
        <w:pStyle w:val="BodyText"/>
        <w:spacing w:line="480" w:lineRule="auto"/>
        <w:ind w:left="115" w:right="115"/>
        <w:jc w:val="both"/>
      </w:pPr>
      <w:r>
        <w:rPr>
          <w:lang w:val="en"/>
        </w:rPr>
        <w:t>The study is conducted as an intent-to-treat analysis with per-protocol analysis. Data stratification is based on whether the disease is a first presentation of disease (2/3 of patients to be enrolled) or a relapse (1/3 of patients to be enrolled, based on the 30</w:t>
      </w:r>
      <w:r w:rsidR="006F55E6">
        <w:rPr>
          <w:lang w:val="en"/>
        </w:rPr>
        <w:t>–</w:t>
      </w:r>
      <w:r>
        <w:rPr>
          <w:lang w:val="en"/>
        </w:rPr>
        <w:t>50% rate of relapse normally observed with ANCA-associated vasculitis). The 2 treatment arms (Azathioprine vs Rituximab) will be compared using survival curves established from the date of start of maintenance therapy until the date of relapse. The difference will be estimated using the log-rank test.</w:t>
      </w:r>
    </w:p>
    <w:p w:rsidR="00CD39A7" w:rsidRDefault="005B3809" w:rsidP="00060458">
      <w:pPr>
        <w:pStyle w:val="BodyText"/>
        <w:spacing w:before="69" w:line="480" w:lineRule="auto"/>
        <w:ind w:left="115" w:right="116"/>
        <w:jc w:val="both"/>
      </w:pPr>
      <w:r>
        <w:rPr>
          <w:lang w:val="en"/>
        </w:rPr>
        <w:t xml:space="preserve">The primary endpoint is the maintenance of remission for 28 months after the start of maintenance therapy with Rituximab or Azathioprine (namely, 18 months of maintenance therapy and 10 months of follow-up after treatment discontinuation). The WEGENT study showed that 40% of patients who received Azathioprine had a relapse </w:t>
      </w:r>
      <w:r w:rsidRPr="00A374C7">
        <w:rPr>
          <w:u w:val="single"/>
          <w:lang w:val="en"/>
        </w:rPr>
        <w:t>in the 28 months</w:t>
      </w:r>
      <w:r>
        <w:rPr>
          <w:lang w:val="en"/>
        </w:rPr>
        <w:t xml:space="preserve"> that followed the onset of maintenance</w:t>
      </w:r>
      <w:r w:rsidR="00060458">
        <w:rPr>
          <w:lang w:val="en"/>
        </w:rPr>
        <w:t xml:space="preserve"> </w:t>
      </w:r>
      <w:r>
        <w:rPr>
          <w:lang w:val="en"/>
        </w:rPr>
        <w:t>therapy. In the Rituximab arm, the expected proportion of patients who will relapse is estimated at 15%, for a 25% reduction in the number of relapses.</w:t>
      </w:r>
    </w:p>
    <w:p w:rsidR="00CD39A7" w:rsidRDefault="005B3809" w:rsidP="00060458">
      <w:pPr>
        <w:pStyle w:val="Heading4"/>
        <w:numPr>
          <w:ilvl w:val="1"/>
          <w:numId w:val="15"/>
        </w:numPr>
        <w:tabs>
          <w:tab w:val="left" w:pos="476"/>
        </w:tabs>
        <w:spacing w:before="240" w:after="120" w:line="480" w:lineRule="auto"/>
      </w:pPr>
      <w:bookmarkStart w:id="132" w:name="_bookmark147"/>
      <w:bookmarkStart w:id="133" w:name="9.2_Nombre_de_patients_/_sujets_nécessai"/>
      <w:bookmarkEnd w:id="132"/>
      <w:bookmarkEnd w:id="133"/>
      <w:r>
        <w:rPr>
          <w:lang w:val="en"/>
        </w:rPr>
        <w:t>Required Sample</w:t>
      </w:r>
    </w:p>
    <w:p w:rsidR="00CD39A7" w:rsidRDefault="005B3809" w:rsidP="002C0F76">
      <w:pPr>
        <w:pStyle w:val="BodyText"/>
        <w:spacing w:before="1" w:line="480" w:lineRule="auto"/>
        <w:ind w:left="116" w:right="114"/>
        <w:jc w:val="both"/>
      </w:pPr>
      <w:r>
        <w:rPr>
          <w:lang w:val="en"/>
        </w:rPr>
        <w:t>Based on a two-sided statistical test with 80% power and an alpha level of 5%, 54 subjects per treatment arm will be required to carry out this analysis. Allowing for a 5% rate of patients lost to follow-up or excluded for protocol violation, 112 patients (56 in each arm) are required to be enrolled in the study.</w:t>
      </w:r>
    </w:p>
    <w:p w:rsidR="0049110E" w:rsidRDefault="005B3809" w:rsidP="002C0F76">
      <w:pPr>
        <w:pStyle w:val="BodyText"/>
        <w:spacing w:before="10" w:line="480" w:lineRule="auto"/>
        <w:ind w:left="116" w:right="116"/>
        <w:jc w:val="both"/>
        <w:rPr>
          <w:lang w:val="en"/>
        </w:rPr>
      </w:pPr>
      <w:r>
        <w:rPr>
          <w:lang w:val="en"/>
        </w:rPr>
        <w:t xml:space="preserve">An additional 6 patients will be enrolled over the total of 112 patients initially calculated. Therefore, a total of 118 patients will be enrolled, 59 in each treatment arm. </w:t>
      </w:r>
    </w:p>
    <w:p w:rsidR="00CD39A7" w:rsidRDefault="005B3809" w:rsidP="002C0F76">
      <w:pPr>
        <w:pStyle w:val="BodyText"/>
        <w:spacing w:before="10" w:line="480" w:lineRule="auto"/>
        <w:ind w:left="116" w:right="116"/>
        <w:jc w:val="both"/>
      </w:pPr>
      <w:r>
        <w:rPr>
          <w:lang w:val="en"/>
        </w:rPr>
        <w:lastRenderedPageBreak/>
        <w:t>(Amendment no. 6, April 2010).</w:t>
      </w:r>
    </w:p>
    <w:p w:rsidR="00CD39A7" w:rsidRDefault="005B3809" w:rsidP="0049110E">
      <w:pPr>
        <w:pStyle w:val="Heading4"/>
        <w:numPr>
          <w:ilvl w:val="1"/>
          <w:numId w:val="15"/>
        </w:numPr>
        <w:tabs>
          <w:tab w:val="left" w:pos="476"/>
        </w:tabs>
        <w:spacing w:before="240" w:after="120" w:line="480" w:lineRule="auto"/>
      </w:pPr>
      <w:bookmarkStart w:id="134" w:name="_bookmark148"/>
      <w:bookmarkStart w:id="135" w:name="9.3_Faisabilité"/>
      <w:bookmarkEnd w:id="134"/>
      <w:bookmarkEnd w:id="135"/>
      <w:r>
        <w:rPr>
          <w:lang w:val="en"/>
        </w:rPr>
        <w:t>Feasibility</w:t>
      </w:r>
    </w:p>
    <w:p w:rsidR="00CD39A7" w:rsidRDefault="005B3809" w:rsidP="002C0F76">
      <w:pPr>
        <w:pStyle w:val="BodyText"/>
        <w:spacing w:line="480" w:lineRule="auto"/>
        <w:ind w:left="115" w:right="116"/>
        <w:jc w:val="both"/>
      </w:pPr>
      <w:r>
        <w:rPr>
          <w:lang w:val="en"/>
        </w:rPr>
        <w:t>This objective could be achieved in less than 3 years, by mobilizing all centers that participated in the GFEV over its many years, as well as those identified as expertise and resource centers under the French National Plan on Rare Diseases and renowned scholarly associations (Société National Française de Médecine Interne, Société Française de Rhumatologie, Société de Néphrologie, Société de Pneumologie (French), Club Rhumatismes et Inflammation, etc.).</w:t>
      </w:r>
    </w:p>
    <w:p w:rsidR="00CD39A7" w:rsidRDefault="005B3809" w:rsidP="002C0F76">
      <w:pPr>
        <w:pStyle w:val="BodyText"/>
        <w:spacing w:before="9" w:line="480" w:lineRule="auto"/>
        <w:ind w:left="116" w:right="114"/>
        <w:jc w:val="both"/>
      </w:pPr>
      <w:r>
        <w:rPr>
          <w:lang w:val="en"/>
        </w:rPr>
        <w:t>The data collected in the course of the study will be recorded in electronic case report forms, (e-CRF CleanWEB) entered on-line after each visit by the study investigators of each</w:t>
      </w:r>
      <w:r w:rsidR="00C97CAF">
        <w:t xml:space="preserve"> </w:t>
      </w:r>
      <w:r w:rsidR="00C97CAF">
        <w:rPr>
          <w:lang w:val="en"/>
        </w:rPr>
        <w:t>center.</w:t>
      </w:r>
    </w:p>
    <w:p w:rsidR="00CD39A7" w:rsidRDefault="005B3809" w:rsidP="002C0F76">
      <w:pPr>
        <w:pStyle w:val="BodyText"/>
        <w:spacing w:before="69" w:line="480" w:lineRule="auto"/>
        <w:ind w:left="116" w:right="114"/>
        <w:jc w:val="both"/>
      </w:pPr>
      <w:r>
        <w:rPr>
          <w:lang w:val="en"/>
        </w:rPr>
        <w:t>These e-CRFs include various items already used in previous GFEV protocols, adapted specifically for this study. The access to the online e-CFR data collection forms will be restricted to study investigators via an access code and a personal password that is unique to each user. Each investigator will also have access to a specific profile allowing them (or not) to use selected system functions (read or display the data of the enrolled patient, or all study data, the option to update and validate by clinical research associates, etc.). The data will be stored on a secure server with encrypted data transfers and automatic internal backups on the server. The server (at AP-HP, Bessières) will host the Cleanweb information management software solution.</w:t>
      </w:r>
    </w:p>
    <w:p w:rsidR="00CD39A7" w:rsidRDefault="005B3809" w:rsidP="002C0F76">
      <w:pPr>
        <w:pStyle w:val="BodyText"/>
        <w:spacing w:before="129" w:line="480" w:lineRule="auto"/>
        <w:ind w:left="115" w:right="116"/>
        <w:jc w:val="both"/>
        <w:rPr>
          <w:lang w:val="en"/>
        </w:rPr>
      </w:pPr>
      <w:r>
        <w:rPr>
          <w:lang w:val="en"/>
        </w:rPr>
        <w:t>Two parties will have joint responsibility for patient data management and quality control: the Clinical Research Associates (CRA) of the Clinical Research Unit (CRU; Paris Centre) and the study investigators and collaborators of the Cochin Hospital (Medical Unit) under Prof. Guillevin.</w:t>
      </w:r>
    </w:p>
    <w:p w:rsidR="004F23CC" w:rsidRDefault="004F23CC" w:rsidP="002C0F76">
      <w:pPr>
        <w:pStyle w:val="BodyText"/>
        <w:spacing w:before="129" w:line="480" w:lineRule="auto"/>
        <w:ind w:left="115" w:right="116"/>
        <w:jc w:val="both"/>
      </w:pPr>
    </w:p>
    <w:p w:rsidR="00CD39A7" w:rsidRDefault="005B3809" w:rsidP="00587DFC">
      <w:pPr>
        <w:pStyle w:val="Heading4"/>
        <w:numPr>
          <w:ilvl w:val="1"/>
          <w:numId w:val="15"/>
        </w:numPr>
        <w:tabs>
          <w:tab w:val="left" w:pos="476"/>
        </w:tabs>
        <w:spacing w:before="240" w:after="120" w:line="480" w:lineRule="auto"/>
      </w:pPr>
      <w:r>
        <w:rPr>
          <w:lang w:val="en"/>
        </w:rPr>
        <w:lastRenderedPageBreak/>
        <w:t>Interim analysis</w:t>
      </w:r>
    </w:p>
    <w:p w:rsidR="00CD39A7" w:rsidRDefault="005B3809" w:rsidP="002C0F76">
      <w:pPr>
        <w:pStyle w:val="BodyText"/>
        <w:spacing w:line="480" w:lineRule="auto"/>
        <w:ind w:left="115" w:right="115"/>
        <w:jc w:val="both"/>
        <w:rPr>
          <w:sz w:val="26"/>
        </w:rPr>
      </w:pPr>
      <w:r>
        <w:rPr>
          <w:lang w:val="en"/>
        </w:rPr>
        <w:t>An interim analysis will be carried out after 50% of the total number of patients has been enrolled. This analysis would reveal any potential difference between the two study arms, which could, in the interests of patients, lead to to suspension of the study or protocol amendment. The results of this interim analysis will be presented to the Independent Monitoring Committee.</w:t>
      </w:r>
    </w:p>
    <w:p w:rsidR="00C97CAF" w:rsidRDefault="00C97CAF" w:rsidP="00BD15BF">
      <w:pPr>
        <w:pStyle w:val="Heading1"/>
        <w:numPr>
          <w:ilvl w:val="0"/>
          <w:numId w:val="15"/>
        </w:numPr>
        <w:tabs>
          <w:tab w:val="left" w:pos="539"/>
        </w:tabs>
        <w:spacing w:before="360" w:line="480" w:lineRule="auto"/>
        <w:ind w:firstLine="26"/>
      </w:pPr>
      <w:bookmarkStart w:id="136" w:name="_bookmark149"/>
      <w:bookmarkStart w:id="137" w:name="10._DROIT_D'ACCES_AUX_DONNEES_ET_DOCUMEN"/>
      <w:bookmarkEnd w:id="136"/>
      <w:bookmarkEnd w:id="137"/>
      <w:r>
        <w:rPr>
          <w:lang w:val="en"/>
        </w:rPr>
        <w:t>ACCESS RIGHTS TO THE SOURCE DATA AND DOCUMENTS</w:t>
      </w:r>
    </w:p>
    <w:p w:rsidR="00CD39A7" w:rsidRDefault="005B3809" w:rsidP="00BD15BF">
      <w:pPr>
        <w:pStyle w:val="BodyText"/>
        <w:spacing w:line="480" w:lineRule="auto"/>
        <w:ind w:left="115" w:right="114"/>
        <w:jc w:val="both"/>
      </w:pPr>
      <w:r>
        <w:rPr>
          <w:lang w:val="en"/>
        </w:rPr>
        <w:t>The persons granted direct access to the source data and documents in accordance with the current laws and regulations, namely Articles L.1121-3 and R.5121-13 of the French Public Health Code (e.g., investigators, personnel in charge of quality control, monitors, clinical research assistants, auditors and any other personnel called on to take part in this study), must take all precautions necessary to maintain the confidentiality of any information related to the investigational medications, the assessments, and the study participants, notably their identity and the results obtained. Therefore, the data collected by these individuals for quality control or audits will remain anonymous.</w:t>
      </w:r>
    </w:p>
    <w:p w:rsidR="00CD39A7" w:rsidRDefault="005B3809" w:rsidP="00AC659B">
      <w:pPr>
        <w:pStyle w:val="Heading1"/>
        <w:numPr>
          <w:ilvl w:val="0"/>
          <w:numId w:val="15"/>
        </w:numPr>
        <w:tabs>
          <w:tab w:val="left" w:pos="539"/>
        </w:tabs>
        <w:spacing w:line="480" w:lineRule="auto"/>
        <w:ind w:left="538" w:hanging="422"/>
      </w:pPr>
      <w:bookmarkStart w:id="138" w:name="_bookmark150"/>
      <w:bookmarkStart w:id="139" w:name="11._CONTROLE_ET_ASSURANCE_DE_LA_QUALITE"/>
      <w:bookmarkEnd w:id="138"/>
      <w:bookmarkEnd w:id="139"/>
      <w:r>
        <w:rPr>
          <w:lang w:val="en"/>
        </w:rPr>
        <w:t>QUALITY CONTROL AND ASSURANCE</w:t>
      </w:r>
    </w:p>
    <w:p w:rsidR="00CD39A7" w:rsidRDefault="005B3809" w:rsidP="00AC659B">
      <w:pPr>
        <w:pStyle w:val="BodyText"/>
        <w:spacing w:line="480" w:lineRule="auto"/>
        <w:ind w:left="113"/>
        <w:jc w:val="both"/>
      </w:pPr>
      <w:r>
        <w:rPr>
          <w:lang w:val="en"/>
        </w:rPr>
        <w:t>The research will be supervised in accordance with the Sponsor's standard operating procedures.</w:t>
      </w:r>
    </w:p>
    <w:p w:rsidR="00CD39A7" w:rsidRDefault="005B3809" w:rsidP="00AC659B">
      <w:pPr>
        <w:pStyle w:val="BodyText"/>
        <w:spacing w:line="480" w:lineRule="auto"/>
        <w:ind w:left="116" w:right="261"/>
        <w:jc w:val="both"/>
      </w:pPr>
      <w:r>
        <w:rPr>
          <w:lang w:val="en"/>
        </w:rPr>
        <w:t>The conduct of the research at the study sites and patient care will be carried out in accordance with the current Declaration of Helsinki and current Good Clinical Practice (GCP).</w:t>
      </w:r>
    </w:p>
    <w:p w:rsidR="00CD39A7" w:rsidRDefault="005B3809" w:rsidP="00AC659B">
      <w:pPr>
        <w:pStyle w:val="Heading4"/>
        <w:numPr>
          <w:ilvl w:val="1"/>
          <w:numId w:val="15"/>
        </w:numPr>
        <w:tabs>
          <w:tab w:val="left" w:pos="596"/>
        </w:tabs>
        <w:spacing w:before="240" w:after="120" w:line="480" w:lineRule="auto"/>
        <w:ind w:left="596" w:hanging="480"/>
      </w:pPr>
      <w:bookmarkStart w:id="140" w:name="_bookmark151"/>
      <w:bookmarkStart w:id="141" w:name="11.1_Procédures_de_monitoring"/>
      <w:bookmarkEnd w:id="140"/>
      <w:bookmarkEnd w:id="141"/>
      <w:r>
        <w:rPr>
          <w:lang w:val="en"/>
        </w:rPr>
        <w:t>Monitoring Procedures</w:t>
      </w:r>
    </w:p>
    <w:p w:rsidR="00CD39A7" w:rsidRDefault="005B3809" w:rsidP="00AC659B">
      <w:pPr>
        <w:pStyle w:val="BodyText"/>
        <w:spacing w:line="480" w:lineRule="auto"/>
        <w:ind w:left="116"/>
        <w:jc w:val="both"/>
      </w:pPr>
      <w:r>
        <w:rPr>
          <w:lang w:val="en"/>
        </w:rPr>
        <w:t>The MAINRITSAN study presents a risk level of D.</w:t>
      </w:r>
    </w:p>
    <w:p w:rsidR="00CD39A7" w:rsidRDefault="005B3809" w:rsidP="00183921">
      <w:pPr>
        <w:pStyle w:val="BodyText"/>
        <w:spacing w:line="480" w:lineRule="auto"/>
        <w:ind w:left="142"/>
        <w:jc w:val="both"/>
      </w:pPr>
      <w:r>
        <w:rPr>
          <w:lang w:val="en"/>
        </w:rPr>
        <w:t>The corresponding level of monitoring is as follows:</w:t>
      </w:r>
    </w:p>
    <w:p w:rsidR="00CD39A7" w:rsidRDefault="005B3809" w:rsidP="00AC659B">
      <w:pPr>
        <w:pStyle w:val="ListParagraph"/>
        <w:numPr>
          <w:ilvl w:val="2"/>
          <w:numId w:val="15"/>
        </w:numPr>
        <w:tabs>
          <w:tab w:val="left" w:pos="835"/>
          <w:tab w:val="left" w:pos="836"/>
        </w:tabs>
        <w:spacing w:before="1" w:line="480" w:lineRule="auto"/>
        <w:ind w:right="258"/>
        <w:rPr>
          <w:sz w:val="24"/>
        </w:rPr>
      </w:pPr>
      <w:r>
        <w:rPr>
          <w:sz w:val="24"/>
          <w:lang w:val="en"/>
        </w:rPr>
        <w:lastRenderedPageBreak/>
        <w:t>Baseline monitoring: source documents, inclusion criteria, exclusion criteria, primary endpoint, adverse events, treatments</w:t>
      </w:r>
    </w:p>
    <w:p w:rsidR="00CD39A7" w:rsidRDefault="005B3809" w:rsidP="00AC659B">
      <w:pPr>
        <w:pStyle w:val="ListParagraph"/>
        <w:numPr>
          <w:ilvl w:val="2"/>
          <w:numId w:val="15"/>
        </w:numPr>
        <w:tabs>
          <w:tab w:val="left" w:pos="835"/>
          <w:tab w:val="left" w:pos="836"/>
        </w:tabs>
        <w:spacing w:before="72" w:line="480" w:lineRule="auto"/>
        <w:rPr>
          <w:sz w:val="24"/>
        </w:rPr>
      </w:pPr>
      <w:r>
        <w:rPr>
          <w:sz w:val="24"/>
          <w:lang w:val="en"/>
        </w:rPr>
        <w:t>Verification of informed consent</w:t>
      </w:r>
    </w:p>
    <w:p w:rsidR="00CD39A7" w:rsidRDefault="005B3809" w:rsidP="00AC659B">
      <w:pPr>
        <w:pStyle w:val="ListParagraph"/>
        <w:numPr>
          <w:ilvl w:val="2"/>
          <w:numId w:val="15"/>
        </w:numPr>
        <w:tabs>
          <w:tab w:val="left" w:pos="835"/>
          <w:tab w:val="left" w:pos="836"/>
        </w:tabs>
        <w:spacing w:before="258" w:line="480" w:lineRule="auto"/>
        <w:rPr>
          <w:sz w:val="24"/>
        </w:rPr>
      </w:pPr>
      <w:r>
        <w:rPr>
          <w:sz w:val="24"/>
          <w:lang w:val="en"/>
        </w:rPr>
        <w:t>Monitoring of SAEs, tolerance and new cases</w:t>
      </w:r>
    </w:p>
    <w:p w:rsidR="00CD39A7" w:rsidRDefault="005B3809" w:rsidP="00AC659B">
      <w:pPr>
        <w:pStyle w:val="BodyText"/>
        <w:spacing w:before="69" w:line="480" w:lineRule="auto"/>
        <w:ind w:left="115" w:right="114"/>
        <w:jc w:val="both"/>
      </w:pPr>
      <w:r>
        <w:rPr>
          <w:lang w:val="en"/>
        </w:rPr>
        <w:t>The clinical research associates representing the Sponsor will visit the study sites according to the schedule described in the protocol, the number of patients enrolled at each center, and the risk level assigned to the study.</w:t>
      </w:r>
    </w:p>
    <w:p w:rsidR="00CD39A7" w:rsidRDefault="005B3809" w:rsidP="00BD73BD">
      <w:pPr>
        <w:pStyle w:val="ListParagraph"/>
        <w:numPr>
          <w:ilvl w:val="0"/>
          <w:numId w:val="16"/>
        </w:numPr>
        <w:tabs>
          <w:tab w:val="left" w:pos="308"/>
        </w:tabs>
        <w:spacing w:before="240" w:line="480" w:lineRule="auto"/>
        <w:ind w:right="117" w:firstLine="0"/>
        <w:jc w:val="both"/>
        <w:rPr>
          <w:sz w:val="24"/>
        </w:rPr>
      </w:pPr>
      <w:r>
        <w:rPr>
          <w:sz w:val="24"/>
          <w:lang w:val="en"/>
        </w:rPr>
        <w:t>Initiation visit at each center: To implement the protocol and to become acquainted with the various parties in biomedical research.</w:t>
      </w:r>
    </w:p>
    <w:p w:rsidR="00CD39A7" w:rsidRDefault="005B3809" w:rsidP="00AC659B">
      <w:pPr>
        <w:pStyle w:val="BodyText"/>
        <w:spacing w:before="9" w:line="480" w:lineRule="auto"/>
        <w:ind w:left="116" w:right="117"/>
        <w:jc w:val="both"/>
      </w:pPr>
      <w:r>
        <w:rPr>
          <w:lang w:val="en"/>
        </w:rPr>
        <w:t>The centers likely to start enrolling patients first will be initiated before patient enrollments begin. As the study progresses, other centers will be opened after the enrollment of the first patient.</w:t>
      </w:r>
    </w:p>
    <w:p w:rsidR="00CD39A7" w:rsidRDefault="005B3809" w:rsidP="00DB0E62">
      <w:pPr>
        <w:pStyle w:val="ListParagraph"/>
        <w:numPr>
          <w:ilvl w:val="0"/>
          <w:numId w:val="16"/>
        </w:numPr>
        <w:tabs>
          <w:tab w:val="left" w:pos="294"/>
        </w:tabs>
        <w:spacing w:before="240" w:line="480" w:lineRule="auto"/>
        <w:ind w:right="115" w:firstLine="0"/>
        <w:jc w:val="both"/>
        <w:rPr>
          <w:sz w:val="24"/>
        </w:rPr>
      </w:pPr>
      <w:r>
        <w:rPr>
          <w:sz w:val="24"/>
          <w:lang w:val="en"/>
        </w:rPr>
        <w:t>During subsequent visits, the clinical research associates will review the e-CRFs periodically as the study progresses (at a minimum, one monitoring visit after visit M12 and one after visit M24 at each center). The lead investigator at each center as well as other investigators recruiting patients or responsible for the follow-up of the patients participating in the study, will meet the clinical research associates at regular intervals.</w:t>
      </w:r>
    </w:p>
    <w:p w:rsidR="00CD39A7" w:rsidRDefault="005B3809" w:rsidP="00AC659B">
      <w:pPr>
        <w:pStyle w:val="BodyText"/>
        <w:spacing w:before="9" w:line="480" w:lineRule="auto"/>
        <w:ind w:left="116" w:right="116"/>
        <w:jc w:val="both"/>
      </w:pPr>
      <w:r>
        <w:rPr>
          <w:lang w:val="en"/>
        </w:rPr>
        <w:t>The following items will be reviewed during these on-site visits, in accordance with the Good Clinical Practice (GCP):</w:t>
      </w:r>
    </w:p>
    <w:p w:rsidR="00CD39A7" w:rsidRDefault="005B3809" w:rsidP="00AC659B">
      <w:pPr>
        <w:pStyle w:val="ListParagraph"/>
        <w:numPr>
          <w:ilvl w:val="1"/>
          <w:numId w:val="16"/>
        </w:numPr>
        <w:tabs>
          <w:tab w:val="left" w:pos="835"/>
          <w:tab w:val="left" w:pos="836"/>
        </w:tabs>
        <w:spacing w:before="11" w:line="480" w:lineRule="auto"/>
        <w:rPr>
          <w:sz w:val="24"/>
        </w:rPr>
      </w:pPr>
      <w:r>
        <w:rPr>
          <w:sz w:val="24"/>
          <w:lang w:val="en"/>
        </w:rPr>
        <w:t>Compliance with the protocol and the procedures defined for this study,</w:t>
      </w:r>
    </w:p>
    <w:p w:rsidR="00CD39A7" w:rsidRDefault="005B3809" w:rsidP="00AC659B">
      <w:pPr>
        <w:pStyle w:val="ListParagraph"/>
        <w:numPr>
          <w:ilvl w:val="1"/>
          <w:numId w:val="16"/>
        </w:numPr>
        <w:tabs>
          <w:tab w:val="left" w:pos="835"/>
          <w:tab w:val="left" w:pos="836"/>
        </w:tabs>
        <w:spacing w:line="480" w:lineRule="auto"/>
        <w:rPr>
          <w:sz w:val="24"/>
        </w:rPr>
      </w:pPr>
      <w:r>
        <w:rPr>
          <w:sz w:val="24"/>
          <w:lang w:val="en"/>
        </w:rPr>
        <w:t>Verification of patients’ informed consent forms,</w:t>
      </w:r>
    </w:p>
    <w:p w:rsidR="00CD39A7" w:rsidRDefault="005B3809" w:rsidP="00AC659B">
      <w:pPr>
        <w:pStyle w:val="ListParagraph"/>
        <w:numPr>
          <w:ilvl w:val="1"/>
          <w:numId w:val="16"/>
        </w:numPr>
        <w:tabs>
          <w:tab w:val="left" w:pos="836"/>
        </w:tabs>
        <w:spacing w:line="480" w:lineRule="auto"/>
        <w:ind w:right="117"/>
        <w:jc w:val="both"/>
        <w:rPr>
          <w:sz w:val="24"/>
        </w:rPr>
      </w:pPr>
      <w:r>
        <w:rPr>
          <w:sz w:val="24"/>
          <w:lang w:val="en"/>
        </w:rPr>
        <w:t xml:space="preserve">Review of the source documents and comparison with the data reported in the e-CRFs with respect to accuracy, missing data and data consistency, in accordance with the rules established by the Département à la Recherche Clinique et Développement </w:t>
      </w:r>
      <w:r>
        <w:rPr>
          <w:sz w:val="24"/>
          <w:lang w:val="en"/>
        </w:rPr>
        <w:lastRenderedPageBreak/>
        <w:t>(DRCD) (Department of Clinical Research and Development).</w:t>
      </w:r>
    </w:p>
    <w:p w:rsidR="00CD39A7" w:rsidRDefault="005B3809" w:rsidP="00E5122C">
      <w:pPr>
        <w:pStyle w:val="ListParagraph"/>
        <w:numPr>
          <w:ilvl w:val="0"/>
          <w:numId w:val="16"/>
        </w:numPr>
        <w:tabs>
          <w:tab w:val="left" w:pos="301"/>
        </w:tabs>
        <w:spacing w:before="240" w:line="480" w:lineRule="auto"/>
        <w:ind w:right="114" w:firstLine="0"/>
        <w:jc w:val="both"/>
        <w:rPr>
          <w:sz w:val="24"/>
        </w:rPr>
      </w:pPr>
      <w:r>
        <w:rPr>
          <w:sz w:val="24"/>
          <w:lang w:val="en"/>
        </w:rPr>
        <w:t>Close-out visit (after the data freeze, a few months after visit M28): Collection of e-CRFs, biomedical research documents, archiving.</w:t>
      </w:r>
    </w:p>
    <w:p w:rsidR="00CD39A7" w:rsidRDefault="005B3809" w:rsidP="002F77FA">
      <w:pPr>
        <w:pStyle w:val="Heading4"/>
        <w:numPr>
          <w:ilvl w:val="1"/>
          <w:numId w:val="15"/>
        </w:numPr>
        <w:tabs>
          <w:tab w:val="left" w:pos="596"/>
        </w:tabs>
        <w:spacing w:before="240" w:after="120" w:line="480" w:lineRule="auto"/>
        <w:ind w:left="596" w:hanging="480"/>
      </w:pPr>
      <w:bookmarkStart w:id="142" w:name="_bookmark152"/>
      <w:bookmarkStart w:id="143" w:name="11.2_Transcription_des_données_dans_le_c"/>
      <w:bookmarkEnd w:id="142"/>
      <w:bookmarkEnd w:id="143"/>
      <w:r>
        <w:rPr>
          <w:lang w:val="en"/>
        </w:rPr>
        <w:t>Data Entry in the Electronic Case Report Form</w:t>
      </w:r>
    </w:p>
    <w:p w:rsidR="00CD39A7" w:rsidRDefault="005B3809" w:rsidP="00AC659B">
      <w:pPr>
        <w:pStyle w:val="BodyText"/>
        <w:spacing w:line="480" w:lineRule="auto"/>
        <w:ind w:left="115" w:right="115"/>
        <w:jc w:val="both"/>
      </w:pPr>
      <w:r>
        <w:rPr>
          <w:lang w:val="en"/>
        </w:rPr>
        <w:t>The information required by the protocol must be entered into the electronic case report form (e-CRFs). Each missing data item requires an explanation from the investigator.</w:t>
      </w:r>
    </w:p>
    <w:p w:rsidR="00CD39A7" w:rsidRDefault="005B3809" w:rsidP="00AC659B">
      <w:pPr>
        <w:pStyle w:val="BodyText"/>
        <w:spacing w:before="10" w:line="480" w:lineRule="auto"/>
        <w:ind w:left="116" w:right="114"/>
        <w:jc w:val="both"/>
      </w:pPr>
      <w:r>
        <w:rPr>
          <w:lang w:val="en"/>
        </w:rPr>
        <w:t>The data must be entered in the e-CRF as soon as they are obtained, whether they are clinical or the result of diagnostic tests.</w:t>
      </w:r>
    </w:p>
    <w:p w:rsidR="00CD39A7" w:rsidRDefault="005B3809" w:rsidP="00AC659B">
      <w:pPr>
        <w:pStyle w:val="BodyText"/>
        <w:spacing w:before="10" w:line="480" w:lineRule="auto"/>
        <w:ind w:left="116" w:right="116"/>
        <w:jc w:val="both"/>
      </w:pPr>
      <w:r>
        <w:rPr>
          <w:lang w:val="en"/>
        </w:rPr>
        <w:t>Anonymity of subjects will be assured using an 8-digit numerical code, including the first letter of the last name and the first letter of the first name of the study participant. This number will be used on all necessary documents. Anonymity will also be ensured by appropriate deleting of the personal data appearing on copies of source documents intended as research documents. The data converted to a digital file will be declared to the Commission Nationale de l'Informatique et des Libertés (CNIL) (National Commission for Data Protection and Liberties), in accordance with the adapted procedure.</w:t>
      </w:r>
    </w:p>
    <w:p w:rsidR="00CD39A7" w:rsidRDefault="005B3809" w:rsidP="00AC659B">
      <w:pPr>
        <w:pStyle w:val="BodyText"/>
        <w:spacing w:before="1" w:line="480" w:lineRule="auto"/>
        <w:ind w:left="116" w:right="113"/>
        <w:jc w:val="both"/>
      </w:pPr>
      <w:r>
        <w:rPr>
          <w:lang w:val="en"/>
        </w:rPr>
        <w:t>The data collected in the course of the study are recorded in an electronic case report form (e-CRF) after each online visit by the study investigators of each center. These e-CRFs include various items already used in previous GFEV protocols (printed standard CRFs like the one used for the CHUSPAN2 protocol) and adapted specifically for this study. The access to the online e-CFR data collection forms will be restricted. The study investigators will use an access code and a personal password that is unique for each user. Each investigator will also have access to a specific profile allowing them (or not) to use selected system functions (read or display the data of the enrolled patient, or all study data, the option to update and validate by clinical research associates, etc.). The data will be stored on a secure server offering encrypted data</w:t>
      </w:r>
      <w:r w:rsidR="00C97CAF">
        <w:t xml:space="preserve"> </w:t>
      </w:r>
      <w:r w:rsidR="00C97CAF">
        <w:rPr>
          <w:lang w:val="en"/>
        </w:rPr>
        <w:t>transfers and automatic internal backups on the server.</w:t>
      </w:r>
    </w:p>
    <w:p w:rsidR="00CD39A7" w:rsidRDefault="005B3809" w:rsidP="00AC659B">
      <w:pPr>
        <w:pStyle w:val="BodyText"/>
        <w:spacing w:before="69" w:line="480" w:lineRule="auto"/>
        <w:ind w:left="115" w:right="113"/>
        <w:jc w:val="both"/>
      </w:pPr>
      <w:r>
        <w:rPr>
          <w:lang w:val="en"/>
        </w:rPr>
        <w:lastRenderedPageBreak/>
        <w:t>The server (at AP-HP, Bessières) will host the Cleanweb information management software solution. Two parties will have joint responsibility for patient data management and quality control: the Clinical Research Associates (CRA) of the Clinical Research Unit (CRU; Paris Centre) and the study investigators and collaborators of the Cochin Hospital (Medical Unit) under Prof. Guillevin. The patients will complete two questionnaires (SF36 on quality of life and the physical self-maintenance scale HAQ) at visits D1, M3, M6, M9, M12, M15, M18, M21, M24 and M28. Copies of these questionnaires will be available in the patient booklets especially designed for that purpose. After each visit, the patients will return their booklet to the management center (URC Paris Centre), using the envelopes provided in the booklet.</w:t>
      </w:r>
    </w:p>
    <w:p w:rsidR="00CD39A7" w:rsidRDefault="005B3809" w:rsidP="005B3B28">
      <w:pPr>
        <w:pStyle w:val="Heading1"/>
        <w:numPr>
          <w:ilvl w:val="0"/>
          <w:numId w:val="15"/>
        </w:numPr>
        <w:tabs>
          <w:tab w:val="left" w:pos="539"/>
        </w:tabs>
        <w:spacing w:before="360" w:line="480" w:lineRule="auto"/>
        <w:ind w:left="538" w:hanging="422"/>
      </w:pPr>
      <w:bookmarkStart w:id="144" w:name="_bookmark153"/>
      <w:bookmarkStart w:id="145" w:name="12._CONSIDERATIONS_ETHIQUES"/>
      <w:bookmarkEnd w:id="144"/>
      <w:bookmarkEnd w:id="145"/>
      <w:r>
        <w:rPr>
          <w:lang w:val="en"/>
        </w:rPr>
        <w:t>ETHICAL CONSIDERATIONS</w:t>
      </w:r>
    </w:p>
    <w:p w:rsidR="00CD39A7" w:rsidRDefault="005B3809" w:rsidP="005B3B28">
      <w:pPr>
        <w:spacing w:line="480" w:lineRule="auto"/>
        <w:ind w:left="116" w:right="115"/>
        <w:jc w:val="both"/>
        <w:rPr>
          <w:i/>
          <w:sz w:val="24"/>
        </w:rPr>
      </w:pPr>
      <w:r>
        <w:rPr>
          <w:i/>
          <w:iCs/>
          <w:sz w:val="24"/>
          <w:lang w:val="en"/>
        </w:rPr>
        <w:t>The Sponsor is defined by Law 2004-806 of August 9, 2004. For this study, the AP-HP is the Sponsor and the Department of Clinical Research and Development (DRCD) is responsible for the regulatory tasks.</w:t>
      </w:r>
    </w:p>
    <w:p w:rsidR="00CD39A7" w:rsidRDefault="005B3809" w:rsidP="005B3B28">
      <w:pPr>
        <w:pStyle w:val="BodyText"/>
        <w:spacing w:line="480" w:lineRule="auto"/>
        <w:ind w:left="115" w:right="116"/>
        <w:jc w:val="both"/>
      </w:pPr>
      <w:r>
        <w:rPr>
          <w:lang w:val="en"/>
        </w:rPr>
        <w:t xml:space="preserve">Before initiating a study, each investigator must give the sponsor representative a copy of his/her personal curriculum vitæ, dated and signed, and </w:t>
      </w:r>
      <w:r>
        <w:rPr>
          <w:u w:val="single"/>
          <w:lang w:val="en"/>
        </w:rPr>
        <w:t>including his/her registration number at the National Board of Physicians.</w:t>
      </w:r>
    </w:p>
    <w:p w:rsidR="00CD39A7" w:rsidRDefault="005B3809" w:rsidP="005B3B28">
      <w:pPr>
        <w:pStyle w:val="Heading4"/>
        <w:numPr>
          <w:ilvl w:val="1"/>
          <w:numId w:val="15"/>
        </w:numPr>
        <w:tabs>
          <w:tab w:val="left" w:pos="596"/>
        </w:tabs>
        <w:spacing w:before="240" w:after="120" w:line="480" w:lineRule="auto"/>
        <w:ind w:left="596" w:hanging="480"/>
      </w:pPr>
      <w:bookmarkStart w:id="146" w:name="_bookmark154"/>
      <w:bookmarkStart w:id="147" w:name="12.1_Demande_d’autorisation_auprès_de_l’"/>
      <w:bookmarkEnd w:id="146"/>
      <w:bookmarkEnd w:id="147"/>
      <w:r>
        <w:rPr>
          <w:lang w:val="en"/>
        </w:rPr>
        <w:t>Application for AFSSAPS Authorization</w:t>
      </w:r>
    </w:p>
    <w:p w:rsidR="00CD39A7" w:rsidRDefault="005B3809" w:rsidP="004B1DC1">
      <w:pPr>
        <w:pStyle w:val="BodyText"/>
        <w:spacing w:line="480" w:lineRule="auto"/>
        <w:ind w:left="116" w:right="113"/>
        <w:jc w:val="both"/>
      </w:pPr>
      <w:r>
        <w:rPr>
          <w:lang w:val="en"/>
        </w:rPr>
        <w:t>To be able to initiate the study, both the AP-HP and the Sponsor must submit an Authorization Request file to AFSSAPS, the relevant authority. The authority, defined in Article L. 1123-12, is responsible for making decisions regarding the safety of the participants in a biomedical study, specifically that the safety and quality of the products</w:t>
      </w:r>
      <w:r w:rsidR="00AD17A3">
        <w:t xml:space="preserve"> </w:t>
      </w:r>
      <w:r w:rsidR="00AD17A3">
        <w:rPr>
          <w:lang w:val="en"/>
        </w:rPr>
        <w:t>used during the</w:t>
      </w:r>
      <w:r w:rsidR="004B1DC1">
        <w:rPr>
          <w:lang w:val="en"/>
        </w:rPr>
        <w:t xml:space="preserve"> </w:t>
      </w:r>
      <w:r>
        <w:rPr>
          <w:lang w:val="en"/>
        </w:rPr>
        <w:t>study are in accordance with the current reference standards, their condition of clinical use and patient safety with respect to the procedures performed and methods used, as well as the arrangements made for patient follow-up.</w:t>
      </w:r>
    </w:p>
    <w:p w:rsidR="00CD39A7" w:rsidRPr="004961CE" w:rsidRDefault="005B3809" w:rsidP="001D31CF">
      <w:pPr>
        <w:pStyle w:val="Heading4"/>
        <w:numPr>
          <w:ilvl w:val="1"/>
          <w:numId w:val="15"/>
        </w:numPr>
        <w:tabs>
          <w:tab w:val="left" w:pos="596"/>
        </w:tabs>
        <w:spacing w:before="240" w:after="120" w:line="480" w:lineRule="auto"/>
        <w:ind w:left="596" w:hanging="480"/>
        <w:rPr>
          <w:lang w:val="fr-CA"/>
        </w:rPr>
      </w:pPr>
      <w:bookmarkStart w:id="148" w:name="_bookmark155"/>
      <w:bookmarkStart w:id="149" w:name="12.2_Demande_d’avis_au_Comité_de_Protect"/>
      <w:bookmarkEnd w:id="148"/>
      <w:bookmarkEnd w:id="149"/>
      <w:r w:rsidRPr="004961CE">
        <w:rPr>
          <w:lang w:val="fr-CA"/>
        </w:rPr>
        <w:lastRenderedPageBreak/>
        <w:t>Opinion Request to the Comité de Protection des Personnes (CPP)</w:t>
      </w:r>
    </w:p>
    <w:p w:rsidR="00CD39A7" w:rsidRDefault="005B3809" w:rsidP="005B3B28">
      <w:pPr>
        <w:pStyle w:val="BodyText"/>
        <w:spacing w:line="480" w:lineRule="auto"/>
        <w:ind w:left="116" w:right="116"/>
        <w:jc w:val="both"/>
      </w:pPr>
      <w:r>
        <w:rPr>
          <w:lang w:val="en"/>
        </w:rPr>
        <w:t>Article L.1123-6 of the Public Health Code stipulates that the study protocol must be submitted by the Sponsor to an Institutional Review Board. The Sponsor must communicate the opinion of the IRB to the competent authority before the study is launched.</w:t>
      </w:r>
    </w:p>
    <w:p w:rsidR="00CD39A7" w:rsidRDefault="005B3809" w:rsidP="001D31CF">
      <w:pPr>
        <w:pStyle w:val="Heading4"/>
        <w:numPr>
          <w:ilvl w:val="1"/>
          <w:numId w:val="15"/>
        </w:numPr>
        <w:tabs>
          <w:tab w:val="left" w:pos="596"/>
        </w:tabs>
        <w:spacing w:before="240" w:after="120" w:line="480" w:lineRule="auto"/>
        <w:ind w:left="596" w:hanging="480"/>
      </w:pPr>
      <w:bookmarkStart w:id="150" w:name="_bookmark156"/>
      <w:bookmarkStart w:id="151" w:name="12.3_Modifications"/>
      <w:bookmarkEnd w:id="150"/>
      <w:bookmarkEnd w:id="151"/>
      <w:r>
        <w:rPr>
          <w:lang w:val="en"/>
        </w:rPr>
        <w:t>Amendments</w:t>
      </w:r>
    </w:p>
    <w:p w:rsidR="00CD39A7" w:rsidRDefault="005B3809" w:rsidP="005B3B28">
      <w:pPr>
        <w:pStyle w:val="BodyText"/>
        <w:spacing w:before="1" w:line="480" w:lineRule="auto"/>
        <w:ind w:left="116" w:right="118"/>
        <w:jc w:val="both"/>
      </w:pPr>
      <w:r>
        <w:rPr>
          <w:lang w:val="en"/>
        </w:rPr>
        <w:t>The Department of Clinical Research and Development (DRCD) must be kept informed of any plans by the coordinating investigator to modify the protocol.</w:t>
      </w:r>
    </w:p>
    <w:p w:rsidR="00CD39A7" w:rsidRDefault="005B3809" w:rsidP="005B3B28">
      <w:pPr>
        <w:pStyle w:val="BodyText"/>
        <w:spacing w:before="10" w:line="480" w:lineRule="auto"/>
        <w:ind w:left="116"/>
        <w:jc w:val="both"/>
      </w:pPr>
      <w:r>
        <w:rPr>
          <w:lang w:val="en"/>
        </w:rPr>
        <w:t>The investigator must indicate whether or not these changes will be substantial.</w:t>
      </w:r>
    </w:p>
    <w:p w:rsidR="00CD39A7" w:rsidRDefault="005B3809" w:rsidP="005B3B28">
      <w:pPr>
        <w:pStyle w:val="BodyText"/>
        <w:spacing w:line="480" w:lineRule="auto"/>
        <w:ind w:left="116" w:right="115"/>
        <w:jc w:val="both"/>
      </w:pPr>
      <w:r>
        <w:rPr>
          <w:lang w:val="en"/>
        </w:rPr>
        <w:t>A substantial amendment is a modification likely to change, one way or another, the protection provided to patients taking part in the biomedical study (modification of an inclusion criterion, extension of an enrollment period, addition of new centers, etc.)</w:t>
      </w:r>
    </w:p>
    <w:p w:rsidR="00CD39A7" w:rsidRDefault="005B3809" w:rsidP="005B3B28">
      <w:pPr>
        <w:pStyle w:val="BodyText"/>
        <w:spacing w:before="10" w:line="480" w:lineRule="auto"/>
        <w:ind w:left="115" w:right="117"/>
        <w:jc w:val="both"/>
      </w:pPr>
      <w:r>
        <w:rPr>
          <w:lang w:val="en"/>
        </w:rPr>
        <w:t>After the study is underway, any substantial amendment of the study initiated by the Sponsor must receive approval from the committee and an authorization from the relevant authority before it can be implemented. If the amendment is authorized, the committee must ensure that any new consent form required is signed by, and collected from, the patients taking part in the study.</w:t>
      </w:r>
    </w:p>
    <w:p w:rsidR="00CD39A7" w:rsidRDefault="005B3809" w:rsidP="005B3B28">
      <w:pPr>
        <w:pStyle w:val="BodyText"/>
        <w:spacing w:before="69" w:line="480" w:lineRule="auto"/>
        <w:ind w:left="115" w:right="115"/>
        <w:jc w:val="both"/>
      </w:pPr>
      <w:r>
        <w:rPr>
          <w:lang w:val="en"/>
        </w:rPr>
        <w:t>Furthermore, any study extension (substantial amendment of the treatment plan or the populations, extension of the treatments and/or therapeutic interventions not originally included in the protocol) must be considered as a new study.</w:t>
      </w:r>
    </w:p>
    <w:p w:rsidR="00CD39A7" w:rsidRDefault="005B3809" w:rsidP="005B3B28">
      <w:pPr>
        <w:pStyle w:val="BodyText"/>
        <w:spacing w:before="9" w:line="480" w:lineRule="auto"/>
        <w:ind w:left="113"/>
        <w:jc w:val="both"/>
        <w:rPr>
          <w:lang w:val="en"/>
        </w:rPr>
      </w:pPr>
      <w:r>
        <w:rPr>
          <w:lang w:val="en"/>
        </w:rPr>
        <w:t xml:space="preserve">For any substantial amendment, the </w:t>
      </w:r>
      <w:r>
        <w:rPr>
          <w:u w:val="single"/>
          <w:lang w:val="en"/>
        </w:rPr>
        <w:t>sponsor</w:t>
      </w:r>
      <w:r>
        <w:rPr>
          <w:lang w:val="en"/>
        </w:rPr>
        <w:t xml:space="preserve"> must submit (after paying a fee) a</w:t>
      </w:r>
      <w:r w:rsidR="00D81687">
        <w:t xml:space="preserve"> </w:t>
      </w:r>
      <w:r>
        <w:rPr>
          <w:lang w:val="en"/>
        </w:rPr>
        <w:t>new Authorization Request file to the AFSSAPS and/or a new opinion request form to the Institutional Review Board.</w:t>
      </w:r>
    </w:p>
    <w:p w:rsidR="00D661F4" w:rsidRDefault="00D661F4" w:rsidP="005B3B28">
      <w:pPr>
        <w:pStyle w:val="BodyText"/>
        <w:spacing w:before="9" w:line="480" w:lineRule="auto"/>
        <w:ind w:left="113"/>
        <w:jc w:val="both"/>
        <w:rPr>
          <w:lang w:val="en"/>
        </w:rPr>
      </w:pPr>
    </w:p>
    <w:p w:rsidR="00D661F4" w:rsidRDefault="00D661F4" w:rsidP="005B3B28">
      <w:pPr>
        <w:pStyle w:val="BodyText"/>
        <w:spacing w:before="9" w:line="480" w:lineRule="auto"/>
        <w:ind w:left="113"/>
        <w:jc w:val="both"/>
      </w:pPr>
    </w:p>
    <w:p w:rsidR="00CD39A7" w:rsidRDefault="005B3809" w:rsidP="003665A2">
      <w:pPr>
        <w:pStyle w:val="Heading4"/>
        <w:numPr>
          <w:ilvl w:val="1"/>
          <w:numId w:val="15"/>
        </w:numPr>
        <w:tabs>
          <w:tab w:val="left" w:pos="596"/>
        </w:tabs>
        <w:spacing w:before="240" w:after="120" w:line="480" w:lineRule="auto"/>
        <w:ind w:left="596" w:hanging="480"/>
      </w:pPr>
      <w:bookmarkStart w:id="152" w:name="_bookmark157"/>
      <w:bookmarkStart w:id="153" w:name="12.4_Déclaration_CNIL"/>
      <w:bookmarkEnd w:id="152"/>
      <w:bookmarkEnd w:id="153"/>
      <w:r>
        <w:rPr>
          <w:lang w:val="en"/>
        </w:rPr>
        <w:lastRenderedPageBreak/>
        <w:t>Declaration of the CNIL</w:t>
      </w:r>
    </w:p>
    <w:p w:rsidR="00CD39A7" w:rsidRDefault="005B3809" w:rsidP="005B3B28">
      <w:pPr>
        <w:pStyle w:val="BodyText"/>
        <w:spacing w:line="480" w:lineRule="auto"/>
        <w:ind w:left="116" w:right="119"/>
        <w:jc w:val="both"/>
      </w:pPr>
      <w:r>
        <w:rPr>
          <w:lang w:val="en"/>
        </w:rPr>
        <w:t>The law provides that the electronic file containing the personal data collected for the study must be specified before the study actually begins.</w:t>
      </w:r>
    </w:p>
    <w:p w:rsidR="00CD39A7" w:rsidRDefault="005B3809" w:rsidP="005B3B28">
      <w:pPr>
        <w:pStyle w:val="BodyText"/>
        <w:spacing w:line="480" w:lineRule="auto"/>
        <w:ind w:left="116" w:right="115"/>
        <w:jc w:val="both"/>
      </w:pPr>
      <w:r>
        <w:rPr>
          <w:lang w:val="en"/>
        </w:rPr>
        <w:t>A specific reference methodology used to process personal data for the purpose of the biomedical research, defined by Law 2004-806 of August 9, 2004 as part of Articles L.1121-1 ff. of the Public Health Code, was established by the Commission Nationale de l'Informatique et des Libertés (CNIL) (National Commission for Data Protection and Liberties) in January</w:t>
      </w:r>
      <w:r w:rsidR="00D661F4">
        <w:rPr>
          <w:lang w:val="en"/>
        </w:rPr>
        <w:t> </w:t>
      </w:r>
      <w:r>
        <w:rPr>
          <w:lang w:val="en"/>
        </w:rPr>
        <w:t>2006.</w:t>
      </w:r>
    </w:p>
    <w:p w:rsidR="00CD39A7" w:rsidRDefault="005B3809" w:rsidP="005B3B28">
      <w:pPr>
        <w:pStyle w:val="BodyText"/>
        <w:spacing w:line="480" w:lineRule="auto"/>
        <w:ind w:left="116" w:right="116"/>
        <w:jc w:val="both"/>
      </w:pPr>
      <w:r>
        <w:rPr>
          <w:lang w:val="en"/>
        </w:rPr>
        <w:t>This methodology offers a simplified declaration procedure when the type of data collected during the study is compatible with the list provided by the CNIL in the reference document.</w:t>
      </w:r>
    </w:p>
    <w:p w:rsidR="00CD39A7" w:rsidRDefault="005B3809" w:rsidP="005B3B28">
      <w:pPr>
        <w:pStyle w:val="BodyText"/>
        <w:spacing w:before="10" w:line="480" w:lineRule="auto"/>
        <w:ind w:left="116" w:right="115"/>
        <w:jc w:val="both"/>
      </w:pPr>
      <w:r>
        <w:rPr>
          <w:lang w:val="en"/>
        </w:rPr>
        <w:t>When a clinical research associate representing the Sponsor conducts quality control on the data, and this control is compatible with the simplified CNIL procedure, the DRCD, as the Sponsor, will ask the person responsible for the computerized file to commit himself/herself in writing to the conditions of the simplified MR06001 reference methodology.</w:t>
      </w:r>
    </w:p>
    <w:p w:rsidR="00CD39A7" w:rsidRDefault="005B3809" w:rsidP="00D661F4">
      <w:pPr>
        <w:pStyle w:val="Heading4"/>
        <w:numPr>
          <w:ilvl w:val="1"/>
          <w:numId w:val="15"/>
        </w:numPr>
        <w:tabs>
          <w:tab w:val="left" w:pos="596"/>
        </w:tabs>
        <w:spacing w:before="240" w:after="120" w:line="480" w:lineRule="auto"/>
        <w:ind w:left="596" w:hanging="480"/>
      </w:pPr>
      <w:bookmarkStart w:id="154" w:name="_bookmark158"/>
      <w:bookmarkStart w:id="155" w:name="12.5_Note_d’information_et_Consentement_"/>
      <w:bookmarkEnd w:id="154"/>
      <w:bookmarkEnd w:id="155"/>
      <w:r>
        <w:rPr>
          <w:lang w:val="en"/>
        </w:rPr>
        <w:t>Informed Consent Form</w:t>
      </w:r>
    </w:p>
    <w:p w:rsidR="00CD39A7" w:rsidRDefault="005B3809" w:rsidP="005B3B28">
      <w:pPr>
        <w:pStyle w:val="BodyText"/>
        <w:spacing w:line="480" w:lineRule="auto"/>
        <w:ind w:left="116" w:right="117"/>
        <w:jc w:val="both"/>
      </w:pPr>
      <w:r>
        <w:rPr>
          <w:lang w:val="en"/>
        </w:rPr>
        <w:t>Written informed consent must be obtained before any assessment described in the study protocol can be performed.</w:t>
      </w:r>
    </w:p>
    <w:p w:rsidR="00CD39A7" w:rsidRDefault="005B3809" w:rsidP="005B3B28">
      <w:pPr>
        <w:pStyle w:val="BodyText"/>
        <w:spacing w:before="69" w:line="480" w:lineRule="auto"/>
        <w:ind w:left="116" w:right="115"/>
        <w:jc w:val="both"/>
        <w:rPr>
          <w:i/>
          <w:iCs/>
          <w:lang w:val="en"/>
        </w:rPr>
      </w:pPr>
      <w:r>
        <w:rPr>
          <w:lang w:val="en"/>
        </w:rPr>
        <w:t>The patients included in this study will be pr</w:t>
      </w:r>
      <w:r w:rsidR="00A83416">
        <w:rPr>
          <w:lang w:val="en"/>
        </w:rPr>
        <w:t>ovided with descriptions of the</w:t>
      </w:r>
      <w:r>
        <w:rPr>
          <w:lang w:val="en"/>
        </w:rPr>
        <w:t xml:space="preserve"> study protocol, both orally and in writing. These patients must sign the Informed Consent Form if they agree to participate in the study. The patients will be given time to consider their decision. The patients retain the option of withdrawing from the study at any time, through a simple request on their part or their treating physician, or from the study investigator </w:t>
      </w:r>
      <w:r>
        <w:rPr>
          <w:i/>
          <w:iCs/>
          <w:lang w:val="en"/>
        </w:rPr>
        <w:t>(see Informed Consent Form Version No 4.0 dated August 12, 2009)</w:t>
      </w:r>
    </w:p>
    <w:p w:rsidR="00A83416" w:rsidRDefault="00A83416" w:rsidP="005B3B28">
      <w:pPr>
        <w:pStyle w:val="BodyText"/>
        <w:spacing w:before="69" w:line="480" w:lineRule="auto"/>
        <w:ind w:left="116" w:right="115"/>
        <w:jc w:val="both"/>
        <w:rPr>
          <w:i/>
        </w:rPr>
      </w:pPr>
    </w:p>
    <w:p w:rsidR="00CD39A7" w:rsidRDefault="005B3809" w:rsidP="00A83416">
      <w:pPr>
        <w:pStyle w:val="Heading4"/>
        <w:numPr>
          <w:ilvl w:val="1"/>
          <w:numId w:val="15"/>
        </w:numPr>
        <w:tabs>
          <w:tab w:val="left" w:pos="596"/>
        </w:tabs>
        <w:spacing w:before="240" w:after="120" w:line="480" w:lineRule="auto"/>
        <w:ind w:left="596" w:hanging="480"/>
      </w:pPr>
      <w:bookmarkStart w:id="156" w:name="_bookmark159"/>
      <w:bookmarkStart w:id="157" w:name="12.6_Rapport_final_de_la_recherche"/>
      <w:bookmarkEnd w:id="156"/>
      <w:bookmarkEnd w:id="157"/>
      <w:r>
        <w:rPr>
          <w:lang w:val="en"/>
        </w:rPr>
        <w:lastRenderedPageBreak/>
        <w:t>Final Study Report</w:t>
      </w:r>
    </w:p>
    <w:p w:rsidR="00CD39A7" w:rsidRDefault="005B3809" w:rsidP="005B3B28">
      <w:pPr>
        <w:pStyle w:val="BodyText"/>
        <w:spacing w:line="480" w:lineRule="auto"/>
        <w:ind w:left="116" w:right="114"/>
        <w:jc w:val="both"/>
      </w:pPr>
      <w:r>
        <w:rPr>
          <w:lang w:val="en"/>
        </w:rPr>
        <w:t>The final study report will be prepared through a collaboration between the coordinator and the study biostatistician. This report will be submitted to each investigator to obtain their input. Once a consensus is reached, the final version must be signed by each investigator and sent to the Sponsor as soon as possible, after the end of the study. A report prepared according to the reference plan of the relevant authority must be sent to the authority and the Institutional Review Board (IRB) no later than one year after the end of the study, corresponding to the last follow-up visit of the last subject enrolled. This period is reduced to 90 days if the study is discontinued prematurely.</w:t>
      </w:r>
    </w:p>
    <w:p w:rsidR="00CD39A7" w:rsidRDefault="005B3809" w:rsidP="007718E5">
      <w:pPr>
        <w:pStyle w:val="Heading1"/>
        <w:numPr>
          <w:ilvl w:val="0"/>
          <w:numId w:val="15"/>
        </w:numPr>
        <w:tabs>
          <w:tab w:val="left" w:pos="752"/>
        </w:tabs>
        <w:spacing w:before="360"/>
        <w:ind w:right="116" w:firstLine="0"/>
      </w:pPr>
      <w:bookmarkStart w:id="158" w:name="_bookmark160"/>
      <w:bookmarkStart w:id="159" w:name="13._Traitement_des_données_et_conservati"/>
      <w:bookmarkEnd w:id="158"/>
      <w:bookmarkEnd w:id="159"/>
      <w:r>
        <w:rPr>
          <w:lang w:val="en"/>
        </w:rPr>
        <w:t>DATA PROCESSING AND STORAGE OF STUDY-RELATED DOCUMENTS AND DATA</w:t>
      </w:r>
    </w:p>
    <w:p w:rsidR="00CD39A7" w:rsidRDefault="005B3809" w:rsidP="007718E5">
      <w:pPr>
        <w:pStyle w:val="BodyText"/>
        <w:spacing w:before="240" w:line="480" w:lineRule="auto"/>
        <w:ind w:left="115" w:right="115"/>
        <w:jc w:val="both"/>
        <w:rPr>
          <w:i/>
        </w:rPr>
      </w:pPr>
      <w:r>
        <w:rPr>
          <w:lang w:val="en"/>
        </w:rPr>
        <w:t xml:space="preserve">The study documents which fall under the scope of the laws on biomedical research must be archived by all parties for a period of 15 years after the end of the study </w:t>
      </w:r>
      <w:r>
        <w:rPr>
          <w:i/>
          <w:iCs/>
          <w:lang w:val="en"/>
        </w:rPr>
        <w:t>(see Good Clinical Practice, Section 8: Essential Documents)</w:t>
      </w:r>
    </w:p>
    <w:p w:rsidR="00CD39A7" w:rsidRDefault="005B3809" w:rsidP="007718E5">
      <w:pPr>
        <w:pStyle w:val="BodyText"/>
        <w:spacing w:before="69" w:line="480" w:lineRule="auto"/>
        <w:ind w:left="115"/>
        <w:jc w:val="both"/>
      </w:pPr>
      <w:r>
        <w:rPr>
          <w:lang w:val="en"/>
        </w:rPr>
        <w:t>Indexed archiving includes:</w:t>
      </w:r>
    </w:p>
    <w:p w:rsidR="00CD39A7" w:rsidRDefault="005B3809" w:rsidP="00B609FB">
      <w:pPr>
        <w:pStyle w:val="ListParagraph"/>
        <w:numPr>
          <w:ilvl w:val="0"/>
          <w:numId w:val="21"/>
        </w:numPr>
        <w:spacing w:line="480" w:lineRule="auto"/>
        <w:ind w:left="142" w:firstLine="0"/>
        <w:jc w:val="both"/>
        <w:rPr>
          <w:sz w:val="24"/>
        </w:rPr>
      </w:pPr>
      <w:r>
        <w:rPr>
          <w:sz w:val="24"/>
          <w:lang w:val="en"/>
        </w:rPr>
        <w:t>Copies of the AFSSAPS authorization letters and the CPP favorable opinion,</w:t>
      </w:r>
    </w:p>
    <w:p w:rsidR="00CD39A7" w:rsidRDefault="005B3809" w:rsidP="00B609FB">
      <w:pPr>
        <w:pStyle w:val="ListParagraph"/>
        <w:numPr>
          <w:ilvl w:val="0"/>
          <w:numId w:val="21"/>
        </w:numPr>
        <w:spacing w:line="480" w:lineRule="auto"/>
        <w:ind w:left="142" w:right="117" w:firstLine="0"/>
        <w:rPr>
          <w:sz w:val="24"/>
        </w:rPr>
      </w:pPr>
      <w:r>
        <w:rPr>
          <w:sz w:val="24"/>
          <w:lang w:val="en"/>
        </w:rPr>
        <w:t>All successive versions of the study protocol (identified by Version No. and version date),</w:t>
      </w:r>
    </w:p>
    <w:p w:rsidR="00CD39A7" w:rsidRDefault="005B3809" w:rsidP="00B609FB">
      <w:pPr>
        <w:pStyle w:val="ListParagraph"/>
        <w:numPr>
          <w:ilvl w:val="0"/>
          <w:numId w:val="21"/>
        </w:numPr>
        <w:spacing w:before="30" w:line="480" w:lineRule="auto"/>
        <w:ind w:left="142" w:firstLine="0"/>
        <w:jc w:val="both"/>
        <w:rPr>
          <w:sz w:val="24"/>
        </w:rPr>
      </w:pPr>
      <w:r>
        <w:rPr>
          <w:sz w:val="24"/>
          <w:lang w:val="en"/>
        </w:rPr>
        <w:t>All correspondence with the Sponsor</w:t>
      </w:r>
    </w:p>
    <w:p w:rsidR="00CD39A7" w:rsidRDefault="005B3809" w:rsidP="00B609FB">
      <w:pPr>
        <w:pStyle w:val="ListParagraph"/>
        <w:numPr>
          <w:ilvl w:val="0"/>
          <w:numId w:val="21"/>
        </w:numPr>
        <w:spacing w:line="480" w:lineRule="auto"/>
        <w:ind w:left="142" w:right="116" w:firstLine="0"/>
        <w:jc w:val="both"/>
        <w:rPr>
          <w:sz w:val="24"/>
        </w:rPr>
      </w:pPr>
      <w:r>
        <w:rPr>
          <w:sz w:val="24"/>
          <w:lang w:val="en"/>
        </w:rPr>
        <w:t>Consent forms signed by the subjects kept in a sealed envelope (for minors, signed by the legal guardian) with the corresponding list or enrollment registry,</w:t>
      </w:r>
    </w:p>
    <w:p w:rsidR="00CD39A7" w:rsidRDefault="005B3809" w:rsidP="00B609FB">
      <w:pPr>
        <w:pStyle w:val="ListParagraph"/>
        <w:numPr>
          <w:ilvl w:val="0"/>
          <w:numId w:val="21"/>
        </w:numPr>
        <w:spacing w:before="22" w:line="480" w:lineRule="auto"/>
        <w:ind w:left="142" w:firstLine="0"/>
        <w:jc w:val="both"/>
        <w:rPr>
          <w:sz w:val="24"/>
        </w:rPr>
      </w:pPr>
      <w:r>
        <w:rPr>
          <w:sz w:val="24"/>
          <w:lang w:val="en"/>
        </w:rPr>
        <w:t>The completed and validated case report forms for each subject enrolled,</w:t>
      </w:r>
    </w:p>
    <w:p w:rsidR="00CD39A7" w:rsidRDefault="005B3809" w:rsidP="00B609FB">
      <w:pPr>
        <w:pStyle w:val="ListParagraph"/>
        <w:numPr>
          <w:ilvl w:val="0"/>
          <w:numId w:val="21"/>
        </w:numPr>
        <w:spacing w:line="480" w:lineRule="auto"/>
        <w:ind w:left="142" w:firstLine="0"/>
        <w:jc w:val="both"/>
        <w:rPr>
          <w:sz w:val="24"/>
        </w:rPr>
      </w:pPr>
      <w:r>
        <w:rPr>
          <w:sz w:val="24"/>
          <w:lang w:val="en"/>
        </w:rPr>
        <w:t>All study specific appendices,</w:t>
      </w:r>
    </w:p>
    <w:p w:rsidR="00CD39A7" w:rsidRDefault="005B3809" w:rsidP="00B609FB">
      <w:pPr>
        <w:pStyle w:val="ListParagraph"/>
        <w:numPr>
          <w:ilvl w:val="0"/>
          <w:numId w:val="21"/>
        </w:numPr>
        <w:spacing w:line="480" w:lineRule="auto"/>
        <w:ind w:left="142" w:right="117" w:firstLine="0"/>
        <w:rPr>
          <w:sz w:val="24"/>
        </w:rPr>
      </w:pPr>
      <w:r>
        <w:rPr>
          <w:sz w:val="24"/>
          <w:lang w:val="en"/>
        </w:rPr>
        <w:t>The final study report outlining the statistical analysis and quality control performed on the study data (copy sent to the Sponsor),</w:t>
      </w:r>
    </w:p>
    <w:p w:rsidR="00CD39A7" w:rsidRDefault="005B3809" w:rsidP="00B609FB">
      <w:pPr>
        <w:pStyle w:val="ListParagraph"/>
        <w:numPr>
          <w:ilvl w:val="0"/>
          <w:numId w:val="21"/>
        </w:numPr>
        <w:tabs>
          <w:tab w:val="left" w:pos="836"/>
        </w:tabs>
        <w:spacing w:before="30" w:line="480" w:lineRule="auto"/>
        <w:ind w:left="142" w:firstLine="0"/>
        <w:jc w:val="both"/>
        <w:rPr>
          <w:sz w:val="24"/>
        </w:rPr>
      </w:pPr>
      <w:r>
        <w:rPr>
          <w:sz w:val="24"/>
          <w:lang w:val="en"/>
        </w:rPr>
        <w:lastRenderedPageBreak/>
        <w:t>Any audit certificates for audits performed over the course of the study</w:t>
      </w:r>
    </w:p>
    <w:p w:rsidR="00CD39A7" w:rsidRDefault="005B3809" w:rsidP="00E153D6">
      <w:pPr>
        <w:pStyle w:val="BodyText"/>
        <w:spacing w:before="240" w:line="480" w:lineRule="auto"/>
        <w:ind w:left="116"/>
      </w:pPr>
      <w:r>
        <w:rPr>
          <w:lang w:val="en"/>
        </w:rPr>
        <w:t>The database used for the statistical analysis must also be archived by the person responsible for the analysis (hard copy or digital form).</w:t>
      </w:r>
    </w:p>
    <w:p w:rsidR="00CD39A7" w:rsidRDefault="005B3809" w:rsidP="00E331DD">
      <w:pPr>
        <w:pStyle w:val="Heading1"/>
        <w:numPr>
          <w:ilvl w:val="0"/>
          <w:numId w:val="15"/>
        </w:numPr>
        <w:tabs>
          <w:tab w:val="left" w:pos="539"/>
        </w:tabs>
        <w:spacing w:before="360" w:line="480" w:lineRule="auto"/>
        <w:ind w:left="538" w:hanging="422"/>
      </w:pPr>
      <w:bookmarkStart w:id="160" w:name="_bookmark161"/>
      <w:bookmarkStart w:id="161" w:name="14._FINANCEMENT_ET_ASSURANCE"/>
      <w:bookmarkEnd w:id="160"/>
      <w:bookmarkEnd w:id="161"/>
      <w:r>
        <w:rPr>
          <w:lang w:val="en"/>
        </w:rPr>
        <w:t>FINANCING AND INSURANCE</w:t>
      </w:r>
    </w:p>
    <w:p w:rsidR="00CD39A7" w:rsidRDefault="005B3809" w:rsidP="00E331DD">
      <w:pPr>
        <w:pStyle w:val="Heading4"/>
        <w:numPr>
          <w:ilvl w:val="1"/>
          <w:numId w:val="15"/>
        </w:numPr>
        <w:tabs>
          <w:tab w:val="left" w:pos="596"/>
        </w:tabs>
        <w:spacing w:after="120" w:line="480" w:lineRule="auto"/>
        <w:ind w:left="596" w:hanging="480"/>
      </w:pPr>
      <w:bookmarkStart w:id="162" w:name="_bookmark162"/>
      <w:bookmarkStart w:id="163" w:name="14.1_Assurance"/>
      <w:bookmarkEnd w:id="162"/>
      <w:bookmarkEnd w:id="163"/>
      <w:r>
        <w:rPr>
          <w:lang w:val="en"/>
        </w:rPr>
        <w:t>Insurance</w:t>
      </w:r>
    </w:p>
    <w:p w:rsidR="00CD39A7" w:rsidRDefault="005B3809" w:rsidP="00E331DD">
      <w:pPr>
        <w:pStyle w:val="BodyText"/>
        <w:spacing w:line="480" w:lineRule="auto"/>
        <w:ind w:left="115" w:right="114"/>
        <w:jc w:val="both"/>
      </w:pPr>
      <w:r>
        <w:rPr>
          <w:lang w:val="en"/>
        </w:rPr>
        <w:t>The Assistance Publique-Hôpitaux de Paris (AP-HP) (Paris Public Hospitals) is the sponsor of this study. As stipulated by the laws on biomedical studies, the organization has acquired insurance from GERLING KONZERN for the entire duration of the study, guaranteeing its own civil responsibility and that of all study contributors (physicians or personnel involved in carrying the study) (Law no. 2004-806, Art L.1121-10 of the Public Health Code).</w:t>
      </w:r>
    </w:p>
    <w:p w:rsidR="00CD39A7" w:rsidRDefault="005B3809" w:rsidP="00E331DD">
      <w:pPr>
        <w:pStyle w:val="BodyText"/>
        <w:spacing w:before="69" w:line="480" w:lineRule="auto"/>
        <w:ind w:left="116" w:right="116"/>
        <w:jc w:val="both"/>
      </w:pPr>
      <w:r>
        <w:rPr>
          <w:lang w:val="en"/>
        </w:rPr>
        <w:t>The AP-HP reserves the right to stop the study at any time for medical or administrative reasons. In such an event, the investigators will be notified.</w:t>
      </w:r>
    </w:p>
    <w:p w:rsidR="00CD39A7" w:rsidRDefault="005B3809" w:rsidP="00E331DD">
      <w:pPr>
        <w:pStyle w:val="Heading4"/>
        <w:numPr>
          <w:ilvl w:val="1"/>
          <w:numId w:val="15"/>
        </w:numPr>
        <w:tabs>
          <w:tab w:val="left" w:pos="596"/>
        </w:tabs>
        <w:spacing w:before="240" w:after="120" w:line="480" w:lineRule="auto"/>
        <w:ind w:left="596" w:hanging="480"/>
      </w:pPr>
      <w:bookmarkStart w:id="164" w:name="_bookmark163"/>
      <w:bookmarkStart w:id="165" w:name="14.2_Engagement_scientifique"/>
      <w:bookmarkEnd w:id="164"/>
      <w:bookmarkEnd w:id="165"/>
      <w:r>
        <w:rPr>
          <w:lang w:val="en"/>
        </w:rPr>
        <w:t>Scientific Commitment</w:t>
      </w:r>
    </w:p>
    <w:p w:rsidR="00CD39A7" w:rsidRDefault="005B3809" w:rsidP="00E331DD">
      <w:pPr>
        <w:pStyle w:val="BodyText"/>
        <w:spacing w:line="480" w:lineRule="auto"/>
        <w:ind w:left="116" w:right="117"/>
        <w:jc w:val="both"/>
      </w:pPr>
      <w:r>
        <w:rPr>
          <w:lang w:val="en"/>
        </w:rPr>
        <w:t>Every investigator is bound to comply with the obligations under the law and to carry out the research in accordance with current Good Clinical Practice as well as the current terms of the Declaration of Helsinki. For this purpose, a copy of the scientific commitment (Department of Clinical Research and Development document) dated and signed by each investigator in each clinical department at a participating center will be submitted to a Sponsor representative.</w:t>
      </w:r>
    </w:p>
    <w:p w:rsidR="00CD39A7" w:rsidRDefault="005B3809" w:rsidP="00D14C17">
      <w:pPr>
        <w:pStyle w:val="Heading1"/>
        <w:numPr>
          <w:ilvl w:val="0"/>
          <w:numId w:val="15"/>
        </w:numPr>
        <w:tabs>
          <w:tab w:val="left" w:pos="539"/>
        </w:tabs>
        <w:spacing w:before="360" w:line="480" w:lineRule="auto"/>
        <w:ind w:left="538" w:hanging="422"/>
      </w:pPr>
      <w:bookmarkStart w:id="166" w:name="_bookmark164"/>
      <w:bookmarkStart w:id="167" w:name="15._REGLES_RELATIVES_A_LA_PUBLICATION"/>
      <w:bookmarkEnd w:id="166"/>
      <w:bookmarkEnd w:id="167"/>
      <w:r>
        <w:rPr>
          <w:lang w:val="en"/>
        </w:rPr>
        <w:t>PUBLICATION RULES</w:t>
      </w:r>
    </w:p>
    <w:p w:rsidR="00CD39A7" w:rsidRDefault="005B3809" w:rsidP="00D14C17">
      <w:pPr>
        <w:pStyle w:val="BodyText"/>
        <w:spacing w:line="480" w:lineRule="auto"/>
        <w:ind w:left="115" w:right="114"/>
        <w:jc w:val="both"/>
      </w:pPr>
      <w:r>
        <w:rPr>
          <w:lang w:val="en"/>
        </w:rPr>
        <w:t>All data are the property of the Assistance Publique-Hôpitaux de Paris (AP-HP) (Paris Public Hospitals). They may not be used or transmitted to a third party without the prior consent of that organization.</w:t>
      </w:r>
    </w:p>
    <w:p w:rsidR="00CD39A7" w:rsidRDefault="005B3809" w:rsidP="00D14C17">
      <w:pPr>
        <w:pStyle w:val="BodyText"/>
        <w:spacing w:before="10" w:line="480" w:lineRule="auto"/>
        <w:ind w:left="116" w:right="117"/>
        <w:jc w:val="both"/>
      </w:pPr>
      <w:r>
        <w:rPr>
          <w:lang w:val="en"/>
        </w:rPr>
        <w:t xml:space="preserve">Those listed as first authors on any publications will be those who actually participated in the </w:t>
      </w:r>
      <w:r>
        <w:rPr>
          <w:lang w:val="en"/>
        </w:rPr>
        <w:lastRenderedPageBreak/>
        <w:t>design of the protocol, execution of the protocol, and reporting of the results. The study investigators who enrolled patients will be listed as authors in ascending order by the number of patients actually enrolled in the study, and in accordance with the number of authors authorized by the solicited journal. The last author will be the Groupe Français d’Etude des Vascularites (GFEV) [French Group on Vasculitis Studies]. The other investigators will be cited in an appendix to the article.</w:t>
      </w:r>
    </w:p>
    <w:p w:rsidR="00D14C17" w:rsidRDefault="005B3809" w:rsidP="00D14C17">
      <w:pPr>
        <w:pStyle w:val="BodyText"/>
        <w:spacing w:before="10" w:line="480" w:lineRule="auto"/>
        <w:ind w:left="116" w:right="117"/>
        <w:jc w:val="both"/>
        <w:rPr>
          <w:lang w:val="en"/>
        </w:rPr>
      </w:pPr>
      <w:r>
        <w:rPr>
          <w:lang w:val="en"/>
        </w:rPr>
        <w:t>The AP-HP must be identified as the Sponsor of this biomedical study and, if applicable, as financial support. The wording "Assistance Publique-Hôpitaux de Paris" must appear in the address of the authors.</w:t>
      </w:r>
    </w:p>
    <w:p w:rsidR="00D14C17" w:rsidRDefault="00D14C17">
      <w:pPr>
        <w:rPr>
          <w:sz w:val="24"/>
          <w:szCs w:val="24"/>
          <w:lang w:val="en"/>
        </w:rPr>
      </w:pPr>
      <w:r>
        <w:rPr>
          <w:lang w:val="en"/>
        </w:rPr>
        <w:br w:type="page"/>
      </w:r>
    </w:p>
    <w:p w:rsidR="00CD39A7" w:rsidRDefault="005B3809" w:rsidP="00D14C17">
      <w:pPr>
        <w:pStyle w:val="Heading1"/>
        <w:spacing w:before="89" w:line="480" w:lineRule="auto"/>
        <w:ind w:left="115"/>
        <w:jc w:val="left"/>
      </w:pPr>
      <w:bookmarkStart w:id="168" w:name="_bookmark165"/>
      <w:bookmarkStart w:id="169" w:name="ANNEXES"/>
      <w:bookmarkEnd w:id="168"/>
      <w:bookmarkEnd w:id="169"/>
      <w:r>
        <w:rPr>
          <w:lang w:val="en"/>
        </w:rPr>
        <w:lastRenderedPageBreak/>
        <w:t>APPENDICES</w:t>
      </w:r>
    </w:p>
    <w:p w:rsidR="00CD39A7" w:rsidRDefault="00D72855" w:rsidP="00D14C17">
      <w:pPr>
        <w:spacing w:line="480" w:lineRule="auto"/>
        <w:ind w:left="2259"/>
        <w:rPr>
          <w:b/>
          <w:sz w:val="28"/>
        </w:rPr>
      </w:pPr>
      <w:bookmarkStart w:id="170" w:name="_bookmark166"/>
      <w:bookmarkStart w:id="171" w:name="Annexe_I_:__Références_bibliographiques"/>
      <w:bookmarkEnd w:id="170"/>
      <w:bookmarkEnd w:id="171"/>
      <w:r>
        <w:rPr>
          <w:b/>
          <w:bCs/>
          <w:sz w:val="28"/>
          <w:lang w:val="en"/>
        </w:rPr>
        <w:t xml:space="preserve">Appendix I: </w:t>
      </w:r>
      <w:r w:rsidR="005B3809">
        <w:rPr>
          <w:b/>
          <w:bCs/>
          <w:sz w:val="28"/>
          <w:lang w:val="en"/>
        </w:rPr>
        <w:t>References</w:t>
      </w:r>
    </w:p>
    <w:p w:rsidR="00CD39A7" w:rsidRPr="00D14C17" w:rsidRDefault="005B3809" w:rsidP="00D14C17">
      <w:pPr>
        <w:pStyle w:val="ListParagraph"/>
        <w:numPr>
          <w:ilvl w:val="0"/>
          <w:numId w:val="14"/>
        </w:numPr>
        <w:tabs>
          <w:tab w:val="left" w:pos="824"/>
        </w:tabs>
        <w:spacing w:before="90" w:line="480" w:lineRule="auto"/>
        <w:ind w:firstLine="0"/>
        <w:jc w:val="both"/>
        <w:rPr>
          <w:sz w:val="24"/>
          <w:szCs w:val="24"/>
        </w:rPr>
      </w:pPr>
      <w:r w:rsidRPr="00D14C17">
        <w:rPr>
          <w:sz w:val="24"/>
          <w:szCs w:val="24"/>
          <w:lang w:val="en"/>
        </w:rPr>
        <w:t>Hoffman GS, Kerr GS, Leavitt RY, Hallahan CW, Lebovics RS, Travis WD, et al.</w:t>
      </w:r>
    </w:p>
    <w:p w:rsidR="00CD39A7" w:rsidRPr="00D14C17" w:rsidRDefault="005B3809" w:rsidP="00D14C17">
      <w:pPr>
        <w:pStyle w:val="BodyText"/>
        <w:spacing w:line="480" w:lineRule="auto"/>
        <w:ind w:left="115"/>
        <w:jc w:val="both"/>
      </w:pPr>
      <w:r w:rsidRPr="00D14C17">
        <w:rPr>
          <w:lang w:val="en"/>
        </w:rPr>
        <w:t>Wegener granulomatosis: an analysis of 158 patients. Ann Intern Med. 1992; 116(6):488-98.</w:t>
      </w:r>
    </w:p>
    <w:p w:rsidR="00CD39A7" w:rsidRPr="00D14C17" w:rsidRDefault="005B3809" w:rsidP="00D14C17">
      <w:pPr>
        <w:pStyle w:val="ListParagraph"/>
        <w:numPr>
          <w:ilvl w:val="0"/>
          <w:numId w:val="14"/>
        </w:numPr>
        <w:tabs>
          <w:tab w:val="left" w:pos="824"/>
        </w:tabs>
        <w:spacing w:line="480" w:lineRule="auto"/>
        <w:ind w:right="114" w:firstLine="0"/>
        <w:jc w:val="both"/>
        <w:rPr>
          <w:sz w:val="24"/>
          <w:szCs w:val="24"/>
        </w:rPr>
      </w:pPr>
      <w:r w:rsidRPr="00D14C17">
        <w:rPr>
          <w:sz w:val="24"/>
          <w:szCs w:val="24"/>
          <w:lang w:val="en"/>
        </w:rPr>
        <w:t>Jayne D, Rasmussen N, Andrassy K, Bacon P, Tervaert JW, Dadoniene J, et al. A randomized trial of maintenance therapy for vasculitis associated with antineutrophil cytoplasmic autoantibodies. N Engl J Med. 2003 Jul 3; 349(1):36-44.</w:t>
      </w:r>
    </w:p>
    <w:p w:rsidR="00CD39A7" w:rsidRPr="00D14C17" w:rsidRDefault="005B3809" w:rsidP="00D14C17">
      <w:pPr>
        <w:pStyle w:val="ListParagraph"/>
        <w:numPr>
          <w:ilvl w:val="0"/>
          <w:numId w:val="14"/>
        </w:numPr>
        <w:tabs>
          <w:tab w:val="left" w:pos="824"/>
        </w:tabs>
        <w:spacing w:before="10" w:line="480" w:lineRule="auto"/>
        <w:ind w:right="115" w:firstLine="0"/>
        <w:jc w:val="both"/>
        <w:rPr>
          <w:sz w:val="24"/>
          <w:szCs w:val="24"/>
        </w:rPr>
      </w:pPr>
      <w:r w:rsidRPr="00337C44">
        <w:rPr>
          <w:sz w:val="24"/>
          <w:szCs w:val="24"/>
        </w:rPr>
        <w:t xml:space="preserve">Reinhold-Keller E, Beuge N, Latza U, De Groote K, Rudert H, Nölle B, et al. </w:t>
      </w:r>
      <w:r w:rsidRPr="00D14C17">
        <w:rPr>
          <w:sz w:val="24"/>
          <w:szCs w:val="24"/>
          <w:lang w:val="en"/>
        </w:rPr>
        <w:t>An interdisciplinary approach to the care of patients with Wegener's granulomatosis. Long-term outcome in 155 patients. Arthritis and rheumatism. 2000; 43:1021-32.</w:t>
      </w:r>
    </w:p>
    <w:p w:rsidR="00CD39A7" w:rsidRPr="00D14C17" w:rsidRDefault="005B3809" w:rsidP="00D14C17">
      <w:pPr>
        <w:pStyle w:val="ListParagraph"/>
        <w:numPr>
          <w:ilvl w:val="0"/>
          <w:numId w:val="14"/>
        </w:numPr>
        <w:tabs>
          <w:tab w:val="left" w:pos="824"/>
        </w:tabs>
        <w:spacing w:before="10" w:line="480" w:lineRule="auto"/>
        <w:ind w:right="116" w:firstLine="0"/>
        <w:jc w:val="both"/>
        <w:rPr>
          <w:sz w:val="24"/>
          <w:szCs w:val="24"/>
        </w:rPr>
      </w:pPr>
      <w:r w:rsidRPr="00D14C17">
        <w:rPr>
          <w:sz w:val="24"/>
          <w:szCs w:val="24"/>
          <w:lang w:val="fr-CA"/>
        </w:rPr>
        <w:t xml:space="preserve">Guillevin L, Cordier J, Lhote F, Cohen P, Jarrousse B, Royer I, et al. </w:t>
      </w:r>
      <w:r w:rsidRPr="00D14C17">
        <w:rPr>
          <w:sz w:val="24"/>
          <w:szCs w:val="24"/>
          <w:lang w:val="en"/>
        </w:rPr>
        <w:t>A prospective, multicenter, randomized trial comparing steroids and pulse Cyclophosphamide versus steroids and oral Cyclophosphamide in the treatment of generalized Wegener's granulomatosis. Arthritis and rheumatism. 1997; 40:2187-98.</w:t>
      </w:r>
    </w:p>
    <w:p w:rsidR="00CD39A7" w:rsidRPr="00D14C17" w:rsidRDefault="005B3809" w:rsidP="00D14C17">
      <w:pPr>
        <w:pStyle w:val="ListParagraph"/>
        <w:numPr>
          <w:ilvl w:val="0"/>
          <w:numId w:val="14"/>
        </w:numPr>
        <w:tabs>
          <w:tab w:val="left" w:pos="824"/>
        </w:tabs>
        <w:spacing w:before="69" w:line="480" w:lineRule="auto"/>
        <w:ind w:right="115" w:firstLine="0"/>
        <w:jc w:val="both"/>
        <w:rPr>
          <w:sz w:val="24"/>
          <w:szCs w:val="24"/>
        </w:rPr>
      </w:pPr>
      <w:r w:rsidRPr="00D14C17">
        <w:rPr>
          <w:sz w:val="24"/>
          <w:szCs w:val="24"/>
          <w:lang w:val="en"/>
        </w:rPr>
        <w:t>Gayraud M, Guillevin L, Cohen P, Lhote F, Cacoub P, Deblois P, et al. Treatment of good-prognosis polyarteritis nodosa and Churg-Strauss syndrome: comparison of steroids and oral or pulse Cyclophosphamide in 25 patients. French Cooperative Study Group for Vasculitis. Br J Rheumatol. 1997; 36(12):1290-7.</w:t>
      </w:r>
    </w:p>
    <w:p w:rsidR="00CD39A7" w:rsidRPr="00D14C17" w:rsidRDefault="005B3809" w:rsidP="00D14C17">
      <w:pPr>
        <w:pStyle w:val="ListParagraph"/>
        <w:numPr>
          <w:ilvl w:val="0"/>
          <w:numId w:val="14"/>
        </w:numPr>
        <w:tabs>
          <w:tab w:val="left" w:pos="824"/>
        </w:tabs>
        <w:spacing w:before="9" w:line="480" w:lineRule="auto"/>
        <w:ind w:right="118" w:firstLine="0"/>
        <w:jc w:val="both"/>
        <w:rPr>
          <w:sz w:val="24"/>
          <w:szCs w:val="24"/>
        </w:rPr>
      </w:pPr>
      <w:r w:rsidRPr="00D14C17">
        <w:rPr>
          <w:sz w:val="24"/>
          <w:szCs w:val="24"/>
          <w:lang w:val="en"/>
        </w:rPr>
        <w:t>Jayne DR, Chapel H, Adu D, Misbah S, O'Donoghue D, Scott D, et al. Intravenous immunoglobulin for ANCA-associated systemic vasculitis with persistent disease activity. Qjm. 2000 Jul; 93(7):433-9.</w:t>
      </w:r>
    </w:p>
    <w:p w:rsidR="00CD39A7" w:rsidRPr="00D14C17" w:rsidRDefault="005B3809" w:rsidP="00D14C17">
      <w:pPr>
        <w:pStyle w:val="ListParagraph"/>
        <w:numPr>
          <w:ilvl w:val="0"/>
          <w:numId w:val="14"/>
        </w:numPr>
        <w:tabs>
          <w:tab w:val="left" w:pos="824"/>
        </w:tabs>
        <w:spacing w:before="9" w:line="480" w:lineRule="auto"/>
        <w:ind w:right="114" w:firstLine="0"/>
        <w:jc w:val="both"/>
        <w:rPr>
          <w:sz w:val="24"/>
          <w:szCs w:val="24"/>
        </w:rPr>
      </w:pPr>
      <w:r w:rsidRPr="00D14C17">
        <w:rPr>
          <w:sz w:val="24"/>
          <w:szCs w:val="24"/>
          <w:lang w:val="en"/>
        </w:rPr>
        <w:t>Jayne DR, Esnault VL, Lockwood CM. ANCA anti-idiotype antibodies and the treatment of systemic vasculitis with intravenous immunoglobulin. J Autoimmun. 1993; 6(2):207-19.</w:t>
      </w:r>
    </w:p>
    <w:p w:rsidR="00CD39A7" w:rsidRPr="00D14C17" w:rsidRDefault="005B3809" w:rsidP="00D14C17">
      <w:pPr>
        <w:pStyle w:val="ListParagraph"/>
        <w:numPr>
          <w:ilvl w:val="0"/>
          <w:numId w:val="14"/>
        </w:numPr>
        <w:tabs>
          <w:tab w:val="left" w:pos="824"/>
        </w:tabs>
        <w:spacing w:before="9" w:line="480" w:lineRule="auto"/>
        <w:ind w:right="117" w:firstLine="0"/>
        <w:jc w:val="both"/>
        <w:rPr>
          <w:sz w:val="24"/>
          <w:szCs w:val="24"/>
        </w:rPr>
      </w:pPr>
      <w:r w:rsidRPr="00D14C17">
        <w:rPr>
          <w:sz w:val="24"/>
          <w:szCs w:val="24"/>
          <w:lang w:val="fr-CA"/>
        </w:rPr>
        <w:t xml:space="preserve">Martinez V, Cohen P, Pagnoux C, Vinzio S, Mahr A, Mouthon L, et al. </w:t>
      </w:r>
      <w:r w:rsidRPr="00D14C17">
        <w:rPr>
          <w:sz w:val="24"/>
          <w:szCs w:val="24"/>
          <w:lang w:val="en"/>
        </w:rPr>
        <w:t xml:space="preserve">Intravenous </w:t>
      </w:r>
      <w:r w:rsidRPr="00D14C17">
        <w:rPr>
          <w:sz w:val="24"/>
          <w:szCs w:val="24"/>
          <w:lang w:val="en"/>
        </w:rPr>
        <w:lastRenderedPageBreak/>
        <w:t>immunoglobulins for relapses of ANCA-associated systemic vasculitis: final analysis of a prospective, open and multicenter trial. Arthritis Rheum Accepted for publication.</w:t>
      </w:r>
    </w:p>
    <w:p w:rsidR="00CD39A7" w:rsidRPr="00D14C17" w:rsidRDefault="005B3809" w:rsidP="00D14C17">
      <w:pPr>
        <w:pStyle w:val="BodyText"/>
        <w:spacing w:before="9" w:line="480" w:lineRule="auto"/>
        <w:ind w:left="115"/>
        <w:jc w:val="both"/>
      </w:pPr>
      <w:r w:rsidRPr="00D14C17">
        <w:rPr>
          <w:lang w:val="en"/>
        </w:rPr>
        <w:t>Arthritis Rheum (in press). 2007.</w:t>
      </w:r>
    </w:p>
    <w:p w:rsidR="00CD39A7" w:rsidRPr="00D14C17" w:rsidRDefault="005B3809" w:rsidP="00D14C17">
      <w:pPr>
        <w:pStyle w:val="ListParagraph"/>
        <w:numPr>
          <w:ilvl w:val="0"/>
          <w:numId w:val="14"/>
        </w:numPr>
        <w:tabs>
          <w:tab w:val="left" w:pos="824"/>
        </w:tabs>
        <w:spacing w:line="480" w:lineRule="auto"/>
        <w:ind w:right="115" w:firstLine="0"/>
        <w:jc w:val="both"/>
        <w:rPr>
          <w:sz w:val="24"/>
          <w:szCs w:val="24"/>
        </w:rPr>
      </w:pPr>
      <w:r w:rsidRPr="00D14C17">
        <w:rPr>
          <w:sz w:val="24"/>
          <w:szCs w:val="24"/>
          <w:lang w:val="en"/>
        </w:rPr>
        <w:t>Pusey C, Rees A, Evans D, et al. Plasma exchange in focal necrotizing glomerulonephritis without anti-GBM antibodies. Kidney Int. 1991; 40:757-63.</w:t>
      </w:r>
    </w:p>
    <w:p w:rsidR="00CD39A7" w:rsidRPr="00D14C17" w:rsidRDefault="005B3809" w:rsidP="00D14C17">
      <w:pPr>
        <w:pStyle w:val="ListParagraph"/>
        <w:numPr>
          <w:ilvl w:val="0"/>
          <w:numId w:val="14"/>
        </w:numPr>
        <w:tabs>
          <w:tab w:val="left" w:pos="824"/>
        </w:tabs>
        <w:spacing w:before="10" w:line="480" w:lineRule="auto"/>
        <w:ind w:left="824"/>
        <w:jc w:val="both"/>
        <w:rPr>
          <w:sz w:val="24"/>
          <w:szCs w:val="24"/>
        </w:rPr>
      </w:pPr>
      <w:r w:rsidRPr="00D14C17">
        <w:rPr>
          <w:sz w:val="24"/>
          <w:szCs w:val="24"/>
          <w:lang w:val="en"/>
        </w:rPr>
        <w:t>Jayne D, Gaskin G, Rasmussen N, Abramowicz D, Ferrario F, Guillevin L, et al.</w:t>
      </w:r>
    </w:p>
    <w:p w:rsidR="00CD39A7" w:rsidRPr="00D14C17" w:rsidRDefault="005B3809" w:rsidP="00D14C17">
      <w:pPr>
        <w:pStyle w:val="BodyText"/>
        <w:spacing w:line="480" w:lineRule="auto"/>
        <w:ind w:left="115" w:right="116"/>
        <w:jc w:val="both"/>
      </w:pPr>
      <w:r w:rsidRPr="00D14C17">
        <w:rPr>
          <w:lang w:val="en"/>
        </w:rPr>
        <w:t>Randomised trial of plasma exchange or high-dosage methylprednisolone as adjunctive therapy for severe renal vasculitis. J Am Soc Nephrol. 2007; 18:2180-8.</w:t>
      </w:r>
    </w:p>
    <w:p w:rsidR="00CD39A7" w:rsidRPr="00D14C17" w:rsidRDefault="005B3809" w:rsidP="00D14C17">
      <w:pPr>
        <w:pStyle w:val="ListParagraph"/>
        <w:numPr>
          <w:ilvl w:val="0"/>
          <w:numId w:val="14"/>
        </w:numPr>
        <w:tabs>
          <w:tab w:val="left" w:pos="824"/>
        </w:tabs>
        <w:spacing w:before="10" w:line="480" w:lineRule="auto"/>
        <w:ind w:right="115" w:firstLine="0"/>
        <w:jc w:val="both"/>
        <w:rPr>
          <w:sz w:val="24"/>
          <w:szCs w:val="24"/>
        </w:rPr>
      </w:pPr>
      <w:r w:rsidRPr="00D14C17">
        <w:rPr>
          <w:sz w:val="24"/>
          <w:szCs w:val="24"/>
          <w:lang w:val="en"/>
        </w:rPr>
        <w:t>Langford C, Talar-Williams C, Barron K, Sneller K. A staged approach to the treatment of Wegener's granulomatosis: induction of remission with glucocorticoids and daily Cyclophosphamide switching to methotrexate for remission maintenance. Arthritis and rheumatism. 1999; 42:2666-73.</w:t>
      </w:r>
    </w:p>
    <w:p w:rsidR="00CD39A7" w:rsidRPr="00D14C17" w:rsidRDefault="005B3809" w:rsidP="00D14C17">
      <w:pPr>
        <w:pStyle w:val="ListParagraph"/>
        <w:numPr>
          <w:ilvl w:val="0"/>
          <w:numId w:val="14"/>
        </w:numPr>
        <w:tabs>
          <w:tab w:val="left" w:pos="824"/>
        </w:tabs>
        <w:spacing w:before="69" w:line="480" w:lineRule="auto"/>
        <w:ind w:right="118" w:firstLine="0"/>
        <w:jc w:val="both"/>
        <w:rPr>
          <w:sz w:val="24"/>
          <w:szCs w:val="24"/>
        </w:rPr>
      </w:pPr>
      <w:r w:rsidRPr="00D14C17">
        <w:rPr>
          <w:sz w:val="24"/>
          <w:szCs w:val="24"/>
          <w:lang w:val="fr-CA"/>
        </w:rPr>
        <w:t xml:space="preserve">Pagnoux C, Mahr A, Hamidou M, Boffa J, Ruivard M, Ducroix J, et al. </w:t>
      </w:r>
      <w:r w:rsidRPr="00D14C17">
        <w:rPr>
          <w:sz w:val="24"/>
          <w:szCs w:val="24"/>
          <w:lang w:val="en"/>
        </w:rPr>
        <w:t>Treatment of ANCA-Associated Vasculitis with Corticosteroids and Intravenous Cyclophosphamide</w:t>
      </w:r>
      <w:r w:rsidR="00D14C17" w:rsidRPr="00D14C17">
        <w:rPr>
          <w:sz w:val="24"/>
          <w:szCs w:val="24"/>
          <w:lang w:val="en"/>
        </w:rPr>
        <w:t xml:space="preserve"> </w:t>
      </w:r>
      <w:r w:rsidRPr="00D14C17">
        <w:rPr>
          <w:sz w:val="24"/>
          <w:szCs w:val="24"/>
          <w:lang w:val="en"/>
        </w:rPr>
        <w:t>Followed by Methotrexate or Azathioprine — A Multicenter Randomized Trial (WEGENT). submitted. 2007.</w:t>
      </w:r>
    </w:p>
    <w:p w:rsidR="00CD39A7" w:rsidRPr="00D14C17" w:rsidRDefault="005B3809" w:rsidP="00D14C17">
      <w:pPr>
        <w:pStyle w:val="ListParagraph"/>
        <w:numPr>
          <w:ilvl w:val="0"/>
          <w:numId w:val="14"/>
        </w:numPr>
        <w:tabs>
          <w:tab w:val="left" w:pos="824"/>
        </w:tabs>
        <w:spacing w:before="9" w:line="480" w:lineRule="auto"/>
        <w:ind w:right="113" w:firstLine="0"/>
        <w:jc w:val="both"/>
        <w:rPr>
          <w:sz w:val="24"/>
          <w:szCs w:val="24"/>
        </w:rPr>
      </w:pPr>
      <w:r w:rsidRPr="00D14C17">
        <w:rPr>
          <w:sz w:val="24"/>
          <w:szCs w:val="24"/>
          <w:lang w:val="en"/>
        </w:rPr>
        <w:t>Langford CA, Talar-Williams C, Sneller MC. Mycophenolate mofetil for remission maintenance in the treatment of Wegener's granulomatosis. Arthritis and rheumatism. 2004 Apr 15; 51(2):278-83.</w:t>
      </w:r>
    </w:p>
    <w:p w:rsidR="00CD39A7" w:rsidRPr="00D14C17" w:rsidRDefault="005B3809" w:rsidP="00D14C17">
      <w:pPr>
        <w:pStyle w:val="ListParagraph"/>
        <w:numPr>
          <w:ilvl w:val="0"/>
          <w:numId w:val="14"/>
        </w:numPr>
        <w:tabs>
          <w:tab w:val="left" w:pos="824"/>
        </w:tabs>
        <w:spacing w:before="9" w:line="480" w:lineRule="auto"/>
        <w:ind w:right="115" w:firstLine="0"/>
        <w:jc w:val="both"/>
        <w:rPr>
          <w:sz w:val="24"/>
          <w:szCs w:val="24"/>
        </w:rPr>
      </w:pPr>
      <w:r w:rsidRPr="00D14C17">
        <w:rPr>
          <w:sz w:val="24"/>
          <w:szCs w:val="24"/>
          <w:lang w:val="en"/>
        </w:rPr>
        <w:t>Metzler C, Fink C, Lamprecht P, Gross WL, Reinhold-Keller E. Maintenance of remission with leflunomide in Wegener's granulomatosis. Rheumatology (Oxford). 2004 Jan</w:t>
      </w:r>
      <w:r w:rsidR="00D14C17">
        <w:rPr>
          <w:sz w:val="24"/>
          <w:szCs w:val="24"/>
          <w:lang w:val="en"/>
        </w:rPr>
        <w:t> </w:t>
      </w:r>
      <w:r w:rsidRPr="00D14C17">
        <w:rPr>
          <w:sz w:val="24"/>
          <w:szCs w:val="24"/>
          <w:lang w:val="en"/>
        </w:rPr>
        <w:t>6.</w:t>
      </w:r>
    </w:p>
    <w:p w:rsidR="00CD39A7" w:rsidRPr="00D14C17" w:rsidRDefault="005B3809" w:rsidP="00D14C17">
      <w:pPr>
        <w:pStyle w:val="ListParagraph"/>
        <w:numPr>
          <w:ilvl w:val="0"/>
          <w:numId w:val="14"/>
        </w:numPr>
        <w:tabs>
          <w:tab w:val="left" w:pos="824"/>
        </w:tabs>
        <w:spacing w:before="9" w:line="480" w:lineRule="auto"/>
        <w:ind w:right="114" w:firstLine="0"/>
        <w:jc w:val="both"/>
        <w:rPr>
          <w:sz w:val="24"/>
          <w:szCs w:val="24"/>
        </w:rPr>
      </w:pPr>
      <w:r w:rsidRPr="00D14C17">
        <w:rPr>
          <w:sz w:val="24"/>
          <w:szCs w:val="24"/>
          <w:lang w:val="en"/>
        </w:rPr>
        <w:t>Bartolucci P, Ramanoelina J, Cohen P, Mahr A, Godmer P, Le Hello C, et al. Efficacy of the anti-TNF-alpha antibody infliximab against refractory systemic vasculitis: an open pilot study on 10 patients. Rheumatology (Oxford). 2002 Oct; 41(10):1126-32.</w:t>
      </w:r>
    </w:p>
    <w:p w:rsidR="00CD39A7" w:rsidRPr="00D14C17" w:rsidRDefault="005B3809" w:rsidP="00D14C17">
      <w:pPr>
        <w:pStyle w:val="ListParagraph"/>
        <w:numPr>
          <w:ilvl w:val="0"/>
          <w:numId w:val="14"/>
        </w:numPr>
        <w:tabs>
          <w:tab w:val="left" w:pos="824"/>
        </w:tabs>
        <w:spacing w:before="9" w:line="480" w:lineRule="auto"/>
        <w:ind w:right="117" w:firstLine="0"/>
        <w:jc w:val="both"/>
        <w:rPr>
          <w:sz w:val="24"/>
          <w:szCs w:val="24"/>
        </w:rPr>
      </w:pPr>
      <w:r w:rsidRPr="00D14C17">
        <w:rPr>
          <w:sz w:val="24"/>
          <w:szCs w:val="24"/>
          <w:lang w:val="en"/>
        </w:rPr>
        <w:t xml:space="preserve">Csernok E, Trabandt A, Müller A, Wang GC, Moosig F, Paulsen J, et al. Cytokine </w:t>
      </w:r>
      <w:r w:rsidRPr="00D14C17">
        <w:rPr>
          <w:sz w:val="24"/>
          <w:szCs w:val="24"/>
          <w:lang w:val="en"/>
        </w:rPr>
        <w:lastRenderedPageBreak/>
        <w:t>profiles in Wegener's granulomatosis: predominance of type 1 (Th1) in the granulomatous inflammation. Arthritis and rheumatism. 1999; 42(4):742-50.</w:t>
      </w:r>
    </w:p>
    <w:p w:rsidR="00CD39A7" w:rsidRPr="00D14C17" w:rsidRDefault="005B3809" w:rsidP="00D14C17">
      <w:pPr>
        <w:pStyle w:val="ListParagraph"/>
        <w:numPr>
          <w:ilvl w:val="0"/>
          <w:numId w:val="14"/>
        </w:numPr>
        <w:tabs>
          <w:tab w:val="left" w:pos="824"/>
        </w:tabs>
        <w:spacing w:before="9" w:line="480" w:lineRule="auto"/>
        <w:ind w:right="119" w:firstLine="0"/>
        <w:jc w:val="both"/>
        <w:rPr>
          <w:sz w:val="24"/>
          <w:szCs w:val="24"/>
        </w:rPr>
      </w:pPr>
      <w:r w:rsidRPr="00D14C17">
        <w:rPr>
          <w:sz w:val="24"/>
          <w:szCs w:val="24"/>
          <w:lang w:val="en"/>
        </w:rPr>
        <w:t>Wong CF. Rituximab in refractory antineutrophil cytoplasmic antibody-associated vasculitis: What is the current evidence? Nephrol Dial Transplant. 2007 Jan; 22(1):32-6.</w:t>
      </w:r>
    </w:p>
    <w:p w:rsidR="00CD39A7" w:rsidRPr="00D14C17" w:rsidRDefault="005B3809" w:rsidP="00D14C17">
      <w:pPr>
        <w:pStyle w:val="ListParagraph"/>
        <w:numPr>
          <w:ilvl w:val="0"/>
          <w:numId w:val="14"/>
        </w:numPr>
        <w:tabs>
          <w:tab w:val="left" w:pos="824"/>
        </w:tabs>
        <w:spacing w:before="9" w:line="480" w:lineRule="auto"/>
        <w:ind w:right="118" w:firstLine="0"/>
        <w:jc w:val="both"/>
        <w:rPr>
          <w:sz w:val="24"/>
          <w:szCs w:val="24"/>
        </w:rPr>
      </w:pPr>
      <w:r w:rsidRPr="00D14C17">
        <w:rPr>
          <w:sz w:val="24"/>
          <w:szCs w:val="24"/>
          <w:lang w:val="nl-BE"/>
        </w:rPr>
        <w:t xml:space="preserve">van der Geld YM, Stegeman CA, Kallenberg CG. </w:t>
      </w:r>
      <w:r w:rsidRPr="00D14C17">
        <w:rPr>
          <w:sz w:val="24"/>
          <w:szCs w:val="24"/>
          <w:lang w:val="en"/>
        </w:rPr>
        <w:t>B cell epitope specificity in ANCA- associated vasculitis: Does it matter? Clin Exp Immunol. 2004 Sep; 137(3):451-9.</w:t>
      </w:r>
    </w:p>
    <w:p w:rsidR="00CD39A7" w:rsidRPr="00D14C17" w:rsidRDefault="005B3809" w:rsidP="00D14C17">
      <w:pPr>
        <w:pStyle w:val="ListParagraph"/>
        <w:numPr>
          <w:ilvl w:val="0"/>
          <w:numId w:val="14"/>
        </w:numPr>
        <w:tabs>
          <w:tab w:val="left" w:pos="824"/>
        </w:tabs>
        <w:spacing w:before="9" w:line="480" w:lineRule="auto"/>
        <w:ind w:right="114" w:firstLine="0"/>
        <w:jc w:val="both"/>
        <w:rPr>
          <w:sz w:val="24"/>
          <w:szCs w:val="24"/>
        </w:rPr>
      </w:pPr>
      <w:r w:rsidRPr="00D14C17">
        <w:rPr>
          <w:sz w:val="24"/>
          <w:szCs w:val="24"/>
          <w:lang w:val="en"/>
        </w:rPr>
        <w:t>Xiao H, Heeringa P, Hu P, Liu Z, Zhao M, Aratani Y, et al. Antineutrophil cytoplasmic autoantibodies specific for myeloperoxidase cause glomerulonephritis and vasculitis in mice. J Clin Invest. 2002 Oct; 110(7):955-63.</w:t>
      </w:r>
    </w:p>
    <w:p w:rsidR="00CD39A7" w:rsidRPr="00D14C17" w:rsidRDefault="005B3809" w:rsidP="00D14C17">
      <w:pPr>
        <w:pStyle w:val="ListParagraph"/>
        <w:numPr>
          <w:ilvl w:val="0"/>
          <w:numId w:val="14"/>
        </w:numPr>
        <w:tabs>
          <w:tab w:val="left" w:pos="824"/>
        </w:tabs>
        <w:spacing w:before="9" w:line="480" w:lineRule="auto"/>
        <w:ind w:right="114" w:firstLine="0"/>
        <w:jc w:val="both"/>
        <w:rPr>
          <w:sz w:val="24"/>
          <w:szCs w:val="24"/>
        </w:rPr>
      </w:pPr>
      <w:r w:rsidRPr="00D14C17">
        <w:rPr>
          <w:sz w:val="24"/>
          <w:szCs w:val="24"/>
          <w:lang w:val="nl-BE"/>
        </w:rPr>
        <w:t xml:space="preserve">Specks U, Fervenza FC, McDonald TJ, Hogan MC. </w:t>
      </w:r>
      <w:r w:rsidRPr="00D14C17">
        <w:rPr>
          <w:sz w:val="24"/>
          <w:szCs w:val="24"/>
          <w:lang w:val="en"/>
        </w:rPr>
        <w:t>Response of Wegener's granulomatosis to anti-CD20 chimeric monoclonal antibody therapy. Arthritis and rheumatism. 2001 Dec; 44(12):2836-40.</w:t>
      </w:r>
    </w:p>
    <w:p w:rsidR="00CD39A7" w:rsidRPr="00D14C17" w:rsidRDefault="005B3809" w:rsidP="00D14C17">
      <w:pPr>
        <w:pStyle w:val="ListParagraph"/>
        <w:numPr>
          <w:ilvl w:val="0"/>
          <w:numId w:val="14"/>
        </w:numPr>
        <w:tabs>
          <w:tab w:val="left" w:pos="824"/>
        </w:tabs>
        <w:spacing w:before="69" w:line="480" w:lineRule="auto"/>
        <w:ind w:right="114" w:firstLine="0"/>
        <w:jc w:val="both"/>
        <w:rPr>
          <w:sz w:val="24"/>
          <w:szCs w:val="24"/>
        </w:rPr>
      </w:pPr>
      <w:r w:rsidRPr="00D14C17">
        <w:rPr>
          <w:sz w:val="24"/>
          <w:szCs w:val="24"/>
          <w:lang w:val="en"/>
        </w:rPr>
        <w:t>Keogh KA, Ytterberg SR, Fervenza FC, Carlson KA, Schroeder DR, Specks U. Rituximab for refractory Wegener's granulomatosis: report of a prospective, open-label pilot trial. Am J Respir Crit Care Med. 2006 Jan 15; 173(2):180-7.</w:t>
      </w:r>
    </w:p>
    <w:p w:rsidR="00CD39A7" w:rsidRPr="00D14C17" w:rsidRDefault="005B3809" w:rsidP="00D14C17">
      <w:pPr>
        <w:pStyle w:val="ListParagraph"/>
        <w:numPr>
          <w:ilvl w:val="0"/>
          <w:numId w:val="14"/>
        </w:numPr>
        <w:tabs>
          <w:tab w:val="left" w:pos="824"/>
        </w:tabs>
        <w:spacing w:before="9" w:line="480" w:lineRule="auto"/>
        <w:ind w:right="116" w:firstLine="0"/>
        <w:jc w:val="both"/>
        <w:rPr>
          <w:sz w:val="24"/>
          <w:szCs w:val="24"/>
        </w:rPr>
      </w:pPr>
      <w:r w:rsidRPr="00D14C17">
        <w:rPr>
          <w:sz w:val="24"/>
          <w:szCs w:val="24"/>
          <w:lang w:val="en"/>
        </w:rPr>
        <w:t>Aries PM, Hellmich B, Voswinkel J, Both M, Nolle B, Holl-Ulrich K, et al. Lack of efficacy of Rituximab in Wegener's granulomatosis with refractory granulomatous manifestations. Ann Rheum Dis. 2006 Jul; 65(7):853-8.</w:t>
      </w:r>
    </w:p>
    <w:p w:rsidR="00CD39A7" w:rsidRPr="00D14C17" w:rsidRDefault="005B3809" w:rsidP="00D14C17">
      <w:pPr>
        <w:pStyle w:val="ListParagraph"/>
        <w:numPr>
          <w:ilvl w:val="0"/>
          <w:numId w:val="14"/>
        </w:numPr>
        <w:tabs>
          <w:tab w:val="left" w:pos="824"/>
        </w:tabs>
        <w:spacing w:before="9" w:line="480" w:lineRule="auto"/>
        <w:ind w:right="115" w:firstLine="0"/>
        <w:jc w:val="both"/>
        <w:rPr>
          <w:sz w:val="24"/>
          <w:szCs w:val="24"/>
        </w:rPr>
      </w:pPr>
      <w:r w:rsidRPr="00D14C17">
        <w:rPr>
          <w:sz w:val="24"/>
          <w:szCs w:val="24"/>
          <w:lang w:val="en"/>
        </w:rPr>
        <w:t>Stasi R, Stipa E, Poeta G, Amadori S, Newland A, Provan D. Long-term observation of patients with anti-neutrophil cytoplasmic antibody-associated vasculitis treated with Rituximab. Rheumatology. 2006; ePub ahead of print.</w:t>
      </w:r>
    </w:p>
    <w:p w:rsidR="00CD39A7" w:rsidRPr="00D14C17" w:rsidRDefault="005B3809" w:rsidP="00D14C17">
      <w:pPr>
        <w:pStyle w:val="ListParagraph"/>
        <w:numPr>
          <w:ilvl w:val="0"/>
          <w:numId w:val="14"/>
        </w:numPr>
        <w:tabs>
          <w:tab w:val="left" w:pos="824"/>
        </w:tabs>
        <w:spacing w:before="9" w:line="480" w:lineRule="auto"/>
        <w:ind w:right="113" w:firstLine="0"/>
        <w:jc w:val="both"/>
        <w:rPr>
          <w:sz w:val="24"/>
          <w:szCs w:val="24"/>
        </w:rPr>
      </w:pPr>
      <w:r w:rsidRPr="00D14C17">
        <w:rPr>
          <w:sz w:val="24"/>
          <w:szCs w:val="24"/>
          <w:lang w:val="en"/>
        </w:rPr>
        <w:t>Brihaye B, Aouba A, Pagnoux C, Cohen P, Lacassin F, Guillevin L. Adjunction of Rituximab to steroids and immunosuppressants for refractory/relapsing Wegener's granulomatosis: a study on 8 patients. Clinical and experimental rheumatology. 2007 Jan- Feb; 25(1 Suppl 44):S23-7.</w:t>
      </w:r>
    </w:p>
    <w:p w:rsidR="00CD39A7" w:rsidRPr="00D14C17" w:rsidRDefault="005B3809" w:rsidP="00D14C17">
      <w:pPr>
        <w:pStyle w:val="ListParagraph"/>
        <w:numPr>
          <w:ilvl w:val="0"/>
          <w:numId w:val="14"/>
        </w:numPr>
        <w:tabs>
          <w:tab w:val="left" w:pos="824"/>
        </w:tabs>
        <w:spacing w:before="9" w:line="480" w:lineRule="auto"/>
        <w:ind w:right="116" w:firstLine="0"/>
        <w:jc w:val="both"/>
        <w:rPr>
          <w:sz w:val="24"/>
          <w:szCs w:val="24"/>
        </w:rPr>
      </w:pPr>
      <w:r w:rsidRPr="00D14C17">
        <w:rPr>
          <w:sz w:val="24"/>
          <w:szCs w:val="24"/>
          <w:lang w:val="en"/>
        </w:rPr>
        <w:t xml:space="preserve">Aries PM, Hellmich B, Both M, Nolle B, Voswinkel J, Holl-Ulrich K, et al. Lack of </w:t>
      </w:r>
      <w:r w:rsidRPr="00D14C17">
        <w:rPr>
          <w:sz w:val="24"/>
          <w:szCs w:val="24"/>
          <w:lang w:val="en"/>
        </w:rPr>
        <w:lastRenderedPageBreak/>
        <w:t>efficacy of Rituximab in Wegener's Granulomatosis with refractory granulomatous manifestations. Ann Rheum Dis. 2005 Nov 3; 65(7):853-8.</w:t>
      </w:r>
    </w:p>
    <w:p w:rsidR="00CD39A7" w:rsidRPr="00D14C17" w:rsidRDefault="005B3809" w:rsidP="00D14C17">
      <w:pPr>
        <w:pStyle w:val="ListParagraph"/>
        <w:numPr>
          <w:ilvl w:val="0"/>
          <w:numId w:val="14"/>
        </w:numPr>
        <w:tabs>
          <w:tab w:val="left" w:pos="824"/>
        </w:tabs>
        <w:spacing w:before="9" w:line="480" w:lineRule="auto"/>
        <w:ind w:right="116" w:firstLine="0"/>
        <w:jc w:val="both"/>
        <w:rPr>
          <w:sz w:val="24"/>
          <w:szCs w:val="24"/>
        </w:rPr>
      </w:pPr>
      <w:r w:rsidRPr="00D14C17">
        <w:rPr>
          <w:sz w:val="24"/>
          <w:szCs w:val="24"/>
          <w:lang w:val="en"/>
        </w:rPr>
        <w:t>Eriksson P. Nine patients with anti-neutrophil cytoplasmic antibody-positive vasculitis successfully treated with Rituximab. J Intern Med. 2005 Jun; 257(6):540-8.</w:t>
      </w:r>
    </w:p>
    <w:p w:rsidR="00CD39A7" w:rsidRPr="00D14C17" w:rsidRDefault="005B3809" w:rsidP="00D14C17">
      <w:pPr>
        <w:pStyle w:val="ListParagraph"/>
        <w:numPr>
          <w:ilvl w:val="0"/>
          <w:numId w:val="14"/>
        </w:numPr>
        <w:tabs>
          <w:tab w:val="left" w:pos="824"/>
        </w:tabs>
        <w:spacing w:before="9" w:line="480" w:lineRule="auto"/>
        <w:ind w:right="117" w:firstLine="0"/>
        <w:jc w:val="both"/>
        <w:rPr>
          <w:sz w:val="24"/>
          <w:szCs w:val="24"/>
        </w:rPr>
      </w:pPr>
      <w:r w:rsidRPr="00D14C17">
        <w:rPr>
          <w:sz w:val="24"/>
          <w:szCs w:val="24"/>
          <w:lang w:val="en"/>
        </w:rPr>
        <w:t>Keogh KA, Wylam ME, Stone JH, Specks U. Induction of remission by B lymphocyte depletion in eleven patients with refractory antineutrophil cytoplasmic antibody-associated vasculitis. Arthritis and rheumatism. 2005 Jan; 52(1):262-8.</w:t>
      </w:r>
    </w:p>
    <w:p w:rsidR="00CD39A7" w:rsidRPr="00D14C17" w:rsidRDefault="005B3809" w:rsidP="00D14C17">
      <w:pPr>
        <w:pStyle w:val="ListParagraph"/>
        <w:numPr>
          <w:ilvl w:val="0"/>
          <w:numId w:val="14"/>
        </w:numPr>
        <w:tabs>
          <w:tab w:val="left" w:pos="824"/>
        </w:tabs>
        <w:spacing w:before="9" w:line="480" w:lineRule="auto"/>
        <w:ind w:left="824"/>
        <w:jc w:val="both"/>
        <w:rPr>
          <w:sz w:val="24"/>
          <w:szCs w:val="24"/>
        </w:rPr>
      </w:pPr>
      <w:r w:rsidRPr="00D14C17">
        <w:rPr>
          <w:sz w:val="24"/>
          <w:szCs w:val="24"/>
          <w:lang w:val="en"/>
        </w:rPr>
        <w:t>Guillevin L, Durand Gasselin B, Cevallos R, Gayraud M, Lhote F, Callard P, et al.</w:t>
      </w:r>
    </w:p>
    <w:p w:rsidR="00CD39A7" w:rsidRPr="00D14C17" w:rsidRDefault="005B3809" w:rsidP="00D14C17">
      <w:pPr>
        <w:pStyle w:val="BodyText"/>
        <w:spacing w:before="1" w:line="480" w:lineRule="auto"/>
        <w:ind w:left="116" w:right="114"/>
        <w:jc w:val="both"/>
      </w:pPr>
      <w:r w:rsidRPr="00D14C17">
        <w:rPr>
          <w:lang w:val="en"/>
        </w:rPr>
        <w:t>Microscopic polyangiitis: clinical and laboratory findings in eighty-five patients. Arthritis and rheumatism. 1999; 42(3):421-30.</w:t>
      </w:r>
    </w:p>
    <w:p w:rsidR="00CD39A7" w:rsidRPr="00D14C17" w:rsidRDefault="00D72855" w:rsidP="00D14C17">
      <w:pPr>
        <w:pStyle w:val="ListParagraph"/>
        <w:numPr>
          <w:ilvl w:val="0"/>
          <w:numId w:val="14"/>
        </w:numPr>
        <w:tabs>
          <w:tab w:val="left" w:pos="824"/>
        </w:tabs>
        <w:spacing w:before="69" w:line="480" w:lineRule="auto"/>
        <w:ind w:left="824"/>
        <w:jc w:val="both"/>
        <w:rPr>
          <w:sz w:val="24"/>
          <w:szCs w:val="24"/>
        </w:rPr>
      </w:pPr>
      <w:r>
        <w:rPr>
          <w:sz w:val="24"/>
          <w:szCs w:val="24"/>
          <w:lang w:val="en"/>
        </w:rPr>
        <w:t>Guillevin L, Lhote</w:t>
      </w:r>
      <w:r w:rsidR="005B3809" w:rsidRPr="00D14C17">
        <w:rPr>
          <w:sz w:val="24"/>
          <w:szCs w:val="24"/>
          <w:lang w:val="en"/>
        </w:rPr>
        <w:t xml:space="preserve"> F, Gayraud M, Cohen P, Jarrousse B, Lortholary O, et al.</w:t>
      </w:r>
    </w:p>
    <w:p w:rsidR="00CD39A7" w:rsidRPr="00D14C17" w:rsidRDefault="005B3809" w:rsidP="00D14C17">
      <w:pPr>
        <w:pStyle w:val="BodyText"/>
        <w:spacing w:line="480" w:lineRule="auto"/>
        <w:ind w:left="116" w:right="111"/>
        <w:jc w:val="both"/>
      </w:pPr>
      <w:r w:rsidRPr="00D14C17">
        <w:rPr>
          <w:lang w:val="en"/>
        </w:rPr>
        <w:t>Prognostic factors in polyarteritis nodosa and Churg-Strauss syndrome. A prospective study in 342 patients. Medicine (Baltimore). 1996; 75(1):17-28.</w:t>
      </w:r>
    </w:p>
    <w:p w:rsidR="00CD39A7" w:rsidRPr="00D14C17" w:rsidRDefault="005B3809" w:rsidP="00D14C17">
      <w:pPr>
        <w:pStyle w:val="ListParagraph"/>
        <w:numPr>
          <w:ilvl w:val="0"/>
          <w:numId w:val="14"/>
        </w:numPr>
        <w:tabs>
          <w:tab w:val="left" w:pos="824"/>
        </w:tabs>
        <w:spacing w:before="10" w:line="480" w:lineRule="auto"/>
        <w:ind w:right="116" w:firstLine="0"/>
        <w:jc w:val="both"/>
        <w:rPr>
          <w:sz w:val="24"/>
          <w:szCs w:val="24"/>
        </w:rPr>
      </w:pPr>
      <w:r w:rsidRPr="00D14C17">
        <w:rPr>
          <w:sz w:val="24"/>
          <w:szCs w:val="24"/>
          <w:lang w:val="en"/>
        </w:rPr>
        <w:t>Luqmani RA, Bacon PA, Moots RJ, Janssen BA, Pall A, Emery P, et al. Birmingham Vasculitis Activity Score (BVAS) in systemic necrotizing vasculitis. Qjm. 1994 Nov; 87(11):671-8.</w:t>
      </w:r>
    </w:p>
    <w:p w:rsidR="00381FEB" w:rsidRDefault="00381FEB">
      <w:pPr>
        <w:rPr>
          <w:sz w:val="26"/>
          <w:szCs w:val="24"/>
        </w:rPr>
      </w:pPr>
    </w:p>
    <w:p w:rsidR="00CD39A7" w:rsidRDefault="005B3809">
      <w:pPr>
        <w:pStyle w:val="Heading1"/>
        <w:spacing w:before="211"/>
        <w:ind w:left="2470"/>
        <w:jc w:val="left"/>
      </w:pPr>
      <w:bookmarkStart w:id="172" w:name="_bookmark167"/>
      <w:bookmarkStart w:id="173" w:name="Annexe_II_-_Critères_de_classification"/>
      <w:bookmarkEnd w:id="172"/>
      <w:bookmarkEnd w:id="173"/>
      <w:r>
        <w:rPr>
          <w:lang w:val="en"/>
        </w:rPr>
        <w:t>Appendix II - Classification Criteria</w:t>
      </w:r>
    </w:p>
    <w:p w:rsidR="00CD39A7" w:rsidRDefault="00CD39A7">
      <w:pPr>
        <w:pStyle w:val="BodyText"/>
        <w:rPr>
          <w:b/>
          <w:sz w:val="20"/>
        </w:rPr>
      </w:pPr>
    </w:p>
    <w:p w:rsidR="00CD39A7" w:rsidRDefault="00CD39A7">
      <w:pPr>
        <w:pStyle w:val="BodyText"/>
        <w:spacing w:before="6"/>
        <w:rPr>
          <w:b/>
          <w:sz w:val="14"/>
        </w:rPr>
      </w:pPr>
    </w:p>
    <w:tbl>
      <w:tblPr>
        <w:tblW w:w="0" w:type="auto"/>
        <w:tblInd w:w="1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6"/>
        <w:gridCol w:w="1343"/>
        <w:gridCol w:w="7445"/>
      </w:tblGrid>
      <w:tr w:rsidR="00CD39A7">
        <w:trPr>
          <w:trHeight w:hRule="exact" w:val="598"/>
        </w:trPr>
        <w:tc>
          <w:tcPr>
            <w:tcW w:w="256" w:type="dxa"/>
            <w:tcBorders>
              <w:top w:val="single" w:sz="17" w:space="0" w:color="000000"/>
              <w:bottom w:val="single" w:sz="17" w:space="0" w:color="000000"/>
            </w:tcBorders>
          </w:tcPr>
          <w:p w:rsidR="00CD39A7" w:rsidRDefault="00CD39A7"/>
        </w:tc>
        <w:tc>
          <w:tcPr>
            <w:tcW w:w="1343" w:type="dxa"/>
            <w:tcBorders>
              <w:top w:val="single" w:sz="17" w:space="0" w:color="000000"/>
              <w:bottom w:val="single" w:sz="17" w:space="0" w:color="000000"/>
            </w:tcBorders>
          </w:tcPr>
          <w:p w:rsidR="00CD39A7" w:rsidRDefault="005B3809">
            <w:pPr>
              <w:pStyle w:val="TableParagraph"/>
              <w:spacing w:line="275" w:lineRule="exact"/>
              <w:ind w:left="89"/>
              <w:rPr>
                <w:b/>
                <w:sz w:val="24"/>
              </w:rPr>
            </w:pPr>
            <w:r>
              <w:rPr>
                <w:b/>
                <w:bCs/>
                <w:sz w:val="24"/>
                <w:lang w:val="en"/>
              </w:rPr>
              <w:t>Table 1</w:t>
            </w:r>
          </w:p>
        </w:tc>
        <w:tc>
          <w:tcPr>
            <w:tcW w:w="7445" w:type="dxa"/>
            <w:tcBorders>
              <w:top w:val="single" w:sz="17" w:space="0" w:color="000000"/>
              <w:bottom w:val="single" w:sz="17" w:space="0" w:color="000000"/>
            </w:tcBorders>
          </w:tcPr>
          <w:p w:rsidR="00CD39A7" w:rsidRDefault="005B3809">
            <w:pPr>
              <w:pStyle w:val="TableParagraph"/>
              <w:spacing w:line="270" w:lineRule="exact"/>
              <w:ind w:left="230"/>
              <w:rPr>
                <w:sz w:val="24"/>
              </w:rPr>
            </w:pPr>
            <w:r>
              <w:rPr>
                <w:sz w:val="24"/>
                <w:lang w:val="en"/>
              </w:rPr>
              <w:t>Wegener's granulomatosis.</w:t>
            </w:r>
          </w:p>
          <w:p w:rsidR="00CD39A7" w:rsidRDefault="005B3809">
            <w:pPr>
              <w:pStyle w:val="TableParagraph"/>
              <w:spacing w:line="240" w:lineRule="auto"/>
              <w:ind w:left="230"/>
              <w:rPr>
                <w:sz w:val="24"/>
              </w:rPr>
            </w:pPr>
            <w:r>
              <w:rPr>
                <w:sz w:val="24"/>
                <w:lang w:val="en"/>
              </w:rPr>
              <w:t>Criteria of the American College of Rheumatology (1990)</w:t>
            </w:r>
          </w:p>
        </w:tc>
      </w:tr>
      <w:tr w:rsidR="00CD39A7">
        <w:trPr>
          <w:trHeight w:hRule="exact" w:val="615"/>
        </w:trPr>
        <w:tc>
          <w:tcPr>
            <w:tcW w:w="9043" w:type="dxa"/>
            <w:gridSpan w:val="3"/>
            <w:tcBorders>
              <w:top w:val="single" w:sz="17" w:space="0" w:color="000000"/>
            </w:tcBorders>
          </w:tcPr>
          <w:p w:rsidR="00CD39A7" w:rsidRDefault="00CD39A7">
            <w:pPr>
              <w:pStyle w:val="TableParagraph"/>
              <w:spacing w:before="9" w:line="240" w:lineRule="auto"/>
              <w:rPr>
                <w:b/>
                <w:sz w:val="25"/>
              </w:rPr>
            </w:pPr>
          </w:p>
          <w:p w:rsidR="00CD39A7" w:rsidRDefault="005B3809">
            <w:pPr>
              <w:pStyle w:val="TableParagraph"/>
              <w:spacing w:line="240" w:lineRule="auto"/>
              <w:ind w:left="345"/>
              <w:rPr>
                <w:sz w:val="24"/>
              </w:rPr>
            </w:pPr>
            <w:r>
              <w:rPr>
                <w:sz w:val="24"/>
                <w:lang w:val="en"/>
              </w:rPr>
              <w:t>The presence of 2 to 4 of the following criteria in a patient suffering from vasculitis</w:t>
            </w:r>
          </w:p>
        </w:tc>
      </w:tr>
      <w:tr w:rsidR="00CD39A7">
        <w:trPr>
          <w:trHeight w:hRule="exact" w:val="306"/>
        </w:trPr>
        <w:tc>
          <w:tcPr>
            <w:tcW w:w="9043" w:type="dxa"/>
            <w:gridSpan w:val="3"/>
          </w:tcPr>
          <w:p w:rsidR="00CD39A7" w:rsidRDefault="005B3809">
            <w:pPr>
              <w:pStyle w:val="TableParagraph"/>
              <w:spacing w:before="10" w:line="240" w:lineRule="auto"/>
              <w:ind w:left="345"/>
              <w:rPr>
                <w:sz w:val="24"/>
              </w:rPr>
            </w:pPr>
            <w:r>
              <w:rPr>
                <w:sz w:val="24"/>
                <w:lang w:val="en"/>
              </w:rPr>
              <w:t>classifies the condition as Wegener's granulomatosis,</w:t>
            </w:r>
          </w:p>
        </w:tc>
      </w:tr>
      <w:tr w:rsidR="00CD39A7">
        <w:trPr>
          <w:trHeight w:hRule="exact" w:val="649"/>
        </w:trPr>
        <w:tc>
          <w:tcPr>
            <w:tcW w:w="9043" w:type="dxa"/>
            <w:gridSpan w:val="3"/>
            <w:tcBorders>
              <w:bottom w:val="single" w:sz="17" w:space="0" w:color="000000"/>
            </w:tcBorders>
          </w:tcPr>
          <w:p w:rsidR="00CD39A7" w:rsidRDefault="005B3809">
            <w:pPr>
              <w:pStyle w:val="TableParagraph"/>
              <w:spacing w:before="9" w:line="240" w:lineRule="auto"/>
              <w:ind w:left="345"/>
              <w:rPr>
                <w:sz w:val="24"/>
              </w:rPr>
            </w:pPr>
            <w:r>
              <w:rPr>
                <w:sz w:val="24"/>
                <w:lang w:val="en"/>
              </w:rPr>
              <w:t>with a sensitivity of 88.2% and a specificity of 92%.</w:t>
            </w:r>
          </w:p>
        </w:tc>
      </w:tr>
      <w:tr w:rsidR="00CD39A7">
        <w:trPr>
          <w:trHeight w:hRule="exact" w:val="616"/>
        </w:trPr>
        <w:tc>
          <w:tcPr>
            <w:tcW w:w="256" w:type="dxa"/>
            <w:tcBorders>
              <w:top w:val="single" w:sz="17" w:space="0" w:color="000000"/>
            </w:tcBorders>
          </w:tcPr>
          <w:p w:rsidR="00CD39A7" w:rsidRDefault="00CD39A7">
            <w:pPr>
              <w:pStyle w:val="TableParagraph"/>
              <w:spacing w:line="240" w:lineRule="auto"/>
              <w:rPr>
                <w:b/>
                <w:sz w:val="26"/>
              </w:rPr>
            </w:pPr>
          </w:p>
          <w:p w:rsidR="00CD39A7" w:rsidRDefault="005B3809">
            <w:pPr>
              <w:pStyle w:val="TableParagraph"/>
              <w:spacing w:line="240" w:lineRule="auto"/>
              <w:ind w:left="45"/>
              <w:rPr>
                <w:sz w:val="24"/>
              </w:rPr>
            </w:pPr>
            <w:r>
              <w:rPr>
                <w:sz w:val="24"/>
                <w:lang w:val="en"/>
              </w:rPr>
              <w:t>1</w:t>
            </w:r>
          </w:p>
        </w:tc>
        <w:tc>
          <w:tcPr>
            <w:tcW w:w="8788" w:type="dxa"/>
            <w:gridSpan w:val="2"/>
            <w:tcBorders>
              <w:top w:val="single" w:sz="17" w:space="0" w:color="000000"/>
            </w:tcBorders>
          </w:tcPr>
          <w:p w:rsidR="00CD39A7" w:rsidRDefault="00CD39A7">
            <w:pPr>
              <w:pStyle w:val="TableParagraph"/>
              <w:spacing w:line="240" w:lineRule="auto"/>
              <w:rPr>
                <w:b/>
                <w:sz w:val="26"/>
              </w:rPr>
            </w:pPr>
          </w:p>
          <w:p w:rsidR="00CD39A7" w:rsidRDefault="005B3809">
            <w:pPr>
              <w:pStyle w:val="TableParagraph"/>
              <w:spacing w:line="240" w:lineRule="auto"/>
              <w:ind w:left="89"/>
              <w:rPr>
                <w:sz w:val="24"/>
              </w:rPr>
            </w:pPr>
            <w:r>
              <w:rPr>
                <w:sz w:val="24"/>
                <w:lang w:val="en"/>
              </w:rPr>
              <w:t>Nasal or oral inflammation (epistaxis, oral ulcers or facial pain)</w:t>
            </w:r>
          </w:p>
        </w:tc>
      </w:tr>
      <w:tr w:rsidR="00CD39A7">
        <w:trPr>
          <w:trHeight w:hRule="exact" w:val="305"/>
        </w:trPr>
        <w:tc>
          <w:tcPr>
            <w:tcW w:w="256" w:type="dxa"/>
          </w:tcPr>
          <w:p w:rsidR="00CD39A7" w:rsidRDefault="005B3809">
            <w:pPr>
              <w:pStyle w:val="TableParagraph"/>
              <w:spacing w:before="9" w:line="240" w:lineRule="auto"/>
              <w:ind w:left="45"/>
              <w:rPr>
                <w:sz w:val="24"/>
              </w:rPr>
            </w:pPr>
            <w:r>
              <w:rPr>
                <w:sz w:val="24"/>
                <w:lang w:val="en"/>
              </w:rPr>
              <w:t>2</w:t>
            </w:r>
          </w:p>
        </w:tc>
        <w:tc>
          <w:tcPr>
            <w:tcW w:w="8788" w:type="dxa"/>
            <w:gridSpan w:val="2"/>
          </w:tcPr>
          <w:p w:rsidR="00CD39A7" w:rsidRDefault="005B3809">
            <w:pPr>
              <w:pStyle w:val="TableParagraph"/>
              <w:spacing w:before="9" w:line="240" w:lineRule="auto"/>
              <w:ind w:left="89"/>
              <w:rPr>
                <w:sz w:val="24"/>
              </w:rPr>
            </w:pPr>
            <w:r>
              <w:rPr>
                <w:sz w:val="24"/>
                <w:lang w:val="en"/>
              </w:rPr>
              <w:t>Abnormal chest radiograph (nodules, cavities, fixed infiltrates)</w:t>
            </w:r>
          </w:p>
        </w:tc>
      </w:tr>
      <w:tr w:rsidR="00CD39A7">
        <w:trPr>
          <w:trHeight w:hRule="exact" w:val="305"/>
        </w:trPr>
        <w:tc>
          <w:tcPr>
            <w:tcW w:w="256" w:type="dxa"/>
          </w:tcPr>
          <w:p w:rsidR="00CD39A7" w:rsidRDefault="005B3809">
            <w:pPr>
              <w:pStyle w:val="TableParagraph"/>
              <w:spacing w:before="9" w:line="240" w:lineRule="auto"/>
              <w:ind w:left="45"/>
              <w:rPr>
                <w:sz w:val="24"/>
              </w:rPr>
            </w:pPr>
            <w:r>
              <w:rPr>
                <w:sz w:val="24"/>
                <w:lang w:val="en"/>
              </w:rPr>
              <w:t>3</w:t>
            </w:r>
          </w:p>
        </w:tc>
        <w:tc>
          <w:tcPr>
            <w:tcW w:w="8788" w:type="dxa"/>
            <w:gridSpan w:val="2"/>
          </w:tcPr>
          <w:p w:rsidR="00CD39A7" w:rsidRDefault="005B3809">
            <w:pPr>
              <w:pStyle w:val="TableParagraph"/>
              <w:spacing w:before="9" w:line="240" w:lineRule="auto"/>
              <w:ind w:left="89"/>
              <w:rPr>
                <w:sz w:val="24"/>
              </w:rPr>
            </w:pPr>
            <w:r>
              <w:rPr>
                <w:sz w:val="24"/>
                <w:lang w:val="en"/>
              </w:rPr>
              <w:t>Abnormal urinary sediment (microscopic hematuria or red cell casts)</w:t>
            </w:r>
          </w:p>
        </w:tc>
      </w:tr>
      <w:tr w:rsidR="00CD39A7" w:rsidTr="00381FEB">
        <w:trPr>
          <w:trHeight w:hRule="exact" w:val="624"/>
        </w:trPr>
        <w:tc>
          <w:tcPr>
            <w:tcW w:w="256" w:type="dxa"/>
            <w:tcBorders>
              <w:bottom w:val="single" w:sz="17" w:space="0" w:color="000000"/>
            </w:tcBorders>
          </w:tcPr>
          <w:p w:rsidR="00CD39A7" w:rsidRDefault="005B3809">
            <w:pPr>
              <w:pStyle w:val="TableParagraph"/>
              <w:spacing w:before="9" w:line="240" w:lineRule="auto"/>
              <w:ind w:left="45"/>
              <w:rPr>
                <w:sz w:val="24"/>
              </w:rPr>
            </w:pPr>
            <w:r>
              <w:rPr>
                <w:sz w:val="24"/>
                <w:lang w:val="en"/>
              </w:rPr>
              <w:t>4</w:t>
            </w:r>
          </w:p>
        </w:tc>
        <w:tc>
          <w:tcPr>
            <w:tcW w:w="8788" w:type="dxa"/>
            <w:gridSpan w:val="2"/>
            <w:tcBorders>
              <w:bottom w:val="single" w:sz="17" w:space="0" w:color="000000"/>
            </w:tcBorders>
          </w:tcPr>
          <w:p w:rsidR="00CD39A7" w:rsidRDefault="005B3809">
            <w:pPr>
              <w:pStyle w:val="TableParagraph"/>
              <w:spacing w:before="9" w:line="240" w:lineRule="auto"/>
              <w:ind w:left="89"/>
              <w:rPr>
                <w:sz w:val="24"/>
              </w:rPr>
            </w:pPr>
            <w:r>
              <w:rPr>
                <w:sz w:val="24"/>
                <w:lang w:val="en"/>
              </w:rPr>
              <w:t>Granulomatous inflammation on biopsy (in the wall or around arteries or arterioles)</w:t>
            </w:r>
          </w:p>
        </w:tc>
      </w:tr>
    </w:tbl>
    <w:p w:rsidR="00CD39A7" w:rsidRDefault="00CD39A7">
      <w:pPr>
        <w:rPr>
          <w:sz w:val="24"/>
        </w:rPr>
        <w:sectPr w:rsidR="00CD39A7">
          <w:pgSz w:w="11910" w:h="16840"/>
          <w:pgMar w:top="1320" w:right="1300" w:bottom="1200" w:left="1300" w:header="0" w:footer="952" w:gutter="0"/>
          <w:cols w:space="720"/>
        </w:sectPr>
      </w:pPr>
    </w:p>
    <w:p w:rsidR="00CD39A7" w:rsidRDefault="00CD39A7">
      <w:pPr>
        <w:pStyle w:val="BodyText"/>
        <w:spacing w:before="1"/>
        <w:rPr>
          <w:sz w:val="8"/>
        </w:rPr>
      </w:pPr>
    </w:p>
    <w:tbl>
      <w:tblPr>
        <w:tblW w:w="0" w:type="auto"/>
        <w:tblInd w:w="13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30"/>
        <w:gridCol w:w="2093"/>
        <w:gridCol w:w="6953"/>
      </w:tblGrid>
      <w:tr w:rsidR="00CD39A7">
        <w:trPr>
          <w:trHeight w:hRule="exact" w:val="552"/>
        </w:trPr>
        <w:tc>
          <w:tcPr>
            <w:tcW w:w="1330" w:type="dxa"/>
            <w:tcBorders>
              <w:top w:val="single" w:sz="17" w:space="0" w:color="000000"/>
              <w:bottom w:val="single" w:sz="17" w:space="0" w:color="000000"/>
            </w:tcBorders>
          </w:tcPr>
          <w:p w:rsidR="00CD39A7" w:rsidRDefault="005B3809">
            <w:pPr>
              <w:pStyle w:val="TableParagraph"/>
              <w:spacing w:before="1" w:line="240" w:lineRule="auto"/>
              <w:ind w:left="211"/>
              <w:rPr>
                <w:b/>
              </w:rPr>
            </w:pPr>
            <w:r>
              <w:rPr>
                <w:b/>
                <w:bCs/>
                <w:lang w:val="en"/>
              </w:rPr>
              <w:t>Table 2</w:t>
            </w:r>
          </w:p>
        </w:tc>
        <w:tc>
          <w:tcPr>
            <w:tcW w:w="9046" w:type="dxa"/>
            <w:gridSpan w:val="2"/>
            <w:tcBorders>
              <w:top w:val="single" w:sz="17" w:space="0" w:color="000000"/>
              <w:bottom w:val="single" w:sz="17" w:space="0" w:color="000000"/>
            </w:tcBorders>
          </w:tcPr>
          <w:p w:rsidR="00CD39A7" w:rsidRDefault="005B3809">
            <w:pPr>
              <w:pStyle w:val="TableParagraph"/>
              <w:spacing w:line="242" w:lineRule="auto"/>
              <w:ind w:left="179"/>
            </w:pPr>
            <w:r>
              <w:rPr>
                <w:lang w:val="en"/>
              </w:rPr>
              <w:t>Names and definitions of the different types of vasculitis adopted by the Consensus Conference on the Nomenclature of Systemic Vasculitis (Chapel Hill, North Carolina, USA) in 1993</w:t>
            </w:r>
          </w:p>
        </w:tc>
      </w:tr>
      <w:tr w:rsidR="00CD39A7">
        <w:trPr>
          <w:trHeight w:hRule="exact" w:val="277"/>
        </w:trPr>
        <w:tc>
          <w:tcPr>
            <w:tcW w:w="10375" w:type="dxa"/>
            <w:gridSpan w:val="3"/>
            <w:tcBorders>
              <w:top w:val="single" w:sz="17" w:space="0" w:color="000000"/>
            </w:tcBorders>
          </w:tcPr>
          <w:p w:rsidR="00CD39A7" w:rsidRDefault="005B3809">
            <w:pPr>
              <w:pStyle w:val="TableParagraph"/>
              <w:spacing w:before="1" w:line="240" w:lineRule="auto"/>
              <w:ind w:left="31"/>
              <w:rPr>
                <w:b/>
              </w:rPr>
            </w:pPr>
            <w:r>
              <w:rPr>
                <w:b/>
                <w:bCs/>
                <w:lang w:val="en"/>
              </w:rPr>
              <w:t>Large vessel vasculitis</w:t>
            </w:r>
          </w:p>
        </w:tc>
      </w:tr>
      <w:tr w:rsidR="00CD39A7">
        <w:trPr>
          <w:trHeight w:hRule="exact" w:val="1262"/>
        </w:trPr>
        <w:tc>
          <w:tcPr>
            <w:tcW w:w="3423" w:type="dxa"/>
            <w:gridSpan w:val="2"/>
          </w:tcPr>
          <w:p w:rsidR="00CD39A7" w:rsidRDefault="005B3809" w:rsidP="00B25E13">
            <w:pPr>
              <w:pStyle w:val="TableParagraph"/>
              <w:numPr>
                <w:ilvl w:val="0"/>
                <w:numId w:val="13"/>
              </w:numPr>
              <w:tabs>
                <w:tab w:val="left" w:pos="669"/>
                <w:tab w:val="left" w:pos="670"/>
                <w:tab w:val="left" w:pos="1557"/>
                <w:tab w:val="left" w:pos="1857"/>
                <w:tab w:val="left" w:pos="2734"/>
              </w:tabs>
              <w:spacing w:line="242" w:lineRule="auto"/>
              <w:ind w:right="26" w:firstLine="0"/>
            </w:pPr>
            <w:r>
              <w:rPr>
                <w:lang w:val="en"/>
              </w:rPr>
              <w:t xml:space="preserve">Giant cell arteritis </w:t>
            </w:r>
            <w:r w:rsidR="0043283A">
              <w:rPr>
                <w:lang w:val="en"/>
              </w:rPr>
              <w:br/>
            </w:r>
            <w:r>
              <w:rPr>
                <w:lang w:val="en"/>
              </w:rPr>
              <w:t>(temporal arteritis)</w:t>
            </w:r>
          </w:p>
        </w:tc>
        <w:tc>
          <w:tcPr>
            <w:tcW w:w="6952" w:type="dxa"/>
          </w:tcPr>
          <w:p w:rsidR="00CD39A7" w:rsidRDefault="005B3809" w:rsidP="0043283A">
            <w:pPr>
              <w:pStyle w:val="TableParagraph"/>
              <w:spacing w:line="242" w:lineRule="auto"/>
              <w:ind w:left="28" w:right="325"/>
            </w:pPr>
            <w:r>
              <w:rPr>
                <w:lang w:val="en"/>
              </w:rPr>
              <w:t>Granulomatous arteritis of the aorta and its major branches with a predilection for the extracranial branches of the carotid artery.</w:t>
            </w:r>
          </w:p>
          <w:p w:rsidR="00CD39A7" w:rsidRDefault="005B3809" w:rsidP="0043283A">
            <w:pPr>
              <w:pStyle w:val="TableParagraph"/>
              <w:spacing w:before="4" w:line="240" w:lineRule="auto"/>
              <w:ind w:left="28" w:right="325"/>
              <w:rPr>
                <w:i/>
              </w:rPr>
            </w:pPr>
            <w:r>
              <w:rPr>
                <w:i/>
                <w:iCs/>
                <w:lang w:val="en"/>
              </w:rPr>
              <w:t xml:space="preserve">Often involves the temporal artery. Usually occurs in patients older </w:t>
            </w:r>
            <w:r w:rsidR="0043283A">
              <w:rPr>
                <w:i/>
                <w:iCs/>
                <w:lang w:val="en"/>
              </w:rPr>
              <w:br/>
            </w:r>
            <w:r>
              <w:rPr>
                <w:i/>
                <w:iCs/>
                <w:lang w:val="en"/>
              </w:rPr>
              <w:t>than 50 and is often associated with polymyalgia rheumatica.</w:t>
            </w:r>
          </w:p>
        </w:tc>
      </w:tr>
      <w:tr w:rsidR="00CD39A7">
        <w:trPr>
          <w:trHeight w:hRule="exact" w:val="761"/>
        </w:trPr>
        <w:tc>
          <w:tcPr>
            <w:tcW w:w="3423" w:type="dxa"/>
            <w:gridSpan w:val="2"/>
          </w:tcPr>
          <w:p w:rsidR="00CD39A7" w:rsidRDefault="005B3809" w:rsidP="00B25E13">
            <w:pPr>
              <w:pStyle w:val="TableParagraph"/>
              <w:numPr>
                <w:ilvl w:val="0"/>
                <w:numId w:val="12"/>
              </w:numPr>
              <w:tabs>
                <w:tab w:val="left" w:pos="524"/>
              </w:tabs>
              <w:spacing w:line="248" w:lineRule="exact"/>
              <w:ind w:hanging="132"/>
            </w:pPr>
            <w:r>
              <w:rPr>
                <w:lang w:val="en"/>
              </w:rPr>
              <w:t>Takayasu arteritis</w:t>
            </w:r>
          </w:p>
        </w:tc>
        <w:tc>
          <w:tcPr>
            <w:tcW w:w="6952" w:type="dxa"/>
          </w:tcPr>
          <w:p w:rsidR="00CD39A7" w:rsidRDefault="005B3809" w:rsidP="0043283A">
            <w:pPr>
              <w:pStyle w:val="TableParagraph"/>
              <w:spacing w:line="242" w:lineRule="auto"/>
              <w:ind w:left="28" w:right="1014"/>
            </w:pPr>
            <w:r>
              <w:rPr>
                <w:lang w:val="en"/>
              </w:rPr>
              <w:t>Granulomatous inflammation of the aorta and its major branches.</w:t>
            </w:r>
          </w:p>
          <w:p w:rsidR="00CD39A7" w:rsidRDefault="005B3809">
            <w:pPr>
              <w:pStyle w:val="TableParagraph"/>
              <w:spacing w:before="5" w:line="250" w:lineRule="exact"/>
              <w:ind w:left="28"/>
              <w:rPr>
                <w:i/>
              </w:rPr>
            </w:pPr>
            <w:r>
              <w:rPr>
                <w:i/>
                <w:iCs/>
                <w:lang w:val="en"/>
              </w:rPr>
              <w:t>Usually occurs in patients younger than 50.</w:t>
            </w:r>
          </w:p>
        </w:tc>
      </w:tr>
      <w:tr w:rsidR="00CD39A7">
        <w:trPr>
          <w:trHeight w:hRule="exact" w:val="264"/>
        </w:trPr>
        <w:tc>
          <w:tcPr>
            <w:tcW w:w="10375" w:type="dxa"/>
            <w:gridSpan w:val="3"/>
          </w:tcPr>
          <w:p w:rsidR="00CD39A7" w:rsidRDefault="005B3809">
            <w:pPr>
              <w:pStyle w:val="TableParagraph"/>
              <w:spacing w:line="250" w:lineRule="exact"/>
              <w:ind w:left="31"/>
              <w:rPr>
                <w:b/>
              </w:rPr>
            </w:pPr>
            <w:r>
              <w:rPr>
                <w:b/>
                <w:bCs/>
                <w:lang w:val="en"/>
              </w:rPr>
              <w:t>Medium-sized vessel vasculitis</w:t>
            </w:r>
          </w:p>
        </w:tc>
      </w:tr>
      <w:tr w:rsidR="00CD39A7">
        <w:trPr>
          <w:trHeight w:hRule="exact" w:val="514"/>
        </w:trPr>
        <w:tc>
          <w:tcPr>
            <w:tcW w:w="3423" w:type="dxa"/>
            <w:gridSpan w:val="2"/>
          </w:tcPr>
          <w:p w:rsidR="00CD39A7" w:rsidRDefault="005B3809" w:rsidP="00B25E13">
            <w:pPr>
              <w:pStyle w:val="TableParagraph"/>
              <w:numPr>
                <w:ilvl w:val="0"/>
                <w:numId w:val="11"/>
              </w:numPr>
              <w:tabs>
                <w:tab w:val="left" w:pos="524"/>
              </w:tabs>
              <w:spacing w:before="4" w:line="240" w:lineRule="auto"/>
              <w:ind w:hanging="132"/>
            </w:pPr>
            <w:r>
              <w:rPr>
                <w:lang w:val="en"/>
              </w:rPr>
              <w:t>Polyarteritis nodosa</w:t>
            </w:r>
          </w:p>
        </w:tc>
        <w:tc>
          <w:tcPr>
            <w:tcW w:w="6952" w:type="dxa"/>
          </w:tcPr>
          <w:p w:rsidR="00CD39A7" w:rsidRDefault="005B3809">
            <w:pPr>
              <w:pStyle w:val="TableParagraph"/>
              <w:spacing w:before="4" w:line="240" w:lineRule="auto"/>
              <w:ind w:left="83" w:right="642" w:hanging="56"/>
            </w:pPr>
            <w:r>
              <w:rPr>
                <w:lang w:val="en"/>
              </w:rPr>
              <w:t>Necrotizing vasculitis of medium-sized or small arteries without glomerulonephritis or vasculitis in the arterioles, capillaries or venules.</w:t>
            </w:r>
          </w:p>
        </w:tc>
      </w:tr>
      <w:tr w:rsidR="00CD39A7">
        <w:trPr>
          <w:trHeight w:hRule="exact" w:val="1015"/>
        </w:trPr>
        <w:tc>
          <w:tcPr>
            <w:tcW w:w="3423" w:type="dxa"/>
            <w:gridSpan w:val="2"/>
          </w:tcPr>
          <w:p w:rsidR="00CD39A7" w:rsidRDefault="005B3809" w:rsidP="00B25E13">
            <w:pPr>
              <w:pStyle w:val="TableParagraph"/>
              <w:numPr>
                <w:ilvl w:val="0"/>
                <w:numId w:val="10"/>
              </w:numPr>
              <w:tabs>
                <w:tab w:val="left" w:pos="524"/>
              </w:tabs>
              <w:spacing w:line="248" w:lineRule="exact"/>
              <w:ind w:hanging="132"/>
            </w:pPr>
            <w:r>
              <w:rPr>
                <w:lang w:val="en"/>
              </w:rPr>
              <w:t>Kawasaki disease</w:t>
            </w:r>
          </w:p>
        </w:tc>
        <w:tc>
          <w:tcPr>
            <w:tcW w:w="6952" w:type="dxa"/>
          </w:tcPr>
          <w:p w:rsidR="00CD39A7" w:rsidRDefault="005B3809">
            <w:pPr>
              <w:pStyle w:val="TableParagraph"/>
              <w:spacing w:line="242" w:lineRule="auto"/>
              <w:ind w:left="28" w:right="978"/>
            </w:pPr>
            <w:r>
              <w:rPr>
                <w:lang w:val="en"/>
              </w:rPr>
              <w:t>Arteritis involving large, medium-sized, and small arteries, and associated with the mucocutaneous lymph node syndrome.</w:t>
            </w:r>
          </w:p>
          <w:p w:rsidR="00CD39A7" w:rsidRDefault="005B3809">
            <w:pPr>
              <w:pStyle w:val="TableParagraph"/>
              <w:spacing w:before="1" w:line="242" w:lineRule="auto"/>
              <w:ind w:left="28" w:right="325"/>
              <w:rPr>
                <w:i/>
              </w:rPr>
            </w:pPr>
            <w:r>
              <w:rPr>
                <w:i/>
                <w:iCs/>
                <w:lang w:val="en"/>
              </w:rPr>
              <w:t>Coronary arteries are often involved. Aorta and veins may be involved. Usually occurs in children.</w:t>
            </w:r>
          </w:p>
        </w:tc>
      </w:tr>
      <w:tr w:rsidR="00CD39A7">
        <w:trPr>
          <w:trHeight w:hRule="exact" w:val="252"/>
        </w:trPr>
        <w:tc>
          <w:tcPr>
            <w:tcW w:w="10375" w:type="dxa"/>
            <w:gridSpan w:val="3"/>
          </w:tcPr>
          <w:p w:rsidR="00CD39A7" w:rsidRDefault="005B3809">
            <w:pPr>
              <w:pStyle w:val="TableParagraph"/>
              <w:spacing w:line="250" w:lineRule="exact"/>
              <w:ind w:left="31"/>
              <w:rPr>
                <w:b/>
              </w:rPr>
            </w:pPr>
            <w:r>
              <w:rPr>
                <w:b/>
                <w:bCs/>
                <w:lang w:val="en"/>
              </w:rPr>
              <w:t>Small vessel vasculitis</w:t>
            </w:r>
          </w:p>
        </w:tc>
      </w:tr>
      <w:tr w:rsidR="00CD39A7">
        <w:trPr>
          <w:trHeight w:hRule="exact" w:val="1010"/>
        </w:trPr>
        <w:tc>
          <w:tcPr>
            <w:tcW w:w="3423" w:type="dxa"/>
            <w:gridSpan w:val="2"/>
          </w:tcPr>
          <w:p w:rsidR="00CD39A7" w:rsidRDefault="005B3809" w:rsidP="00B25E13">
            <w:pPr>
              <w:pStyle w:val="TableParagraph"/>
              <w:numPr>
                <w:ilvl w:val="0"/>
                <w:numId w:val="9"/>
              </w:numPr>
              <w:tabs>
                <w:tab w:val="left" w:pos="524"/>
              </w:tabs>
              <w:spacing w:line="246" w:lineRule="exact"/>
              <w:ind w:hanging="132"/>
            </w:pPr>
            <w:r>
              <w:rPr>
                <w:lang w:val="en"/>
              </w:rPr>
              <w:t>Wegener's granulomatosis**</w:t>
            </w:r>
          </w:p>
        </w:tc>
        <w:tc>
          <w:tcPr>
            <w:tcW w:w="6952" w:type="dxa"/>
          </w:tcPr>
          <w:p w:rsidR="00CD39A7" w:rsidRDefault="005B3809">
            <w:pPr>
              <w:pStyle w:val="TableParagraph"/>
              <w:spacing w:line="240" w:lineRule="auto"/>
              <w:ind w:left="28" w:right="599"/>
            </w:pPr>
            <w:r>
              <w:rPr>
                <w:lang w:val="en"/>
              </w:rPr>
              <w:t>Granulomatosis inflammation involving the respiratory tract, and necrotizing vasculitis affecting small to medium-sized vessels (capillaries, venules, arterioles, arteries)</w:t>
            </w:r>
          </w:p>
          <w:p w:rsidR="00CD39A7" w:rsidRDefault="005B3809">
            <w:pPr>
              <w:pStyle w:val="TableParagraph"/>
              <w:spacing w:before="8" w:line="240" w:lineRule="auto"/>
              <w:ind w:left="28"/>
              <w:rPr>
                <w:i/>
              </w:rPr>
            </w:pPr>
            <w:r>
              <w:rPr>
                <w:i/>
                <w:iCs/>
                <w:lang w:val="en"/>
              </w:rPr>
              <w:t>Necrotizing glomerulonephritis is common.</w:t>
            </w:r>
          </w:p>
        </w:tc>
      </w:tr>
      <w:tr w:rsidR="00CD39A7">
        <w:trPr>
          <w:trHeight w:hRule="exact" w:val="758"/>
        </w:trPr>
        <w:tc>
          <w:tcPr>
            <w:tcW w:w="3423" w:type="dxa"/>
            <w:gridSpan w:val="2"/>
          </w:tcPr>
          <w:p w:rsidR="00CD39A7" w:rsidRDefault="005B3809" w:rsidP="00B25E13">
            <w:pPr>
              <w:pStyle w:val="TableParagraph"/>
              <w:numPr>
                <w:ilvl w:val="0"/>
                <w:numId w:val="8"/>
              </w:numPr>
              <w:tabs>
                <w:tab w:val="left" w:pos="743"/>
                <w:tab w:val="left" w:pos="745"/>
                <w:tab w:val="left" w:pos="1922"/>
                <w:tab w:val="left" w:pos="2407"/>
                <w:tab w:val="left" w:pos="3230"/>
              </w:tabs>
              <w:spacing w:line="240" w:lineRule="auto"/>
              <w:ind w:right="30" w:firstLine="0"/>
            </w:pPr>
            <w:r>
              <w:rPr>
                <w:lang w:val="en"/>
              </w:rPr>
              <w:t>Churg-Strauss syndrome**</w:t>
            </w:r>
          </w:p>
        </w:tc>
        <w:tc>
          <w:tcPr>
            <w:tcW w:w="6952" w:type="dxa"/>
          </w:tcPr>
          <w:p w:rsidR="00CD39A7" w:rsidRDefault="005B3809">
            <w:pPr>
              <w:pStyle w:val="TableParagraph"/>
              <w:spacing w:line="240" w:lineRule="auto"/>
              <w:ind w:left="28" w:right="816"/>
            </w:pPr>
            <w:r>
              <w:rPr>
                <w:lang w:val="en"/>
              </w:rPr>
              <w:t>Eosinophil-rich and granulomatosis inflammation involving the respiratory tract and necrotizing vasculitis affecting small to medium-sized vessels and associated with</w:t>
            </w:r>
          </w:p>
          <w:p w:rsidR="00CD39A7" w:rsidRDefault="005B3809">
            <w:pPr>
              <w:pStyle w:val="TableParagraph"/>
              <w:spacing w:before="6" w:line="240" w:lineRule="auto"/>
              <w:ind w:left="28"/>
            </w:pPr>
            <w:r>
              <w:rPr>
                <w:lang w:val="en"/>
              </w:rPr>
              <w:t>Asthma and eosinophilia.</w:t>
            </w:r>
          </w:p>
        </w:tc>
      </w:tr>
      <w:tr w:rsidR="00CD39A7">
        <w:trPr>
          <w:trHeight w:hRule="exact" w:val="1012"/>
        </w:trPr>
        <w:tc>
          <w:tcPr>
            <w:tcW w:w="3423" w:type="dxa"/>
            <w:gridSpan w:val="2"/>
          </w:tcPr>
          <w:p w:rsidR="00CD39A7" w:rsidRDefault="005B3809" w:rsidP="00B25E13">
            <w:pPr>
              <w:pStyle w:val="TableParagraph"/>
              <w:numPr>
                <w:ilvl w:val="0"/>
                <w:numId w:val="7"/>
              </w:numPr>
              <w:tabs>
                <w:tab w:val="left" w:pos="524"/>
              </w:tabs>
              <w:spacing w:line="248" w:lineRule="exact"/>
              <w:ind w:hanging="132"/>
            </w:pPr>
            <w:r>
              <w:rPr>
                <w:lang w:val="en"/>
              </w:rPr>
              <w:t>Microscopic polyangiitis**</w:t>
            </w:r>
          </w:p>
        </w:tc>
        <w:tc>
          <w:tcPr>
            <w:tcW w:w="6952" w:type="dxa"/>
          </w:tcPr>
          <w:p w:rsidR="00CD39A7" w:rsidRDefault="005B3809">
            <w:pPr>
              <w:pStyle w:val="TableParagraph"/>
              <w:spacing w:line="242" w:lineRule="auto"/>
              <w:ind w:left="28" w:right="1149"/>
            </w:pPr>
            <w:r>
              <w:rPr>
                <w:lang w:val="en"/>
              </w:rPr>
              <w:t>Necrotizing vasculitis, with few or no immune deposits, affecting small vessels (capillaries, venules, arterioles).</w:t>
            </w:r>
          </w:p>
          <w:p w:rsidR="00CD39A7" w:rsidRDefault="005B3809">
            <w:pPr>
              <w:pStyle w:val="TableParagraph"/>
              <w:spacing w:before="5" w:line="252" w:lineRule="exact"/>
              <w:ind w:left="28" w:right="325"/>
              <w:rPr>
                <w:i/>
              </w:rPr>
            </w:pPr>
            <w:r>
              <w:rPr>
                <w:i/>
                <w:iCs/>
                <w:lang w:val="en"/>
              </w:rPr>
              <w:t>Necrotizing arteritis involving small and medium-sized arteries may be present. Necrotizing glomerulonephritis is very common. Pulmonary capillaritis often occurs.</w:t>
            </w:r>
          </w:p>
        </w:tc>
      </w:tr>
      <w:tr w:rsidR="00CD39A7">
        <w:trPr>
          <w:trHeight w:hRule="exact" w:val="1013"/>
        </w:trPr>
        <w:tc>
          <w:tcPr>
            <w:tcW w:w="3423" w:type="dxa"/>
            <w:gridSpan w:val="2"/>
          </w:tcPr>
          <w:p w:rsidR="00CD39A7" w:rsidRDefault="005B3809" w:rsidP="00B25E13">
            <w:pPr>
              <w:pStyle w:val="TableParagraph"/>
              <w:numPr>
                <w:ilvl w:val="0"/>
                <w:numId w:val="6"/>
              </w:numPr>
              <w:tabs>
                <w:tab w:val="left" w:pos="533"/>
              </w:tabs>
              <w:spacing w:line="252" w:lineRule="exact"/>
              <w:ind w:right="26" w:firstLine="0"/>
            </w:pPr>
            <w:r>
              <w:rPr>
                <w:lang w:val="en"/>
              </w:rPr>
              <w:t>Henoch-Schönlein purpura</w:t>
            </w:r>
          </w:p>
        </w:tc>
        <w:tc>
          <w:tcPr>
            <w:tcW w:w="6952" w:type="dxa"/>
          </w:tcPr>
          <w:p w:rsidR="00CD39A7" w:rsidRDefault="005B3809">
            <w:pPr>
              <w:pStyle w:val="TableParagraph"/>
              <w:spacing w:line="252" w:lineRule="exact"/>
              <w:ind w:left="28" w:right="615"/>
            </w:pPr>
            <w:r>
              <w:rPr>
                <w:lang w:val="en"/>
              </w:rPr>
              <w:t>Vasculitis, with IgA-dominant immune deposits, affecting small vessels (capillaries, venules, arterioles).</w:t>
            </w:r>
          </w:p>
          <w:p w:rsidR="00CD39A7" w:rsidRDefault="005B3809">
            <w:pPr>
              <w:pStyle w:val="TableParagraph"/>
              <w:spacing w:line="240" w:lineRule="auto"/>
              <w:ind w:left="28" w:right="325"/>
              <w:rPr>
                <w:i/>
              </w:rPr>
            </w:pPr>
            <w:r>
              <w:rPr>
                <w:i/>
                <w:iCs/>
                <w:lang w:val="en"/>
              </w:rPr>
              <w:t>Typically involves skin, gut, and glomeruli and is associated with arthralgias and arthritis.</w:t>
            </w:r>
          </w:p>
        </w:tc>
      </w:tr>
      <w:tr w:rsidR="00CD39A7">
        <w:trPr>
          <w:trHeight w:hRule="exact" w:val="758"/>
        </w:trPr>
        <w:tc>
          <w:tcPr>
            <w:tcW w:w="3423" w:type="dxa"/>
            <w:gridSpan w:val="2"/>
          </w:tcPr>
          <w:p w:rsidR="00CD39A7" w:rsidRDefault="005B3809" w:rsidP="00B25E13">
            <w:pPr>
              <w:pStyle w:val="TableParagraph"/>
              <w:numPr>
                <w:ilvl w:val="0"/>
                <w:numId w:val="5"/>
              </w:numPr>
              <w:tabs>
                <w:tab w:val="left" w:pos="878"/>
                <w:tab w:val="left" w:pos="879"/>
                <w:tab w:val="left" w:pos="2890"/>
              </w:tabs>
              <w:spacing w:line="252" w:lineRule="exact"/>
              <w:ind w:right="29" w:firstLine="0"/>
            </w:pPr>
            <w:r>
              <w:rPr>
                <w:lang w:val="en"/>
              </w:rPr>
              <w:t xml:space="preserve">Essential </w:t>
            </w:r>
            <w:r w:rsidR="0043283A">
              <w:rPr>
                <w:lang w:val="en"/>
              </w:rPr>
              <w:br/>
            </w:r>
            <w:r>
              <w:rPr>
                <w:lang w:val="en"/>
              </w:rPr>
              <w:t>cryoglobulinemic vasculitis</w:t>
            </w:r>
          </w:p>
        </w:tc>
        <w:tc>
          <w:tcPr>
            <w:tcW w:w="6952" w:type="dxa"/>
          </w:tcPr>
          <w:p w:rsidR="00CD39A7" w:rsidRDefault="005B3809">
            <w:pPr>
              <w:pStyle w:val="TableParagraph"/>
              <w:spacing w:line="249" w:lineRule="exact"/>
              <w:ind w:left="28"/>
            </w:pPr>
            <w:r>
              <w:rPr>
                <w:lang w:val="en"/>
              </w:rPr>
              <w:t>Vasculitis with cryoglobulin immune deposits, affecting small</w:t>
            </w:r>
          </w:p>
          <w:p w:rsidR="00CD39A7" w:rsidRDefault="005B3809">
            <w:pPr>
              <w:pStyle w:val="TableParagraph"/>
              <w:spacing w:line="252" w:lineRule="exact"/>
              <w:ind w:left="28"/>
            </w:pPr>
            <w:r>
              <w:rPr>
                <w:lang w:val="en"/>
              </w:rPr>
              <w:t xml:space="preserve">vessels (capillaries, venules, arterioles) and associated with </w:t>
            </w:r>
            <w:r w:rsidR="0043283A">
              <w:rPr>
                <w:lang w:val="en"/>
              </w:rPr>
              <w:br/>
            </w:r>
            <w:r>
              <w:rPr>
                <w:lang w:val="en"/>
              </w:rPr>
              <w:t>cryoglobulins in serum.</w:t>
            </w:r>
          </w:p>
          <w:p w:rsidR="00CD39A7" w:rsidRDefault="005B3809">
            <w:pPr>
              <w:pStyle w:val="TableParagraph"/>
              <w:spacing w:line="252" w:lineRule="exact"/>
              <w:ind w:left="28"/>
              <w:rPr>
                <w:i/>
              </w:rPr>
            </w:pPr>
            <w:r>
              <w:rPr>
                <w:i/>
                <w:iCs/>
                <w:lang w:val="en"/>
              </w:rPr>
              <w:t>Skin and glomeruli are often involved.</w:t>
            </w:r>
          </w:p>
        </w:tc>
      </w:tr>
      <w:tr w:rsidR="00CD39A7">
        <w:trPr>
          <w:trHeight w:hRule="exact" w:val="522"/>
        </w:trPr>
        <w:tc>
          <w:tcPr>
            <w:tcW w:w="3423" w:type="dxa"/>
            <w:gridSpan w:val="2"/>
          </w:tcPr>
          <w:p w:rsidR="00CD39A7" w:rsidRDefault="005B3809" w:rsidP="00B25E13">
            <w:pPr>
              <w:pStyle w:val="TableParagraph"/>
              <w:numPr>
                <w:ilvl w:val="0"/>
                <w:numId w:val="4"/>
              </w:numPr>
              <w:tabs>
                <w:tab w:val="left" w:pos="1008"/>
                <w:tab w:val="left" w:pos="1009"/>
                <w:tab w:val="left" w:pos="2635"/>
              </w:tabs>
              <w:spacing w:line="252" w:lineRule="exact"/>
              <w:ind w:right="26" w:firstLine="0"/>
            </w:pPr>
            <w:r>
              <w:rPr>
                <w:lang w:val="en"/>
              </w:rPr>
              <w:t>Cutaneous leukocytoclastic angiitis</w:t>
            </w:r>
          </w:p>
        </w:tc>
        <w:tc>
          <w:tcPr>
            <w:tcW w:w="6952" w:type="dxa"/>
          </w:tcPr>
          <w:p w:rsidR="00CD39A7" w:rsidRDefault="005B3809">
            <w:pPr>
              <w:pStyle w:val="TableParagraph"/>
              <w:spacing w:line="252" w:lineRule="exact"/>
              <w:ind w:left="28" w:right="1192"/>
            </w:pPr>
            <w:r>
              <w:rPr>
                <w:lang w:val="en"/>
              </w:rPr>
              <w:t>Isolated cutaneous leukocytoclastic angiitis without systemic vasculitis or glomerulonephritis.</w:t>
            </w:r>
          </w:p>
        </w:tc>
      </w:tr>
      <w:tr w:rsidR="00CD39A7" w:rsidTr="0043283A">
        <w:trPr>
          <w:trHeight w:hRule="exact" w:val="1647"/>
        </w:trPr>
        <w:tc>
          <w:tcPr>
            <w:tcW w:w="10375" w:type="dxa"/>
            <w:gridSpan w:val="3"/>
            <w:tcBorders>
              <w:bottom w:val="single" w:sz="17" w:space="0" w:color="000000"/>
            </w:tcBorders>
          </w:tcPr>
          <w:p w:rsidR="00CD39A7" w:rsidRDefault="005B3809">
            <w:pPr>
              <w:pStyle w:val="TableParagraph"/>
              <w:spacing w:before="12" w:line="240" w:lineRule="auto"/>
              <w:ind w:left="31" w:right="23"/>
              <w:jc w:val="both"/>
            </w:pPr>
            <w:r>
              <w:rPr>
                <w:lang w:val="en"/>
              </w:rPr>
              <w:t>* Large vessels refer to the aorta and the largest branches. Medium-sized vessels refer to the main visceral arteries (renal, hepatic, coronary, and mesenteric) Small vessels refer to venules, capillaries, arterioles, and the intraparenchymal distal arterial radicals connected to arterioles. Some small and large vessel vasculitides may involve medium-sized arteries, but large and medium-sized vessel vasculitides do not involve vessels smaller than arteries. Italicized text represents usual, but not essential, components.</w:t>
            </w:r>
          </w:p>
          <w:p w:rsidR="00CD39A7" w:rsidRDefault="001A5673">
            <w:pPr>
              <w:pStyle w:val="TableParagraph"/>
              <w:spacing w:before="64" w:line="240" w:lineRule="auto"/>
              <w:ind w:left="91"/>
              <w:jc w:val="both"/>
            </w:pPr>
            <w:r>
              <w:rPr>
                <w:lang w:val="en"/>
              </w:rPr>
              <w:pict>
                <v:line id="_x0000_s1053" style="position:absolute;left:0;text-align:left;z-index:-251605504;mso-position-horizontal-relative:page;mso-position-vertical-relative:page" from="-.65pt,67.45pt" to="518pt,67.45pt" strokeweight="2.16pt">
                  <w10:wrap anchorx="page" anchory="page"/>
                </v:line>
              </w:pict>
            </w:r>
            <w:r w:rsidR="005B3809">
              <w:rPr>
                <w:lang w:val="en"/>
              </w:rPr>
              <w:t>** Strongly associated with ANCA.</w:t>
            </w:r>
          </w:p>
        </w:tc>
      </w:tr>
    </w:tbl>
    <w:p w:rsidR="00CD39A7" w:rsidRDefault="00CD39A7">
      <w:pPr>
        <w:jc w:val="both"/>
        <w:sectPr w:rsidR="00CD39A7">
          <w:pgSz w:w="11910" w:h="16840"/>
          <w:pgMar w:top="1580" w:right="700" w:bottom="1140" w:left="560" w:header="0" w:footer="952" w:gutter="0"/>
          <w:cols w:space="720"/>
        </w:sectPr>
      </w:pPr>
    </w:p>
    <w:p w:rsidR="00CD39A7" w:rsidRDefault="005B3809">
      <w:pPr>
        <w:spacing w:before="75"/>
        <w:ind w:left="3173"/>
        <w:rPr>
          <w:b/>
          <w:sz w:val="28"/>
        </w:rPr>
      </w:pPr>
      <w:bookmarkStart w:id="174" w:name="_bookmark168"/>
      <w:bookmarkStart w:id="175" w:name="Annexe_III_–_BVAS_2003"/>
      <w:bookmarkEnd w:id="174"/>
      <w:bookmarkEnd w:id="175"/>
      <w:r>
        <w:rPr>
          <w:b/>
          <w:bCs/>
          <w:sz w:val="28"/>
          <w:lang w:val="en"/>
        </w:rPr>
        <w:lastRenderedPageBreak/>
        <w:t>Appendix III – BVAS 2003</w:t>
      </w:r>
    </w:p>
    <w:p w:rsidR="00CD39A7" w:rsidRDefault="00CD39A7">
      <w:pPr>
        <w:pStyle w:val="BodyText"/>
        <w:rPr>
          <w:b/>
          <w:sz w:val="30"/>
        </w:rPr>
      </w:pPr>
    </w:p>
    <w:p w:rsidR="00CD39A7" w:rsidRDefault="001A5673">
      <w:pPr>
        <w:pStyle w:val="Heading4"/>
        <w:tabs>
          <w:tab w:val="left" w:pos="7497"/>
        </w:tabs>
        <w:spacing w:before="211"/>
        <w:ind w:left="117" w:firstLine="0"/>
        <w:jc w:val="left"/>
      </w:pPr>
      <w:r>
        <w:rPr>
          <w:b w:val="0"/>
          <w:bCs w:val="0"/>
          <w:lang w:val="en"/>
        </w:rPr>
        <w:pict>
          <v:group id="_x0000_s1049" style="position:absolute;left:0;text-align:left;margin-left:482.65pt;margin-top:2.65pt;width:58.6pt;height:29.45pt;z-index:251641344;mso-position-horizontal-relative:page" coordorigin="9653,53" coordsize="1172,589">
            <v:shape id="_x0000_s1052" style="position:absolute;left:9676;top:100;width:1126;height:519" coordorigin="9676,100" coordsize="1126,519" o:spt="100" adj="0,,0" path="m9676,100r45,m9676,191r45,m9676,283r45,m9676,374r45,m9676,556r45,m9704,619r46,m9796,619r45,m9887,619r45,m9978,619r46,m10069,619r46,m10160,619r46,m10252,619r45,m10343,619r45,m10434,619r46,m10525,619r46,m10616,619r46,m10708,619r45,m10756,573r45,m10756,482r45,m10756,391r45,m10756,299r45,m10756,208r45,m10756,117r45,e" filled="f" strokeweight="2.28pt">
              <v:stroke joinstyle="round"/>
              <v:formulas/>
              <v:path arrowok="t" o:connecttype="segments"/>
            </v:shape>
            <v:shape id="_x0000_s1051" style="position:absolute;left:9700;top:77;width:1049;height:2" coordorigin="9700,77" coordsize="1049,0" o:spt="100" adj="0,,0" path="m10703,77r45,m10612,77r45,m10520,77r46,m10429,77r46,m10338,77r46,m10247,77r45,m10156,77r45,m10064,77r46,m9973,77r46,m9882,77r46,m9791,77r45,m9700,77r45,e" filled="f" strokeweight="2.4pt">
              <v:stroke joinstyle="round"/>
              <v:formulas/>
              <v:path arrowok="t" o:connecttype="segments"/>
            </v:shape>
            <v:shape id="_x0000_s1050" type="#_x0000_t202" style="position:absolute;left:9653;top:53;width:1172;height:588" filled="f" stroked="f">
              <v:textbox inset="0,0,0,0">
                <w:txbxContent>
                  <w:p w:rsidR="003239C1" w:rsidRDefault="003239C1">
                    <w:pPr>
                      <w:spacing w:before="157"/>
                      <w:ind w:left="-257"/>
                      <w:rPr>
                        <w:b/>
                        <w:sz w:val="24"/>
                      </w:rPr>
                    </w:pPr>
                    <w:r>
                      <w:rPr>
                        <w:b/>
                        <w:bCs/>
                        <w:sz w:val="24"/>
                        <w:u w:val="thick"/>
                        <w:lang w:val="en"/>
                      </w:rPr>
                      <w:t xml:space="preserve"> </w:t>
                    </w:r>
                  </w:p>
                </w:txbxContent>
              </v:textbox>
            </v:shape>
            <w10:wrap anchorx="page"/>
          </v:group>
        </w:pict>
      </w:r>
      <w:r w:rsidR="005D56C5">
        <w:rPr>
          <w:lang w:val="en"/>
        </w:rPr>
        <w:t xml:space="preserve">BVAS 2003 </w:t>
      </w:r>
      <w:r w:rsidR="005D56C5">
        <w:rPr>
          <w:b w:val="0"/>
          <w:bCs w:val="0"/>
          <w:lang w:val="en"/>
        </w:rPr>
        <w:t xml:space="preserve">– </w:t>
      </w:r>
      <w:r w:rsidR="005D56C5">
        <w:rPr>
          <w:lang w:val="en"/>
        </w:rPr>
        <w:t>VASCULITIS ACTIVITY SCORE 2003</w:t>
      </w:r>
      <w:r w:rsidR="005D56C5">
        <w:rPr>
          <w:lang w:val="en"/>
        </w:rPr>
        <w:tab/>
        <w:t>TOTAL</w:t>
      </w:r>
    </w:p>
    <w:p w:rsidR="00CD39A7" w:rsidRDefault="00CD39A7">
      <w:pPr>
        <w:pStyle w:val="BodyText"/>
        <w:rPr>
          <w:b/>
          <w:sz w:val="16"/>
        </w:rPr>
      </w:pPr>
    </w:p>
    <w:p w:rsidR="00CD39A7" w:rsidRDefault="001A5673">
      <w:pPr>
        <w:spacing w:before="94" w:line="242" w:lineRule="auto"/>
        <w:ind w:left="117" w:right="586"/>
        <w:rPr>
          <w:b/>
          <w:i/>
          <w:sz w:val="16"/>
        </w:rPr>
      </w:pPr>
      <w:r>
        <w:rPr>
          <w:lang w:val="en"/>
        </w:rPr>
        <w:pict>
          <v:line id="_x0000_s1048" style="position:absolute;left:0;text-align:left;z-index:-251604480;mso-position-horizontal-relative:page" from="324.05pt,41.8pt" to="324.05pt,591.75pt" strokeweight=".72pt">
            <w10:wrap anchorx="page"/>
          </v:line>
        </w:pict>
      </w:r>
      <w:r w:rsidR="005D56C5">
        <w:rPr>
          <w:b/>
          <w:bCs/>
          <w:i/>
          <w:iCs/>
          <w:sz w:val="16"/>
          <w:lang w:val="en"/>
        </w:rPr>
        <w:t xml:space="preserve">Select only the signs indicative of an active disease (use the VDI to score items of sequelae lasting more than 3 months). If all the signs recorded indicate a chronically and </w:t>
      </w:r>
      <w:r w:rsidR="005D56C5">
        <w:rPr>
          <w:i/>
          <w:iCs/>
          <w:sz w:val="16"/>
          <w:lang w:val="en"/>
        </w:rPr>
        <w:t>slightly active (smouldering/grumbling) disease,</w:t>
      </w:r>
      <w:r w:rsidR="005D56C5">
        <w:rPr>
          <w:b/>
          <w:bCs/>
          <w:i/>
          <w:iCs/>
          <w:sz w:val="16"/>
          <w:lang w:val="en"/>
        </w:rPr>
        <w:t xml:space="preserve"> and there is no new, recent or worse sign, please check the box in the bottom right corner. The scores indicated are for a disease that recently became active or is slightly active, "grumbling" (check the box in the bottom right corner.).</w:t>
      </w:r>
    </w:p>
    <w:p w:rsidR="00CD39A7" w:rsidRDefault="00CD39A7">
      <w:pPr>
        <w:spacing w:line="242" w:lineRule="auto"/>
        <w:rPr>
          <w:sz w:val="16"/>
        </w:rPr>
        <w:sectPr w:rsidR="00CD39A7">
          <w:pgSz w:w="11910" w:h="16840"/>
          <w:pgMar w:top="1320" w:right="460" w:bottom="1140" w:left="1300" w:header="0" w:footer="952" w:gutter="0"/>
          <w:cols w:space="720"/>
        </w:sectPr>
      </w:pPr>
    </w:p>
    <w:p w:rsidR="00CD39A7" w:rsidRDefault="00CD39A7">
      <w:pPr>
        <w:pStyle w:val="BodyText"/>
        <w:spacing w:before="11"/>
        <w:rPr>
          <w:b/>
          <w:i/>
          <w:sz w:val="15"/>
        </w:rPr>
      </w:pPr>
    </w:p>
    <w:p w:rsidR="00CD39A7" w:rsidRDefault="005B3809">
      <w:pPr>
        <w:ind w:right="465"/>
        <w:jc w:val="right"/>
        <w:rPr>
          <w:b/>
          <w:sz w:val="18"/>
        </w:rPr>
      </w:pPr>
      <w:r>
        <w:rPr>
          <w:b/>
          <w:bCs/>
          <w:sz w:val="18"/>
          <w:lang w:val="en"/>
        </w:rPr>
        <w:t>Yes</w:t>
      </w:r>
    </w:p>
    <w:p w:rsidR="00CD39A7" w:rsidRDefault="005B3809" w:rsidP="00B25E13">
      <w:pPr>
        <w:pStyle w:val="ListParagraph"/>
        <w:numPr>
          <w:ilvl w:val="0"/>
          <w:numId w:val="3"/>
        </w:numPr>
        <w:tabs>
          <w:tab w:val="left" w:pos="324"/>
          <w:tab w:val="left" w:pos="3021"/>
        </w:tabs>
        <w:spacing w:before="31"/>
        <w:ind w:hanging="182"/>
        <w:jc w:val="both"/>
        <w:rPr>
          <w:b/>
          <w:sz w:val="18"/>
        </w:rPr>
      </w:pPr>
      <w:r>
        <w:rPr>
          <w:b/>
          <w:bCs/>
          <w:sz w:val="18"/>
          <w:lang w:val="en"/>
        </w:rPr>
        <w:t>General signs</w:t>
      </w:r>
      <w:r>
        <w:rPr>
          <w:sz w:val="18"/>
          <w:lang w:val="en"/>
        </w:rPr>
        <w:tab/>
        <w:t xml:space="preserve">|    | </w:t>
      </w:r>
      <w:r>
        <w:rPr>
          <w:b/>
          <w:bCs/>
          <w:sz w:val="18"/>
          <w:lang w:val="en"/>
        </w:rPr>
        <w:t>(maximum 3)</w:t>
      </w:r>
    </w:p>
    <w:p w:rsidR="00CD39A7" w:rsidRDefault="0043283A">
      <w:pPr>
        <w:tabs>
          <w:tab w:val="left" w:pos="3741"/>
        </w:tabs>
        <w:spacing w:before="27"/>
        <w:ind w:left="141"/>
        <w:jc w:val="both"/>
        <w:rPr>
          <w:sz w:val="18"/>
        </w:rPr>
      </w:pPr>
      <w:r>
        <w:rPr>
          <w:sz w:val="18"/>
          <w:lang w:val="en"/>
        </w:rPr>
        <w:t>Myalgia</w:t>
      </w:r>
      <w:r>
        <w:rPr>
          <w:sz w:val="18"/>
          <w:lang w:val="en"/>
        </w:rPr>
        <w:tab/>
        <w:t xml:space="preserve">|    |  </w:t>
      </w:r>
      <w:r w:rsidR="005B3809">
        <w:rPr>
          <w:sz w:val="18"/>
          <w:lang w:val="en"/>
        </w:rPr>
        <w:t>1</w:t>
      </w:r>
    </w:p>
    <w:p w:rsidR="00CD39A7" w:rsidRDefault="005B3809">
      <w:pPr>
        <w:tabs>
          <w:tab w:val="left" w:pos="3741"/>
        </w:tabs>
        <w:spacing w:before="32"/>
        <w:ind w:left="141"/>
        <w:jc w:val="both"/>
        <w:rPr>
          <w:sz w:val="18"/>
        </w:rPr>
      </w:pPr>
      <w:r>
        <w:rPr>
          <w:sz w:val="18"/>
          <w:lang w:val="en"/>
        </w:rPr>
        <w:t>Arthralgia or arthritis</w:t>
      </w:r>
      <w:r>
        <w:rPr>
          <w:sz w:val="18"/>
          <w:lang w:val="en"/>
        </w:rPr>
        <w:tab/>
        <w:t xml:space="preserve">|    | </w:t>
      </w:r>
      <w:r w:rsidR="0043283A">
        <w:rPr>
          <w:sz w:val="18"/>
          <w:lang w:val="en"/>
        </w:rPr>
        <w:t xml:space="preserve"> </w:t>
      </w:r>
      <w:r>
        <w:rPr>
          <w:sz w:val="18"/>
          <w:lang w:val="en"/>
        </w:rPr>
        <w:t>1</w:t>
      </w:r>
    </w:p>
    <w:p w:rsidR="00CD39A7" w:rsidRDefault="005B3809">
      <w:pPr>
        <w:tabs>
          <w:tab w:val="left" w:pos="3741"/>
        </w:tabs>
        <w:spacing w:before="32"/>
        <w:ind w:left="141"/>
        <w:jc w:val="both"/>
        <w:rPr>
          <w:sz w:val="18"/>
        </w:rPr>
      </w:pPr>
      <w:r>
        <w:rPr>
          <w:sz w:val="18"/>
          <w:lang w:val="en"/>
        </w:rPr>
        <w:t>Fever? 38°C</w:t>
      </w:r>
      <w:r>
        <w:rPr>
          <w:sz w:val="18"/>
          <w:lang w:val="en"/>
        </w:rPr>
        <w:tab/>
        <w:t xml:space="preserve">|    | </w:t>
      </w:r>
      <w:r w:rsidR="0043283A">
        <w:rPr>
          <w:sz w:val="18"/>
          <w:lang w:val="en"/>
        </w:rPr>
        <w:t xml:space="preserve"> </w:t>
      </w:r>
      <w:r>
        <w:rPr>
          <w:sz w:val="18"/>
          <w:lang w:val="en"/>
        </w:rPr>
        <w:t>2</w:t>
      </w:r>
    </w:p>
    <w:p w:rsidR="00CD39A7" w:rsidRDefault="005B3809">
      <w:pPr>
        <w:tabs>
          <w:tab w:val="left" w:pos="3741"/>
        </w:tabs>
        <w:spacing w:before="32"/>
        <w:ind w:left="141"/>
        <w:jc w:val="both"/>
        <w:rPr>
          <w:sz w:val="18"/>
        </w:rPr>
      </w:pPr>
      <w:r>
        <w:rPr>
          <w:sz w:val="18"/>
          <w:lang w:val="en"/>
        </w:rPr>
        <w:t>Weight loss? 2 kg</w:t>
      </w:r>
      <w:r>
        <w:rPr>
          <w:sz w:val="18"/>
          <w:lang w:val="en"/>
        </w:rPr>
        <w:tab/>
        <w:t xml:space="preserve">|    | </w:t>
      </w:r>
      <w:r w:rsidR="0043283A">
        <w:rPr>
          <w:sz w:val="18"/>
          <w:lang w:val="en"/>
        </w:rPr>
        <w:t xml:space="preserve"> </w:t>
      </w:r>
      <w:r>
        <w:rPr>
          <w:sz w:val="18"/>
          <w:lang w:val="en"/>
        </w:rPr>
        <w:t>2</w:t>
      </w:r>
    </w:p>
    <w:p w:rsidR="00CD39A7" w:rsidRDefault="00CD39A7">
      <w:pPr>
        <w:pStyle w:val="BodyText"/>
      </w:pPr>
    </w:p>
    <w:p w:rsidR="00CD39A7" w:rsidRDefault="005B3809" w:rsidP="00B25E13">
      <w:pPr>
        <w:pStyle w:val="ListParagraph"/>
        <w:numPr>
          <w:ilvl w:val="0"/>
          <w:numId w:val="3"/>
        </w:numPr>
        <w:tabs>
          <w:tab w:val="left" w:pos="324"/>
          <w:tab w:val="left" w:pos="3021"/>
        </w:tabs>
        <w:ind w:hanging="182"/>
        <w:jc w:val="both"/>
        <w:rPr>
          <w:b/>
          <w:sz w:val="18"/>
        </w:rPr>
      </w:pPr>
      <w:r>
        <w:rPr>
          <w:b/>
          <w:bCs/>
          <w:sz w:val="18"/>
          <w:lang w:val="en"/>
        </w:rPr>
        <w:t>Cutaneous signs</w:t>
      </w:r>
      <w:r>
        <w:rPr>
          <w:sz w:val="18"/>
          <w:lang w:val="en"/>
        </w:rPr>
        <w:tab/>
        <w:t xml:space="preserve">|    | </w:t>
      </w:r>
      <w:r>
        <w:rPr>
          <w:b/>
          <w:bCs/>
          <w:sz w:val="18"/>
          <w:lang w:val="en"/>
        </w:rPr>
        <w:t>(maximum 6)</w:t>
      </w:r>
    </w:p>
    <w:p w:rsidR="00CD39A7" w:rsidRDefault="0043283A">
      <w:pPr>
        <w:tabs>
          <w:tab w:val="left" w:pos="3741"/>
        </w:tabs>
        <w:spacing w:before="27"/>
        <w:ind w:left="141"/>
        <w:jc w:val="both"/>
        <w:rPr>
          <w:sz w:val="18"/>
        </w:rPr>
      </w:pPr>
      <w:r>
        <w:rPr>
          <w:sz w:val="18"/>
          <w:lang w:val="en"/>
        </w:rPr>
        <w:t>Necrosis</w:t>
      </w:r>
      <w:r>
        <w:rPr>
          <w:sz w:val="18"/>
          <w:lang w:val="en"/>
        </w:rPr>
        <w:tab/>
        <w:t xml:space="preserve">|    |  </w:t>
      </w:r>
      <w:r w:rsidR="005B3809">
        <w:rPr>
          <w:sz w:val="18"/>
          <w:lang w:val="en"/>
        </w:rPr>
        <w:t>2</w:t>
      </w:r>
    </w:p>
    <w:p w:rsidR="00CD39A7" w:rsidRDefault="0043283A">
      <w:pPr>
        <w:tabs>
          <w:tab w:val="left" w:pos="3741"/>
        </w:tabs>
        <w:spacing w:before="32"/>
        <w:ind w:left="141"/>
        <w:jc w:val="both"/>
        <w:rPr>
          <w:sz w:val="18"/>
        </w:rPr>
      </w:pPr>
      <w:r>
        <w:rPr>
          <w:sz w:val="18"/>
          <w:lang w:val="en"/>
        </w:rPr>
        <w:t>Purpura</w:t>
      </w:r>
      <w:r>
        <w:rPr>
          <w:sz w:val="18"/>
          <w:lang w:val="en"/>
        </w:rPr>
        <w:tab/>
        <w:t xml:space="preserve">|    |  </w:t>
      </w:r>
      <w:r w:rsidR="005B3809">
        <w:rPr>
          <w:sz w:val="18"/>
          <w:lang w:val="en"/>
        </w:rPr>
        <w:t>2</w:t>
      </w:r>
    </w:p>
    <w:p w:rsidR="00CD39A7" w:rsidRDefault="0043283A">
      <w:pPr>
        <w:tabs>
          <w:tab w:val="left" w:pos="3741"/>
        </w:tabs>
        <w:spacing w:before="32"/>
        <w:ind w:left="141"/>
        <w:jc w:val="both"/>
        <w:rPr>
          <w:sz w:val="18"/>
        </w:rPr>
      </w:pPr>
      <w:r>
        <w:rPr>
          <w:sz w:val="18"/>
          <w:lang w:val="en"/>
        </w:rPr>
        <w:t>Ulcer(s)</w:t>
      </w:r>
      <w:r>
        <w:rPr>
          <w:sz w:val="18"/>
          <w:lang w:val="en"/>
        </w:rPr>
        <w:tab/>
        <w:t xml:space="preserve">|    |  </w:t>
      </w:r>
      <w:r w:rsidR="005B3809">
        <w:rPr>
          <w:sz w:val="18"/>
          <w:lang w:val="en"/>
        </w:rPr>
        <w:t>4</w:t>
      </w:r>
    </w:p>
    <w:p w:rsidR="00CD39A7" w:rsidRDefault="005B3809">
      <w:pPr>
        <w:tabs>
          <w:tab w:val="left" w:pos="3741"/>
        </w:tabs>
        <w:spacing w:before="32"/>
        <w:ind w:left="141"/>
        <w:jc w:val="both"/>
        <w:rPr>
          <w:sz w:val="18"/>
        </w:rPr>
      </w:pPr>
      <w:r>
        <w:rPr>
          <w:sz w:val="18"/>
          <w:lang w:val="en"/>
        </w:rPr>
        <w:t>Gangrene</w:t>
      </w:r>
      <w:r>
        <w:rPr>
          <w:sz w:val="18"/>
          <w:lang w:val="en"/>
        </w:rPr>
        <w:tab/>
        <w:t xml:space="preserve">|    | </w:t>
      </w:r>
      <w:r w:rsidR="0043283A">
        <w:rPr>
          <w:sz w:val="18"/>
          <w:lang w:val="en"/>
        </w:rPr>
        <w:t xml:space="preserve"> </w:t>
      </w:r>
      <w:r>
        <w:rPr>
          <w:sz w:val="18"/>
          <w:lang w:val="en"/>
        </w:rPr>
        <w:t>6</w:t>
      </w:r>
    </w:p>
    <w:p w:rsidR="00CD39A7" w:rsidRDefault="005B3809">
      <w:pPr>
        <w:tabs>
          <w:tab w:val="left" w:pos="3741"/>
        </w:tabs>
        <w:spacing w:before="32"/>
        <w:ind w:left="141"/>
        <w:jc w:val="both"/>
        <w:rPr>
          <w:sz w:val="18"/>
        </w:rPr>
      </w:pPr>
      <w:r>
        <w:rPr>
          <w:sz w:val="18"/>
          <w:lang w:val="en"/>
        </w:rPr>
        <w:t>Other lesion(s) l</w:t>
      </w:r>
      <w:r w:rsidR="0043283A">
        <w:rPr>
          <w:sz w:val="18"/>
          <w:lang w:val="en"/>
        </w:rPr>
        <w:t>inked to the vasculitis</w:t>
      </w:r>
      <w:r w:rsidR="0043283A">
        <w:rPr>
          <w:sz w:val="18"/>
          <w:lang w:val="en"/>
        </w:rPr>
        <w:tab/>
        <w:t xml:space="preserve">|    |  </w:t>
      </w:r>
      <w:r>
        <w:rPr>
          <w:sz w:val="18"/>
          <w:lang w:val="en"/>
        </w:rPr>
        <w:t>2</w:t>
      </w:r>
    </w:p>
    <w:p w:rsidR="00CD39A7" w:rsidRDefault="00CD39A7">
      <w:pPr>
        <w:pStyle w:val="BodyText"/>
      </w:pPr>
    </w:p>
    <w:p w:rsidR="00CD39A7" w:rsidRDefault="005B3809" w:rsidP="0043283A">
      <w:pPr>
        <w:pStyle w:val="ListParagraph"/>
        <w:numPr>
          <w:ilvl w:val="0"/>
          <w:numId w:val="3"/>
        </w:numPr>
        <w:tabs>
          <w:tab w:val="left" w:pos="324"/>
        </w:tabs>
        <w:ind w:hanging="182"/>
        <w:jc w:val="both"/>
        <w:rPr>
          <w:b/>
          <w:sz w:val="18"/>
        </w:rPr>
      </w:pPr>
      <w:r>
        <w:rPr>
          <w:sz w:val="18"/>
          <w:lang w:val="en"/>
        </w:rPr>
        <w:t>Mucosal and ocular diseases</w:t>
      </w:r>
      <w:r w:rsidR="0043283A">
        <w:rPr>
          <w:sz w:val="18"/>
          <w:lang w:val="en"/>
        </w:rPr>
        <w:tab/>
      </w:r>
      <w:r>
        <w:rPr>
          <w:sz w:val="18"/>
          <w:lang w:val="en"/>
        </w:rPr>
        <w:t xml:space="preserve">|    | </w:t>
      </w:r>
      <w:r>
        <w:rPr>
          <w:b/>
          <w:bCs/>
          <w:sz w:val="18"/>
          <w:lang w:val="en"/>
        </w:rPr>
        <w:t>(maximum 6)</w:t>
      </w:r>
    </w:p>
    <w:p w:rsidR="00CD39A7" w:rsidRDefault="005B3809">
      <w:pPr>
        <w:tabs>
          <w:tab w:val="left" w:pos="3726"/>
        </w:tabs>
        <w:spacing w:before="28"/>
        <w:ind w:left="141"/>
        <w:jc w:val="both"/>
        <w:rPr>
          <w:sz w:val="18"/>
        </w:rPr>
      </w:pPr>
      <w:r>
        <w:rPr>
          <w:sz w:val="18"/>
          <w:lang w:val="en"/>
        </w:rPr>
        <w:t>Mouth ulcers / granuloma</w:t>
      </w:r>
      <w:r>
        <w:rPr>
          <w:sz w:val="18"/>
          <w:lang w:val="en"/>
        </w:rPr>
        <w:tab/>
        <w:t>|    |  2</w:t>
      </w:r>
    </w:p>
    <w:p w:rsidR="00CD39A7" w:rsidRDefault="005B3809">
      <w:pPr>
        <w:tabs>
          <w:tab w:val="left" w:pos="3726"/>
        </w:tabs>
        <w:spacing w:before="33"/>
        <w:ind w:left="141"/>
        <w:jc w:val="both"/>
        <w:rPr>
          <w:sz w:val="18"/>
        </w:rPr>
      </w:pPr>
      <w:r>
        <w:rPr>
          <w:sz w:val="18"/>
          <w:lang w:val="en"/>
        </w:rPr>
        <w:t>Genital ulcers</w:t>
      </w:r>
      <w:r>
        <w:rPr>
          <w:sz w:val="18"/>
          <w:lang w:val="en"/>
        </w:rPr>
        <w:tab/>
        <w:t>|    |  1</w:t>
      </w:r>
    </w:p>
    <w:p w:rsidR="00CD39A7" w:rsidRDefault="005B3809">
      <w:pPr>
        <w:tabs>
          <w:tab w:val="left" w:pos="3741"/>
        </w:tabs>
        <w:spacing w:before="33"/>
        <w:ind w:left="141"/>
        <w:jc w:val="both"/>
        <w:rPr>
          <w:sz w:val="18"/>
        </w:rPr>
      </w:pPr>
      <w:r>
        <w:rPr>
          <w:sz w:val="18"/>
          <w:lang w:val="en"/>
        </w:rPr>
        <w:t>Lacrimal or salivary gland inflammation</w:t>
      </w:r>
      <w:r>
        <w:rPr>
          <w:sz w:val="18"/>
          <w:lang w:val="en"/>
        </w:rPr>
        <w:tab/>
        <w:t>|    |  4</w:t>
      </w:r>
    </w:p>
    <w:p w:rsidR="00CD39A7" w:rsidRDefault="005B3809">
      <w:pPr>
        <w:tabs>
          <w:tab w:val="left" w:pos="3741"/>
        </w:tabs>
        <w:spacing w:before="33"/>
        <w:ind w:left="141"/>
        <w:jc w:val="both"/>
        <w:rPr>
          <w:sz w:val="18"/>
        </w:rPr>
      </w:pPr>
      <w:r>
        <w:rPr>
          <w:sz w:val="18"/>
          <w:lang w:val="en"/>
        </w:rPr>
        <w:t>Exophthalmos</w:t>
      </w:r>
      <w:r>
        <w:rPr>
          <w:sz w:val="18"/>
          <w:lang w:val="en"/>
        </w:rPr>
        <w:tab/>
        <w:t xml:space="preserve">|    | </w:t>
      </w:r>
      <w:r w:rsidR="0043283A">
        <w:rPr>
          <w:sz w:val="18"/>
          <w:lang w:val="en"/>
        </w:rPr>
        <w:t xml:space="preserve"> </w:t>
      </w:r>
      <w:r>
        <w:rPr>
          <w:sz w:val="18"/>
          <w:lang w:val="en"/>
        </w:rPr>
        <w:t>4</w:t>
      </w:r>
    </w:p>
    <w:p w:rsidR="00CD39A7" w:rsidRDefault="005B3809">
      <w:pPr>
        <w:tabs>
          <w:tab w:val="left" w:pos="3741"/>
        </w:tabs>
        <w:spacing w:before="33"/>
        <w:ind w:left="141"/>
        <w:jc w:val="both"/>
        <w:rPr>
          <w:sz w:val="18"/>
        </w:rPr>
      </w:pPr>
      <w:r>
        <w:rPr>
          <w:sz w:val="18"/>
          <w:lang w:val="en"/>
        </w:rPr>
        <w:t>Episcleritis</w:t>
      </w:r>
      <w:r>
        <w:rPr>
          <w:sz w:val="18"/>
          <w:lang w:val="en"/>
        </w:rPr>
        <w:tab/>
        <w:t>|    |  2</w:t>
      </w:r>
    </w:p>
    <w:p w:rsidR="00C71AFB" w:rsidRDefault="005B3809" w:rsidP="00C71AFB">
      <w:pPr>
        <w:tabs>
          <w:tab w:val="left" w:pos="3740"/>
        </w:tabs>
        <w:spacing w:before="33" w:line="278" w:lineRule="auto"/>
        <w:ind w:left="141" w:right="241" w:hanging="1"/>
        <w:jc w:val="both"/>
        <w:rPr>
          <w:sz w:val="18"/>
          <w:lang w:val="en"/>
        </w:rPr>
      </w:pPr>
      <w:r>
        <w:rPr>
          <w:sz w:val="18"/>
          <w:lang w:val="en"/>
        </w:rPr>
        <w:t>Conjunctivitis / blepharitis / keratitis</w:t>
      </w:r>
      <w:r>
        <w:rPr>
          <w:sz w:val="18"/>
          <w:lang w:val="en"/>
        </w:rPr>
        <w:tab/>
      </w:r>
      <w:r w:rsidR="00C71AFB">
        <w:rPr>
          <w:sz w:val="18"/>
          <w:lang w:val="en"/>
        </w:rPr>
        <w:t xml:space="preserve">|    |  </w:t>
      </w:r>
      <w:r>
        <w:rPr>
          <w:sz w:val="18"/>
          <w:lang w:val="en"/>
        </w:rPr>
        <w:t>1</w:t>
      </w:r>
    </w:p>
    <w:p w:rsidR="00C71AFB" w:rsidRDefault="005B3809" w:rsidP="00C71AFB">
      <w:pPr>
        <w:tabs>
          <w:tab w:val="left" w:pos="3740"/>
        </w:tabs>
        <w:spacing w:line="278" w:lineRule="auto"/>
        <w:ind w:left="142" w:right="238"/>
        <w:jc w:val="both"/>
        <w:rPr>
          <w:sz w:val="18"/>
          <w:lang w:val="en"/>
        </w:rPr>
      </w:pPr>
      <w:r>
        <w:rPr>
          <w:sz w:val="18"/>
          <w:lang w:val="en"/>
        </w:rPr>
        <w:t>Gradual loss of vision / blurred vision</w:t>
      </w:r>
      <w:r w:rsidR="00C71AFB">
        <w:rPr>
          <w:sz w:val="18"/>
          <w:lang w:val="en"/>
        </w:rPr>
        <w:tab/>
        <w:t>|    |  3</w:t>
      </w:r>
    </w:p>
    <w:p w:rsidR="00CD39A7" w:rsidRDefault="005B3809" w:rsidP="00C71AFB">
      <w:pPr>
        <w:tabs>
          <w:tab w:val="left" w:pos="3740"/>
        </w:tabs>
        <w:spacing w:line="278" w:lineRule="auto"/>
        <w:ind w:left="142" w:right="238"/>
        <w:jc w:val="both"/>
        <w:rPr>
          <w:sz w:val="18"/>
        </w:rPr>
      </w:pPr>
      <w:r>
        <w:rPr>
          <w:sz w:val="18"/>
          <w:lang w:val="en"/>
        </w:rPr>
        <w:t>Sudden vision loss / blindness</w:t>
      </w:r>
      <w:r>
        <w:rPr>
          <w:sz w:val="18"/>
          <w:lang w:val="en"/>
        </w:rPr>
        <w:tab/>
        <w:t>|   |  6 Uveitis</w:t>
      </w:r>
      <w:r>
        <w:rPr>
          <w:sz w:val="18"/>
          <w:lang w:val="en"/>
        </w:rPr>
        <w:tab/>
        <w:t>|    |  6</w:t>
      </w:r>
    </w:p>
    <w:p w:rsidR="00CD39A7" w:rsidRDefault="005B3809">
      <w:pPr>
        <w:tabs>
          <w:tab w:val="left" w:pos="3741"/>
        </w:tabs>
        <w:spacing w:before="1" w:line="278" w:lineRule="auto"/>
        <w:ind w:left="141" w:right="241"/>
        <w:jc w:val="both"/>
        <w:rPr>
          <w:sz w:val="18"/>
        </w:rPr>
      </w:pPr>
      <w:r>
        <w:rPr>
          <w:sz w:val="18"/>
          <w:lang w:val="en"/>
        </w:rPr>
        <w:t>Retinal vasculitis</w:t>
      </w:r>
      <w:r>
        <w:rPr>
          <w:sz w:val="18"/>
          <w:lang w:val="en"/>
        </w:rPr>
        <w:tab/>
        <w:t>|   |  6 Thrombosis / Hemorrhage / Retinal exudates</w:t>
      </w:r>
    </w:p>
    <w:p w:rsidR="00CD39A7" w:rsidRDefault="00CD39A7">
      <w:pPr>
        <w:pStyle w:val="BodyText"/>
        <w:spacing w:before="3"/>
        <w:rPr>
          <w:sz w:val="21"/>
        </w:rPr>
      </w:pPr>
    </w:p>
    <w:p w:rsidR="00CD39A7" w:rsidRDefault="005B3809" w:rsidP="00B25E13">
      <w:pPr>
        <w:pStyle w:val="ListParagraph"/>
        <w:numPr>
          <w:ilvl w:val="0"/>
          <w:numId w:val="3"/>
        </w:numPr>
        <w:tabs>
          <w:tab w:val="left" w:pos="324"/>
          <w:tab w:val="left" w:pos="3021"/>
        </w:tabs>
        <w:ind w:hanging="182"/>
        <w:jc w:val="both"/>
        <w:rPr>
          <w:b/>
          <w:sz w:val="18"/>
        </w:rPr>
      </w:pPr>
      <w:r>
        <w:rPr>
          <w:b/>
          <w:bCs/>
          <w:sz w:val="18"/>
          <w:lang w:val="en"/>
        </w:rPr>
        <w:t>ENT signs</w:t>
      </w:r>
      <w:r>
        <w:rPr>
          <w:sz w:val="18"/>
          <w:lang w:val="en"/>
        </w:rPr>
        <w:tab/>
        <w:t xml:space="preserve">|    | </w:t>
      </w:r>
      <w:r>
        <w:rPr>
          <w:b/>
          <w:bCs/>
          <w:sz w:val="18"/>
          <w:lang w:val="en"/>
        </w:rPr>
        <w:t>(maximum 6)</w:t>
      </w:r>
    </w:p>
    <w:p w:rsidR="00CD39A7" w:rsidRDefault="005B3809">
      <w:pPr>
        <w:spacing w:before="27"/>
        <w:ind w:left="141"/>
        <w:jc w:val="both"/>
        <w:rPr>
          <w:sz w:val="18"/>
        </w:rPr>
      </w:pPr>
      <w:r>
        <w:rPr>
          <w:sz w:val="18"/>
          <w:lang w:val="en"/>
        </w:rPr>
        <w:t>Epistaxis / nasal scabs</w:t>
      </w:r>
    </w:p>
    <w:p w:rsidR="00CD39A7" w:rsidRDefault="005B3809">
      <w:pPr>
        <w:tabs>
          <w:tab w:val="left" w:pos="3497"/>
        </w:tabs>
        <w:spacing w:before="32"/>
        <w:ind w:left="80"/>
        <w:jc w:val="center"/>
        <w:rPr>
          <w:sz w:val="18"/>
        </w:rPr>
      </w:pPr>
      <w:r>
        <w:rPr>
          <w:sz w:val="18"/>
          <w:lang w:val="en"/>
        </w:rPr>
        <w:t>Nasal ulcers or granuloma</w:t>
      </w:r>
      <w:r>
        <w:rPr>
          <w:sz w:val="18"/>
          <w:lang w:val="en"/>
        </w:rPr>
        <w:tab/>
        <w:t>|    |  6</w:t>
      </w:r>
    </w:p>
    <w:p w:rsidR="00CD39A7" w:rsidRDefault="005B3809">
      <w:pPr>
        <w:tabs>
          <w:tab w:val="left" w:pos="3741"/>
        </w:tabs>
        <w:spacing w:before="33"/>
        <w:ind w:left="141"/>
        <w:jc w:val="both"/>
        <w:rPr>
          <w:sz w:val="18"/>
        </w:rPr>
      </w:pPr>
      <w:r>
        <w:rPr>
          <w:sz w:val="18"/>
          <w:lang w:val="en"/>
        </w:rPr>
        <w:t>Sinusitis</w:t>
      </w:r>
      <w:r>
        <w:rPr>
          <w:sz w:val="18"/>
          <w:lang w:val="en"/>
        </w:rPr>
        <w:tab/>
        <w:t>|    |  2</w:t>
      </w:r>
    </w:p>
    <w:p w:rsidR="00C71AFB" w:rsidRDefault="005B3809" w:rsidP="00C71AFB">
      <w:pPr>
        <w:tabs>
          <w:tab w:val="left" w:pos="3741"/>
        </w:tabs>
        <w:spacing w:before="33" w:line="278" w:lineRule="auto"/>
        <w:ind w:left="141" w:right="241"/>
        <w:jc w:val="both"/>
        <w:rPr>
          <w:sz w:val="18"/>
          <w:lang w:val="en"/>
        </w:rPr>
      </w:pPr>
      <w:r>
        <w:rPr>
          <w:sz w:val="18"/>
          <w:lang w:val="en"/>
        </w:rPr>
        <w:t>Subglottic stenosis</w:t>
      </w:r>
      <w:r>
        <w:rPr>
          <w:sz w:val="18"/>
          <w:lang w:val="en"/>
        </w:rPr>
        <w:tab/>
      </w:r>
      <w:r w:rsidR="00D72855">
        <w:rPr>
          <w:sz w:val="18"/>
          <w:lang w:val="en"/>
        </w:rPr>
        <w:t>|    |  6</w:t>
      </w:r>
      <w:r>
        <w:rPr>
          <w:sz w:val="18"/>
          <w:lang w:val="en"/>
        </w:rPr>
        <w:t xml:space="preserve"> Transmission </w:t>
      </w:r>
      <w:r w:rsidR="00C71AFB">
        <w:rPr>
          <w:sz w:val="18"/>
          <w:lang w:val="en"/>
        </w:rPr>
        <w:t>hearing loss (conductive)</w:t>
      </w:r>
      <w:r w:rsidR="00C71AFB" w:rsidRPr="00C71AFB">
        <w:rPr>
          <w:sz w:val="18"/>
          <w:lang w:val="en"/>
        </w:rPr>
        <w:t xml:space="preserve"> </w:t>
      </w:r>
      <w:r w:rsidR="00C71AFB">
        <w:rPr>
          <w:sz w:val="18"/>
          <w:lang w:val="en"/>
        </w:rPr>
        <w:tab/>
        <w:t>|    |  3</w:t>
      </w:r>
    </w:p>
    <w:p w:rsidR="00CD39A7" w:rsidRDefault="005B3809" w:rsidP="00C71AFB">
      <w:pPr>
        <w:tabs>
          <w:tab w:val="left" w:pos="3741"/>
        </w:tabs>
        <w:spacing w:before="33" w:line="278" w:lineRule="auto"/>
        <w:ind w:left="141" w:right="241"/>
        <w:jc w:val="both"/>
        <w:rPr>
          <w:sz w:val="18"/>
        </w:rPr>
      </w:pPr>
      <w:r>
        <w:rPr>
          <w:sz w:val="18"/>
          <w:lang w:val="en"/>
        </w:rPr>
        <w:t>Perception hearing loss (sensory)</w:t>
      </w:r>
      <w:r w:rsidR="00C71AFB" w:rsidRPr="00C71AFB">
        <w:rPr>
          <w:sz w:val="18"/>
          <w:lang w:val="en"/>
        </w:rPr>
        <w:t xml:space="preserve"> </w:t>
      </w:r>
      <w:r w:rsidR="00C71AFB">
        <w:rPr>
          <w:sz w:val="18"/>
          <w:lang w:val="en"/>
        </w:rPr>
        <w:tab/>
        <w:t xml:space="preserve">|    |  </w:t>
      </w:r>
      <w:r>
        <w:rPr>
          <w:sz w:val="18"/>
          <w:lang w:val="en"/>
        </w:rPr>
        <w:t>6</w:t>
      </w:r>
    </w:p>
    <w:p w:rsidR="00CD39A7" w:rsidRDefault="00CD39A7">
      <w:pPr>
        <w:pStyle w:val="BodyText"/>
        <w:spacing w:before="3"/>
        <w:rPr>
          <w:sz w:val="21"/>
        </w:rPr>
      </w:pPr>
    </w:p>
    <w:p w:rsidR="00CD39A7" w:rsidRDefault="005B3809" w:rsidP="00B25E13">
      <w:pPr>
        <w:pStyle w:val="ListParagraph"/>
        <w:numPr>
          <w:ilvl w:val="0"/>
          <w:numId w:val="3"/>
        </w:numPr>
        <w:tabs>
          <w:tab w:val="left" w:pos="324"/>
          <w:tab w:val="left" w:pos="3021"/>
        </w:tabs>
        <w:ind w:hanging="182"/>
        <w:jc w:val="both"/>
        <w:rPr>
          <w:b/>
          <w:sz w:val="18"/>
        </w:rPr>
      </w:pPr>
      <w:r>
        <w:rPr>
          <w:b/>
          <w:bCs/>
          <w:sz w:val="18"/>
          <w:lang w:val="en"/>
        </w:rPr>
        <w:t>Pulmonary signs</w:t>
      </w:r>
      <w:r>
        <w:rPr>
          <w:sz w:val="18"/>
          <w:lang w:val="en"/>
        </w:rPr>
        <w:tab/>
        <w:t xml:space="preserve">|    | </w:t>
      </w:r>
      <w:r>
        <w:rPr>
          <w:b/>
          <w:bCs/>
          <w:sz w:val="18"/>
          <w:lang w:val="en"/>
        </w:rPr>
        <w:t>(maximum 6)</w:t>
      </w:r>
    </w:p>
    <w:p w:rsidR="00CD39A7" w:rsidRDefault="005B3809">
      <w:pPr>
        <w:tabs>
          <w:tab w:val="left" w:pos="3741"/>
        </w:tabs>
        <w:spacing w:before="27"/>
        <w:ind w:left="141"/>
        <w:jc w:val="both"/>
        <w:rPr>
          <w:sz w:val="18"/>
        </w:rPr>
      </w:pPr>
      <w:r>
        <w:rPr>
          <w:sz w:val="18"/>
          <w:lang w:val="en"/>
        </w:rPr>
        <w:t>Wheezing / sibilants</w:t>
      </w:r>
      <w:r>
        <w:rPr>
          <w:sz w:val="18"/>
          <w:lang w:val="en"/>
        </w:rPr>
        <w:tab/>
        <w:t>|    |  2</w:t>
      </w:r>
    </w:p>
    <w:p w:rsidR="00CD39A7" w:rsidRDefault="005B3809">
      <w:pPr>
        <w:tabs>
          <w:tab w:val="left" w:pos="3741"/>
        </w:tabs>
        <w:spacing w:before="32"/>
        <w:ind w:left="141"/>
        <w:jc w:val="both"/>
        <w:rPr>
          <w:sz w:val="18"/>
        </w:rPr>
      </w:pPr>
      <w:r>
        <w:rPr>
          <w:sz w:val="18"/>
          <w:lang w:val="en"/>
        </w:rPr>
        <w:t>Nodules / Excavated nodules</w:t>
      </w:r>
      <w:r>
        <w:rPr>
          <w:sz w:val="18"/>
          <w:lang w:val="en"/>
        </w:rPr>
        <w:tab/>
        <w:t xml:space="preserve">|    | </w:t>
      </w:r>
      <w:r w:rsidR="0043283A">
        <w:rPr>
          <w:sz w:val="18"/>
          <w:lang w:val="en"/>
        </w:rPr>
        <w:t xml:space="preserve"> </w:t>
      </w:r>
      <w:r>
        <w:rPr>
          <w:sz w:val="18"/>
          <w:lang w:val="en"/>
        </w:rPr>
        <w:t>3</w:t>
      </w:r>
    </w:p>
    <w:p w:rsidR="00CD39A7" w:rsidRDefault="005B3809">
      <w:pPr>
        <w:tabs>
          <w:tab w:val="left" w:pos="3741"/>
        </w:tabs>
        <w:spacing w:before="33"/>
        <w:ind w:left="141"/>
        <w:jc w:val="both"/>
        <w:rPr>
          <w:sz w:val="18"/>
        </w:rPr>
      </w:pPr>
      <w:r>
        <w:rPr>
          <w:sz w:val="18"/>
          <w:lang w:val="en"/>
        </w:rPr>
        <w:t>Pleural effusion</w:t>
      </w:r>
      <w:r>
        <w:rPr>
          <w:sz w:val="18"/>
          <w:lang w:val="en"/>
        </w:rPr>
        <w:tab/>
        <w:t>|    |  4</w:t>
      </w:r>
    </w:p>
    <w:p w:rsidR="00CD39A7" w:rsidRDefault="005B3809">
      <w:pPr>
        <w:tabs>
          <w:tab w:val="left" w:pos="3741"/>
        </w:tabs>
        <w:spacing w:before="33"/>
        <w:ind w:left="141"/>
        <w:jc w:val="both"/>
        <w:rPr>
          <w:sz w:val="18"/>
        </w:rPr>
      </w:pPr>
      <w:r>
        <w:rPr>
          <w:sz w:val="18"/>
          <w:lang w:val="en"/>
        </w:rPr>
        <w:t>Radiological pulmonary infiltrate</w:t>
      </w:r>
      <w:r>
        <w:rPr>
          <w:sz w:val="18"/>
          <w:lang w:val="en"/>
        </w:rPr>
        <w:tab/>
        <w:t xml:space="preserve">|    | </w:t>
      </w:r>
      <w:r w:rsidR="0043283A">
        <w:rPr>
          <w:sz w:val="18"/>
          <w:lang w:val="en"/>
        </w:rPr>
        <w:t xml:space="preserve"> </w:t>
      </w:r>
      <w:r>
        <w:rPr>
          <w:sz w:val="18"/>
          <w:lang w:val="en"/>
        </w:rPr>
        <w:t>4</w:t>
      </w:r>
    </w:p>
    <w:p w:rsidR="00CD39A7" w:rsidRDefault="005B3809">
      <w:pPr>
        <w:tabs>
          <w:tab w:val="left" w:pos="3741"/>
        </w:tabs>
        <w:spacing w:before="33"/>
        <w:ind w:left="141"/>
        <w:jc w:val="both"/>
        <w:rPr>
          <w:sz w:val="18"/>
        </w:rPr>
      </w:pPr>
      <w:r>
        <w:rPr>
          <w:sz w:val="18"/>
          <w:lang w:val="en"/>
        </w:rPr>
        <w:t>Endobronchial stenosis</w:t>
      </w:r>
      <w:r>
        <w:rPr>
          <w:sz w:val="18"/>
          <w:lang w:val="en"/>
        </w:rPr>
        <w:tab/>
        <w:t>|    |  4</w:t>
      </w:r>
    </w:p>
    <w:p w:rsidR="00CD39A7" w:rsidRDefault="005B3809">
      <w:pPr>
        <w:tabs>
          <w:tab w:val="left" w:pos="3741"/>
        </w:tabs>
        <w:spacing w:before="33"/>
        <w:ind w:left="141"/>
        <w:jc w:val="both"/>
        <w:rPr>
          <w:sz w:val="18"/>
        </w:rPr>
      </w:pPr>
      <w:r>
        <w:rPr>
          <w:sz w:val="18"/>
          <w:lang w:val="en"/>
        </w:rPr>
        <w:t>Intra-alveolar hemorrhage</w:t>
      </w:r>
      <w:r>
        <w:rPr>
          <w:sz w:val="18"/>
          <w:lang w:val="en"/>
        </w:rPr>
        <w:tab/>
        <w:t>|    |  6</w:t>
      </w:r>
    </w:p>
    <w:p w:rsidR="00CD39A7" w:rsidRDefault="005B3809">
      <w:pPr>
        <w:tabs>
          <w:tab w:val="left" w:pos="3741"/>
        </w:tabs>
        <w:spacing w:before="33"/>
        <w:ind w:left="141"/>
        <w:jc w:val="both"/>
        <w:rPr>
          <w:sz w:val="18"/>
        </w:rPr>
      </w:pPr>
      <w:r>
        <w:rPr>
          <w:sz w:val="18"/>
          <w:lang w:val="en"/>
        </w:rPr>
        <w:t>Respiratory distress</w:t>
      </w:r>
      <w:r>
        <w:rPr>
          <w:sz w:val="18"/>
          <w:lang w:val="en"/>
        </w:rPr>
        <w:tab/>
        <w:t>|    |  6</w:t>
      </w:r>
    </w:p>
    <w:p w:rsidR="00CD39A7" w:rsidRPr="004028D6" w:rsidRDefault="005B3809" w:rsidP="004028D6">
      <w:pPr>
        <w:pStyle w:val="BodyText"/>
        <w:rPr>
          <w:sz w:val="15"/>
          <w:szCs w:val="15"/>
        </w:rPr>
      </w:pPr>
      <w:r>
        <w:rPr>
          <w:lang w:val="en"/>
        </w:rPr>
        <w:br w:type="column"/>
      </w:r>
    </w:p>
    <w:p w:rsidR="00CD39A7" w:rsidRDefault="005B3809">
      <w:pPr>
        <w:ind w:right="868"/>
        <w:jc w:val="right"/>
        <w:rPr>
          <w:b/>
          <w:sz w:val="18"/>
        </w:rPr>
      </w:pPr>
      <w:r>
        <w:rPr>
          <w:b/>
          <w:bCs/>
          <w:sz w:val="18"/>
          <w:lang w:val="en"/>
        </w:rPr>
        <w:t>Yes</w:t>
      </w:r>
    </w:p>
    <w:p w:rsidR="00CD39A7" w:rsidRDefault="005B3809" w:rsidP="004028D6">
      <w:pPr>
        <w:pStyle w:val="ListParagraph"/>
        <w:numPr>
          <w:ilvl w:val="0"/>
          <w:numId w:val="3"/>
        </w:numPr>
        <w:tabs>
          <w:tab w:val="left" w:pos="324"/>
          <w:tab w:val="left" w:pos="2977"/>
        </w:tabs>
        <w:ind w:hanging="182"/>
        <w:rPr>
          <w:b/>
          <w:sz w:val="18"/>
        </w:rPr>
      </w:pPr>
      <w:r>
        <w:rPr>
          <w:b/>
          <w:bCs/>
          <w:sz w:val="18"/>
          <w:lang w:val="en"/>
        </w:rPr>
        <w:t>Cardiovascular signs</w:t>
      </w:r>
      <w:r>
        <w:rPr>
          <w:sz w:val="18"/>
          <w:lang w:val="en"/>
        </w:rPr>
        <w:tab/>
        <w:t xml:space="preserve">|    | </w:t>
      </w:r>
      <w:r>
        <w:rPr>
          <w:b/>
          <w:bCs/>
          <w:sz w:val="18"/>
          <w:lang w:val="en"/>
        </w:rPr>
        <w:t>(maximum 6)</w:t>
      </w:r>
    </w:p>
    <w:p w:rsidR="00CD39A7" w:rsidRDefault="005B3809">
      <w:pPr>
        <w:tabs>
          <w:tab w:val="left" w:pos="3741"/>
        </w:tabs>
        <w:spacing w:before="28"/>
        <w:ind w:left="141"/>
        <w:rPr>
          <w:sz w:val="18"/>
        </w:rPr>
      </w:pPr>
      <w:r>
        <w:rPr>
          <w:sz w:val="18"/>
          <w:lang w:val="en"/>
        </w:rPr>
        <w:t>Loss of a pulse</w:t>
      </w:r>
      <w:r>
        <w:rPr>
          <w:sz w:val="18"/>
          <w:lang w:val="en"/>
        </w:rPr>
        <w:tab/>
        <w:t xml:space="preserve">|    | </w:t>
      </w:r>
      <w:r w:rsidR="0043283A">
        <w:rPr>
          <w:sz w:val="18"/>
          <w:lang w:val="en"/>
        </w:rPr>
        <w:t xml:space="preserve"> </w:t>
      </w:r>
      <w:r>
        <w:rPr>
          <w:sz w:val="18"/>
          <w:lang w:val="en"/>
        </w:rPr>
        <w:t>4</w:t>
      </w:r>
    </w:p>
    <w:p w:rsidR="00CD39A7" w:rsidRDefault="005B3809">
      <w:pPr>
        <w:tabs>
          <w:tab w:val="left" w:pos="3741"/>
        </w:tabs>
        <w:spacing w:before="32"/>
        <w:ind w:left="141"/>
        <w:rPr>
          <w:sz w:val="18"/>
        </w:rPr>
      </w:pPr>
      <w:r>
        <w:rPr>
          <w:sz w:val="18"/>
          <w:lang w:val="en"/>
        </w:rPr>
        <w:t>Valvular disease</w:t>
      </w:r>
      <w:r>
        <w:rPr>
          <w:sz w:val="18"/>
          <w:lang w:val="en"/>
        </w:rPr>
        <w:tab/>
        <w:t>|    |  4</w:t>
      </w:r>
    </w:p>
    <w:p w:rsidR="00CD39A7" w:rsidRDefault="005B3809">
      <w:pPr>
        <w:tabs>
          <w:tab w:val="left" w:pos="3741"/>
        </w:tabs>
        <w:spacing w:before="32"/>
        <w:ind w:left="141"/>
        <w:rPr>
          <w:sz w:val="18"/>
        </w:rPr>
      </w:pPr>
      <w:r>
        <w:rPr>
          <w:sz w:val="18"/>
          <w:lang w:val="en"/>
        </w:rPr>
        <w:t>Pericarditis</w:t>
      </w:r>
      <w:r>
        <w:rPr>
          <w:sz w:val="18"/>
          <w:lang w:val="en"/>
        </w:rPr>
        <w:tab/>
        <w:t xml:space="preserve">|    | </w:t>
      </w:r>
      <w:r w:rsidR="0043283A">
        <w:rPr>
          <w:sz w:val="18"/>
          <w:lang w:val="en"/>
        </w:rPr>
        <w:t xml:space="preserve"> </w:t>
      </w:r>
      <w:r>
        <w:rPr>
          <w:sz w:val="18"/>
          <w:lang w:val="en"/>
        </w:rPr>
        <w:t>3</w:t>
      </w:r>
    </w:p>
    <w:p w:rsidR="00CD39A7" w:rsidRDefault="005B3809">
      <w:pPr>
        <w:tabs>
          <w:tab w:val="left" w:pos="3741"/>
        </w:tabs>
        <w:spacing w:before="32"/>
        <w:ind w:left="141"/>
        <w:rPr>
          <w:sz w:val="18"/>
        </w:rPr>
      </w:pPr>
      <w:r>
        <w:rPr>
          <w:sz w:val="18"/>
          <w:lang w:val="en"/>
        </w:rPr>
        <w:t>Angina</w:t>
      </w:r>
      <w:r>
        <w:rPr>
          <w:sz w:val="18"/>
          <w:lang w:val="en"/>
        </w:rPr>
        <w:tab/>
        <w:t xml:space="preserve">|    | </w:t>
      </w:r>
      <w:r w:rsidR="0043283A">
        <w:rPr>
          <w:sz w:val="18"/>
          <w:lang w:val="en"/>
        </w:rPr>
        <w:t xml:space="preserve"> </w:t>
      </w:r>
      <w:r>
        <w:rPr>
          <w:sz w:val="18"/>
          <w:lang w:val="en"/>
        </w:rPr>
        <w:t>4</w:t>
      </w:r>
    </w:p>
    <w:p w:rsidR="00CD39A7" w:rsidRDefault="005B3809">
      <w:pPr>
        <w:tabs>
          <w:tab w:val="left" w:pos="3741"/>
        </w:tabs>
        <w:spacing w:before="32"/>
        <w:ind w:left="141"/>
        <w:rPr>
          <w:sz w:val="18"/>
        </w:rPr>
      </w:pPr>
      <w:r>
        <w:rPr>
          <w:sz w:val="18"/>
          <w:lang w:val="en"/>
        </w:rPr>
        <w:t>Cardiomyopathy</w:t>
      </w:r>
      <w:r>
        <w:rPr>
          <w:sz w:val="18"/>
          <w:lang w:val="en"/>
        </w:rPr>
        <w:tab/>
        <w:t>|    |  6</w:t>
      </w:r>
    </w:p>
    <w:p w:rsidR="00CD39A7" w:rsidRDefault="005B3809">
      <w:pPr>
        <w:tabs>
          <w:tab w:val="left" w:pos="3741"/>
        </w:tabs>
        <w:spacing w:before="32"/>
        <w:ind w:left="141"/>
        <w:rPr>
          <w:sz w:val="18"/>
        </w:rPr>
      </w:pPr>
      <w:r>
        <w:rPr>
          <w:sz w:val="18"/>
          <w:lang w:val="en"/>
        </w:rPr>
        <w:t>Congestive heart failure</w:t>
      </w:r>
      <w:r>
        <w:rPr>
          <w:sz w:val="18"/>
          <w:lang w:val="en"/>
        </w:rPr>
        <w:tab/>
        <w:t xml:space="preserve">|    | </w:t>
      </w:r>
      <w:r w:rsidR="0043283A">
        <w:rPr>
          <w:sz w:val="18"/>
          <w:lang w:val="en"/>
        </w:rPr>
        <w:t xml:space="preserve"> </w:t>
      </w:r>
      <w:r>
        <w:rPr>
          <w:sz w:val="18"/>
          <w:lang w:val="en"/>
        </w:rPr>
        <w:t>6</w:t>
      </w:r>
    </w:p>
    <w:p w:rsidR="00CD39A7" w:rsidRDefault="00CD39A7">
      <w:pPr>
        <w:pStyle w:val="BodyText"/>
      </w:pPr>
    </w:p>
    <w:p w:rsidR="00CD39A7" w:rsidRDefault="005B3809" w:rsidP="0043283A">
      <w:pPr>
        <w:pStyle w:val="ListParagraph"/>
        <w:numPr>
          <w:ilvl w:val="0"/>
          <w:numId w:val="3"/>
        </w:numPr>
        <w:tabs>
          <w:tab w:val="left" w:pos="324"/>
          <w:tab w:val="left" w:pos="2835"/>
        </w:tabs>
        <w:ind w:hanging="182"/>
        <w:rPr>
          <w:b/>
          <w:sz w:val="18"/>
        </w:rPr>
      </w:pPr>
      <w:r>
        <w:rPr>
          <w:b/>
          <w:bCs/>
          <w:sz w:val="18"/>
          <w:lang w:val="en"/>
        </w:rPr>
        <w:t>Abdominal disease</w:t>
      </w:r>
      <w:r>
        <w:rPr>
          <w:sz w:val="18"/>
          <w:lang w:val="en"/>
        </w:rPr>
        <w:tab/>
        <w:t xml:space="preserve">|    |    </w:t>
      </w:r>
      <w:r>
        <w:rPr>
          <w:b/>
          <w:bCs/>
          <w:sz w:val="18"/>
          <w:lang w:val="en"/>
        </w:rPr>
        <w:t>(maximum 9)</w:t>
      </w:r>
    </w:p>
    <w:p w:rsidR="00CD39A7" w:rsidRDefault="005B3809">
      <w:pPr>
        <w:tabs>
          <w:tab w:val="left" w:pos="3741"/>
        </w:tabs>
        <w:spacing w:before="27"/>
        <w:ind w:left="141"/>
        <w:rPr>
          <w:sz w:val="18"/>
        </w:rPr>
      </w:pPr>
      <w:r>
        <w:rPr>
          <w:sz w:val="18"/>
          <w:lang w:val="en"/>
        </w:rPr>
        <w:t>Peritonitis</w:t>
      </w:r>
      <w:r>
        <w:rPr>
          <w:sz w:val="18"/>
          <w:lang w:val="en"/>
        </w:rPr>
        <w:tab/>
        <w:t xml:space="preserve">|    | </w:t>
      </w:r>
      <w:r w:rsidR="0043283A">
        <w:rPr>
          <w:sz w:val="18"/>
          <w:lang w:val="en"/>
        </w:rPr>
        <w:t xml:space="preserve"> </w:t>
      </w:r>
      <w:r>
        <w:rPr>
          <w:sz w:val="18"/>
          <w:lang w:val="en"/>
        </w:rPr>
        <w:t>9</w:t>
      </w:r>
    </w:p>
    <w:p w:rsidR="00CD39A7" w:rsidRDefault="005B3809">
      <w:pPr>
        <w:tabs>
          <w:tab w:val="left" w:pos="3741"/>
        </w:tabs>
        <w:spacing w:before="32"/>
        <w:ind w:left="141"/>
        <w:rPr>
          <w:sz w:val="18"/>
        </w:rPr>
      </w:pPr>
      <w:r>
        <w:rPr>
          <w:sz w:val="18"/>
          <w:lang w:val="en"/>
        </w:rPr>
        <w:t>Bloody diarrhea</w:t>
      </w:r>
      <w:r>
        <w:rPr>
          <w:sz w:val="18"/>
          <w:lang w:val="en"/>
        </w:rPr>
        <w:tab/>
        <w:t xml:space="preserve">|    | </w:t>
      </w:r>
      <w:r w:rsidR="0043283A">
        <w:rPr>
          <w:sz w:val="18"/>
          <w:lang w:val="en"/>
        </w:rPr>
        <w:t xml:space="preserve"> </w:t>
      </w:r>
      <w:r>
        <w:rPr>
          <w:sz w:val="18"/>
          <w:lang w:val="en"/>
        </w:rPr>
        <w:t>9</w:t>
      </w:r>
    </w:p>
    <w:p w:rsidR="00CD39A7" w:rsidRDefault="005B3809">
      <w:pPr>
        <w:tabs>
          <w:tab w:val="left" w:pos="3741"/>
        </w:tabs>
        <w:spacing w:before="33"/>
        <w:ind w:left="141"/>
        <w:rPr>
          <w:sz w:val="18"/>
        </w:rPr>
      </w:pPr>
      <w:r>
        <w:rPr>
          <w:sz w:val="18"/>
          <w:lang w:val="en"/>
        </w:rPr>
        <w:t>Abdominal pain (digestive angina)</w:t>
      </w:r>
      <w:r>
        <w:rPr>
          <w:sz w:val="18"/>
          <w:lang w:val="en"/>
        </w:rPr>
        <w:tab/>
        <w:t xml:space="preserve">|    | </w:t>
      </w:r>
      <w:r w:rsidR="0043283A">
        <w:rPr>
          <w:sz w:val="18"/>
          <w:lang w:val="en"/>
        </w:rPr>
        <w:t xml:space="preserve"> </w:t>
      </w:r>
      <w:r>
        <w:rPr>
          <w:sz w:val="18"/>
          <w:lang w:val="en"/>
        </w:rPr>
        <w:t>2</w:t>
      </w:r>
    </w:p>
    <w:p w:rsidR="00CD39A7" w:rsidRDefault="00CD39A7">
      <w:pPr>
        <w:pStyle w:val="BodyText"/>
        <w:spacing w:before="7"/>
      </w:pPr>
    </w:p>
    <w:tbl>
      <w:tblPr>
        <w:tblW w:w="0" w:type="auto"/>
        <w:tblInd w:w="9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32"/>
        <w:gridCol w:w="1645"/>
        <w:gridCol w:w="223"/>
      </w:tblGrid>
      <w:tr w:rsidR="0043283A" w:rsidTr="003239C1">
        <w:trPr>
          <w:trHeight w:hRule="exact" w:val="220"/>
        </w:trPr>
        <w:tc>
          <w:tcPr>
            <w:tcW w:w="2332" w:type="dxa"/>
          </w:tcPr>
          <w:p w:rsidR="0043283A" w:rsidRDefault="0043283A">
            <w:pPr>
              <w:pStyle w:val="TableParagraph"/>
              <w:spacing w:line="202" w:lineRule="exact"/>
              <w:ind w:left="50"/>
              <w:rPr>
                <w:b/>
                <w:sz w:val="18"/>
              </w:rPr>
            </w:pPr>
            <w:r>
              <w:rPr>
                <w:b/>
                <w:bCs/>
                <w:sz w:val="18"/>
                <w:lang w:val="en"/>
              </w:rPr>
              <w:t>8. Renal signs</w:t>
            </w:r>
          </w:p>
        </w:tc>
        <w:tc>
          <w:tcPr>
            <w:tcW w:w="1868" w:type="dxa"/>
            <w:gridSpan w:val="2"/>
          </w:tcPr>
          <w:p w:rsidR="0043283A" w:rsidRDefault="0043283A" w:rsidP="0043283A">
            <w:pPr>
              <w:jc w:val="right"/>
            </w:pPr>
            <w:r w:rsidRPr="0043283A">
              <w:rPr>
                <w:sz w:val="18"/>
                <w:szCs w:val="18"/>
                <w:lang w:val="en"/>
              </w:rPr>
              <w:t xml:space="preserve">|    | </w:t>
            </w:r>
            <w:r w:rsidRPr="0043283A">
              <w:rPr>
                <w:b/>
                <w:bCs/>
                <w:sz w:val="18"/>
                <w:szCs w:val="18"/>
                <w:lang w:val="en"/>
              </w:rPr>
              <w:t>(maximum 12)</w:t>
            </w:r>
          </w:p>
        </w:tc>
      </w:tr>
      <w:tr w:rsidR="00CD39A7">
        <w:trPr>
          <w:trHeight w:hRule="exact" w:val="238"/>
        </w:trPr>
        <w:tc>
          <w:tcPr>
            <w:tcW w:w="2332" w:type="dxa"/>
          </w:tcPr>
          <w:p w:rsidR="00CD39A7" w:rsidRDefault="005B3809">
            <w:pPr>
              <w:pStyle w:val="TableParagraph"/>
              <w:spacing w:before="10" w:line="240" w:lineRule="auto"/>
              <w:ind w:left="50"/>
              <w:rPr>
                <w:sz w:val="18"/>
              </w:rPr>
            </w:pPr>
            <w:r>
              <w:rPr>
                <w:sz w:val="18"/>
                <w:lang w:val="en"/>
              </w:rPr>
              <w:t>Hypertension</w:t>
            </w:r>
          </w:p>
        </w:tc>
        <w:tc>
          <w:tcPr>
            <w:tcW w:w="1645" w:type="dxa"/>
          </w:tcPr>
          <w:p w:rsidR="00CD39A7" w:rsidRDefault="005B3809">
            <w:pPr>
              <w:pStyle w:val="TableParagraph"/>
              <w:spacing w:before="28"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before="10" w:line="240" w:lineRule="auto"/>
              <w:ind w:left="3"/>
              <w:jc w:val="center"/>
              <w:rPr>
                <w:sz w:val="18"/>
              </w:rPr>
            </w:pPr>
            <w:r>
              <w:rPr>
                <w:sz w:val="18"/>
                <w:lang w:val="en"/>
              </w:rPr>
              <w:t>4</w:t>
            </w:r>
          </w:p>
        </w:tc>
      </w:tr>
      <w:tr w:rsidR="00CD39A7">
        <w:trPr>
          <w:trHeight w:hRule="exact" w:val="240"/>
        </w:trPr>
        <w:tc>
          <w:tcPr>
            <w:tcW w:w="2332" w:type="dxa"/>
          </w:tcPr>
          <w:p w:rsidR="00CD39A7" w:rsidRDefault="005B3809">
            <w:pPr>
              <w:pStyle w:val="TableParagraph"/>
              <w:spacing w:before="12" w:line="240" w:lineRule="auto"/>
              <w:ind w:left="50"/>
              <w:rPr>
                <w:sz w:val="18"/>
              </w:rPr>
            </w:pPr>
            <w:r>
              <w:rPr>
                <w:sz w:val="18"/>
                <w:lang w:val="en"/>
              </w:rPr>
              <w:t>Proteinuria &gt; 1+</w:t>
            </w:r>
          </w:p>
        </w:tc>
        <w:tc>
          <w:tcPr>
            <w:tcW w:w="1645" w:type="dxa"/>
          </w:tcPr>
          <w:p w:rsidR="00CD39A7" w:rsidRDefault="005B3809">
            <w:pPr>
              <w:pStyle w:val="TableParagraph"/>
              <w:spacing w:before="30"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before="12" w:line="240" w:lineRule="auto"/>
              <w:ind w:left="3"/>
              <w:jc w:val="center"/>
              <w:rPr>
                <w:sz w:val="18"/>
              </w:rPr>
            </w:pPr>
            <w:r>
              <w:rPr>
                <w:sz w:val="18"/>
                <w:lang w:val="en"/>
              </w:rPr>
              <w:t>4</w:t>
            </w:r>
          </w:p>
        </w:tc>
      </w:tr>
      <w:tr w:rsidR="00CD39A7">
        <w:trPr>
          <w:trHeight w:hRule="exact" w:val="240"/>
        </w:trPr>
        <w:tc>
          <w:tcPr>
            <w:tcW w:w="2332" w:type="dxa"/>
          </w:tcPr>
          <w:p w:rsidR="00CD39A7" w:rsidRDefault="005B3809">
            <w:pPr>
              <w:pStyle w:val="TableParagraph"/>
              <w:spacing w:before="12" w:line="240" w:lineRule="auto"/>
              <w:ind w:left="50"/>
              <w:rPr>
                <w:sz w:val="18"/>
              </w:rPr>
            </w:pPr>
            <w:r>
              <w:rPr>
                <w:sz w:val="18"/>
                <w:lang w:val="en"/>
              </w:rPr>
              <w:t>Hematuria &gt; 10 RBC/field</w:t>
            </w:r>
          </w:p>
        </w:tc>
        <w:tc>
          <w:tcPr>
            <w:tcW w:w="1645" w:type="dxa"/>
          </w:tcPr>
          <w:p w:rsidR="00CD39A7" w:rsidRDefault="005B3809">
            <w:pPr>
              <w:pStyle w:val="TableParagraph"/>
              <w:spacing w:before="30"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before="12" w:line="240" w:lineRule="auto"/>
              <w:ind w:left="32"/>
              <w:jc w:val="center"/>
              <w:rPr>
                <w:sz w:val="18"/>
              </w:rPr>
            </w:pPr>
            <w:r>
              <w:rPr>
                <w:sz w:val="18"/>
                <w:lang w:val="en"/>
              </w:rPr>
              <w:t>6</w:t>
            </w:r>
          </w:p>
        </w:tc>
      </w:tr>
      <w:tr w:rsidR="00CD39A7">
        <w:trPr>
          <w:trHeight w:hRule="exact" w:val="240"/>
        </w:trPr>
        <w:tc>
          <w:tcPr>
            <w:tcW w:w="2332" w:type="dxa"/>
          </w:tcPr>
          <w:p w:rsidR="00CD39A7" w:rsidRDefault="005B3809">
            <w:pPr>
              <w:pStyle w:val="TableParagraph"/>
              <w:spacing w:before="12" w:line="240" w:lineRule="auto"/>
              <w:ind w:left="50"/>
              <w:rPr>
                <w:sz w:val="18"/>
              </w:rPr>
            </w:pPr>
            <w:r>
              <w:rPr>
                <w:sz w:val="18"/>
                <w:lang w:val="en"/>
              </w:rPr>
              <w:t>Creatininemia 125–249 µmol/l</w:t>
            </w:r>
          </w:p>
        </w:tc>
        <w:tc>
          <w:tcPr>
            <w:tcW w:w="1645" w:type="dxa"/>
          </w:tcPr>
          <w:p w:rsidR="00CD39A7" w:rsidRDefault="005B3809">
            <w:pPr>
              <w:pStyle w:val="TableParagraph"/>
              <w:spacing w:before="30"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before="12" w:line="240" w:lineRule="auto"/>
              <w:ind w:left="32"/>
              <w:jc w:val="center"/>
              <w:rPr>
                <w:sz w:val="18"/>
              </w:rPr>
            </w:pPr>
            <w:r>
              <w:rPr>
                <w:sz w:val="18"/>
                <w:lang w:val="en"/>
              </w:rPr>
              <w:t>4</w:t>
            </w:r>
          </w:p>
        </w:tc>
      </w:tr>
      <w:tr w:rsidR="00CD39A7">
        <w:trPr>
          <w:trHeight w:hRule="exact" w:val="240"/>
        </w:trPr>
        <w:tc>
          <w:tcPr>
            <w:tcW w:w="2332" w:type="dxa"/>
          </w:tcPr>
          <w:p w:rsidR="00CD39A7" w:rsidRDefault="005B3809">
            <w:pPr>
              <w:pStyle w:val="TableParagraph"/>
              <w:spacing w:before="12" w:line="240" w:lineRule="auto"/>
              <w:ind w:left="50"/>
              <w:rPr>
                <w:sz w:val="18"/>
              </w:rPr>
            </w:pPr>
            <w:r>
              <w:rPr>
                <w:sz w:val="18"/>
                <w:lang w:val="en"/>
              </w:rPr>
              <w:t>Creatininemia 250–499 µmol/l</w:t>
            </w:r>
          </w:p>
        </w:tc>
        <w:tc>
          <w:tcPr>
            <w:tcW w:w="1645" w:type="dxa"/>
          </w:tcPr>
          <w:p w:rsidR="00CD39A7" w:rsidRDefault="005B3809">
            <w:pPr>
              <w:pStyle w:val="TableParagraph"/>
              <w:spacing w:before="30"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before="12" w:line="240" w:lineRule="auto"/>
              <w:ind w:left="3"/>
              <w:jc w:val="center"/>
              <w:rPr>
                <w:sz w:val="18"/>
              </w:rPr>
            </w:pPr>
            <w:r>
              <w:rPr>
                <w:sz w:val="18"/>
                <w:lang w:val="en"/>
              </w:rPr>
              <w:t>6</w:t>
            </w:r>
          </w:p>
        </w:tc>
      </w:tr>
      <w:tr w:rsidR="00CD39A7">
        <w:trPr>
          <w:trHeight w:hRule="exact" w:val="220"/>
        </w:trPr>
        <w:tc>
          <w:tcPr>
            <w:tcW w:w="2332" w:type="dxa"/>
          </w:tcPr>
          <w:p w:rsidR="00CD39A7" w:rsidRDefault="005B3809">
            <w:pPr>
              <w:pStyle w:val="TableParagraph"/>
              <w:spacing w:before="12" w:line="240" w:lineRule="auto"/>
              <w:ind w:left="50"/>
              <w:rPr>
                <w:sz w:val="18"/>
              </w:rPr>
            </w:pPr>
            <w:r>
              <w:rPr>
                <w:sz w:val="18"/>
                <w:lang w:val="en"/>
              </w:rPr>
              <w:t>Creatininemia &gt; 500 µmol/l</w:t>
            </w:r>
          </w:p>
        </w:tc>
        <w:tc>
          <w:tcPr>
            <w:tcW w:w="1645" w:type="dxa"/>
          </w:tcPr>
          <w:p w:rsidR="00CD39A7" w:rsidRDefault="005B3809">
            <w:pPr>
              <w:pStyle w:val="TableParagraph"/>
              <w:spacing w:before="30"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before="12" w:line="240" w:lineRule="auto"/>
              <w:ind w:left="3"/>
              <w:jc w:val="center"/>
              <w:rPr>
                <w:sz w:val="18"/>
              </w:rPr>
            </w:pPr>
            <w:r>
              <w:rPr>
                <w:sz w:val="18"/>
                <w:lang w:val="en"/>
              </w:rPr>
              <w:t>8</w:t>
            </w:r>
          </w:p>
        </w:tc>
      </w:tr>
    </w:tbl>
    <w:p w:rsidR="00CD39A7" w:rsidRDefault="005B3809">
      <w:pPr>
        <w:tabs>
          <w:tab w:val="left" w:pos="3741"/>
        </w:tabs>
        <w:spacing w:before="33" w:line="278" w:lineRule="auto"/>
        <w:ind w:left="141" w:right="236"/>
        <w:rPr>
          <w:sz w:val="18"/>
        </w:rPr>
      </w:pPr>
      <w:r>
        <w:rPr>
          <w:sz w:val="18"/>
          <w:lang w:val="en"/>
        </w:rPr>
        <w:t xml:space="preserve">Increase in creatininemia &gt; 30% or reduction </w:t>
      </w:r>
      <w:r w:rsidR="008538A6">
        <w:rPr>
          <w:sz w:val="18"/>
          <w:lang w:val="en"/>
        </w:rPr>
        <w:br/>
      </w:r>
      <w:r>
        <w:rPr>
          <w:sz w:val="18"/>
          <w:lang w:val="en"/>
        </w:rPr>
        <w:t>of creatinine clearance &gt; 25%</w:t>
      </w:r>
      <w:r>
        <w:rPr>
          <w:sz w:val="18"/>
          <w:lang w:val="en"/>
        </w:rPr>
        <w:tab/>
        <w:t>|    |  6</w:t>
      </w:r>
    </w:p>
    <w:p w:rsidR="00CD39A7" w:rsidRDefault="00CD39A7">
      <w:pPr>
        <w:pStyle w:val="BodyText"/>
        <w:spacing w:before="3"/>
        <w:rPr>
          <w:sz w:val="21"/>
        </w:rPr>
      </w:pPr>
    </w:p>
    <w:p w:rsidR="00CD39A7" w:rsidRDefault="005B3809" w:rsidP="00A93A31">
      <w:pPr>
        <w:pStyle w:val="ListParagraph"/>
        <w:numPr>
          <w:ilvl w:val="0"/>
          <w:numId w:val="2"/>
        </w:numPr>
        <w:tabs>
          <w:tab w:val="left" w:pos="324"/>
          <w:tab w:val="left" w:pos="2835"/>
        </w:tabs>
        <w:ind w:hanging="182"/>
        <w:rPr>
          <w:b/>
          <w:sz w:val="18"/>
        </w:rPr>
      </w:pPr>
      <w:r>
        <w:rPr>
          <w:b/>
          <w:bCs/>
          <w:sz w:val="18"/>
          <w:lang w:val="en"/>
        </w:rPr>
        <w:t>Neurological disease</w:t>
      </w:r>
      <w:r>
        <w:rPr>
          <w:sz w:val="18"/>
          <w:lang w:val="en"/>
        </w:rPr>
        <w:tab/>
        <w:t xml:space="preserve">|    |    </w:t>
      </w:r>
      <w:r>
        <w:rPr>
          <w:b/>
          <w:bCs/>
          <w:sz w:val="18"/>
          <w:lang w:val="en"/>
        </w:rPr>
        <w:t>(maximum 9)</w:t>
      </w:r>
    </w:p>
    <w:p w:rsidR="00CD39A7" w:rsidRDefault="00CD39A7">
      <w:pPr>
        <w:pStyle w:val="BodyText"/>
        <w:rPr>
          <w:b/>
          <w:sz w:val="3"/>
        </w:rPr>
      </w:pPr>
    </w:p>
    <w:tbl>
      <w:tblPr>
        <w:tblW w:w="0" w:type="auto"/>
        <w:tblInd w:w="9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37"/>
        <w:gridCol w:w="841"/>
        <w:gridCol w:w="223"/>
      </w:tblGrid>
      <w:tr w:rsidR="00CD39A7">
        <w:trPr>
          <w:trHeight w:hRule="exact" w:val="220"/>
        </w:trPr>
        <w:tc>
          <w:tcPr>
            <w:tcW w:w="3137" w:type="dxa"/>
          </w:tcPr>
          <w:p w:rsidR="00CD39A7" w:rsidRDefault="005B3809">
            <w:pPr>
              <w:pStyle w:val="TableParagraph"/>
              <w:spacing w:line="199" w:lineRule="exact"/>
              <w:ind w:left="50"/>
              <w:rPr>
                <w:sz w:val="18"/>
              </w:rPr>
            </w:pPr>
            <w:r>
              <w:rPr>
                <w:sz w:val="18"/>
                <w:lang w:val="en"/>
              </w:rPr>
              <w:t>Headaches</w:t>
            </w:r>
          </w:p>
        </w:tc>
        <w:tc>
          <w:tcPr>
            <w:tcW w:w="841" w:type="dxa"/>
          </w:tcPr>
          <w:p w:rsidR="00CD39A7" w:rsidRDefault="005B3809">
            <w:pPr>
              <w:pStyle w:val="TableParagraph"/>
              <w:spacing w:before="10"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line="199" w:lineRule="exact"/>
              <w:ind w:left="3"/>
              <w:jc w:val="center"/>
              <w:rPr>
                <w:sz w:val="18"/>
              </w:rPr>
            </w:pPr>
            <w:r>
              <w:rPr>
                <w:sz w:val="18"/>
                <w:lang w:val="en"/>
              </w:rPr>
              <w:t>1</w:t>
            </w:r>
          </w:p>
        </w:tc>
      </w:tr>
      <w:tr w:rsidR="00CD39A7">
        <w:trPr>
          <w:trHeight w:hRule="exact" w:val="240"/>
        </w:trPr>
        <w:tc>
          <w:tcPr>
            <w:tcW w:w="3137" w:type="dxa"/>
          </w:tcPr>
          <w:p w:rsidR="00CD39A7" w:rsidRDefault="005B3809">
            <w:pPr>
              <w:pStyle w:val="TableParagraph"/>
              <w:spacing w:before="12" w:line="240" w:lineRule="auto"/>
              <w:ind w:left="50"/>
              <w:rPr>
                <w:sz w:val="18"/>
              </w:rPr>
            </w:pPr>
            <w:r>
              <w:rPr>
                <w:sz w:val="18"/>
                <w:lang w:val="en"/>
              </w:rPr>
              <w:t>Meningitis</w:t>
            </w:r>
          </w:p>
        </w:tc>
        <w:tc>
          <w:tcPr>
            <w:tcW w:w="841" w:type="dxa"/>
          </w:tcPr>
          <w:p w:rsidR="00CD39A7" w:rsidRDefault="005B3809">
            <w:pPr>
              <w:pStyle w:val="TableParagraph"/>
              <w:spacing w:before="30"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before="12" w:line="240" w:lineRule="auto"/>
              <w:ind w:left="3"/>
              <w:jc w:val="center"/>
              <w:rPr>
                <w:sz w:val="18"/>
              </w:rPr>
            </w:pPr>
            <w:r>
              <w:rPr>
                <w:sz w:val="18"/>
                <w:lang w:val="en"/>
              </w:rPr>
              <w:t>3</w:t>
            </w:r>
          </w:p>
        </w:tc>
      </w:tr>
      <w:tr w:rsidR="00CD39A7">
        <w:trPr>
          <w:trHeight w:hRule="exact" w:val="240"/>
        </w:trPr>
        <w:tc>
          <w:tcPr>
            <w:tcW w:w="3137" w:type="dxa"/>
          </w:tcPr>
          <w:p w:rsidR="00CD39A7" w:rsidRDefault="005B3809">
            <w:pPr>
              <w:pStyle w:val="TableParagraph"/>
              <w:spacing w:before="12" w:line="240" w:lineRule="auto"/>
              <w:ind w:left="50"/>
              <w:rPr>
                <w:sz w:val="18"/>
              </w:rPr>
            </w:pPr>
            <w:r>
              <w:rPr>
                <w:sz w:val="18"/>
                <w:lang w:val="en"/>
              </w:rPr>
              <w:t>Confusion, awareness disorder</w:t>
            </w:r>
          </w:p>
        </w:tc>
        <w:tc>
          <w:tcPr>
            <w:tcW w:w="841" w:type="dxa"/>
          </w:tcPr>
          <w:p w:rsidR="00CD39A7" w:rsidRDefault="005B3809">
            <w:pPr>
              <w:pStyle w:val="TableParagraph"/>
              <w:spacing w:before="30"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before="12" w:line="240" w:lineRule="auto"/>
              <w:ind w:left="3"/>
              <w:jc w:val="center"/>
              <w:rPr>
                <w:sz w:val="18"/>
              </w:rPr>
            </w:pPr>
            <w:r>
              <w:rPr>
                <w:sz w:val="18"/>
                <w:lang w:val="en"/>
              </w:rPr>
              <w:t>3</w:t>
            </w:r>
          </w:p>
        </w:tc>
      </w:tr>
      <w:tr w:rsidR="00CD39A7">
        <w:trPr>
          <w:trHeight w:hRule="exact" w:val="240"/>
        </w:trPr>
        <w:tc>
          <w:tcPr>
            <w:tcW w:w="3137" w:type="dxa"/>
          </w:tcPr>
          <w:p w:rsidR="00CD39A7" w:rsidRDefault="005B3809">
            <w:pPr>
              <w:pStyle w:val="TableParagraph"/>
              <w:spacing w:before="12" w:line="240" w:lineRule="auto"/>
              <w:ind w:left="50"/>
              <w:rPr>
                <w:sz w:val="18"/>
              </w:rPr>
            </w:pPr>
            <w:r>
              <w:rPr>
                <w:sz w:val="18"/>
                <w:lang w:val="en"/>
              </w:rPr>
              <w:t>Seizures (not hypertensive)</w:t>
            </w:r>
          </w:p>
        </w:tc>
        <w:tc>
          <w:tcPr>
            <w:tcW w:w="841" w:type="dxa"/>
          </w:tcPr>
          <w:p w:rsidR="00CD39A7" w:rsidRDefault="005B3809">
            <w:pPr>
              <w:pStyle w:val="TableParagraph"/>
              <w:spacing w:before="30"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before="12" w:line="240" w:lineRule="auto"/>
              <w:ind w:left="32"/>
              <w:jc w:val="center"/>
              <w:rPr>
                <w:sz w:val="18"/>
              </w:rPr>
            </w:pPr>
            <w:r>
              <w:rPr>
                <w:sz w:val="18"/>
                <w:lang w:val="en"/>
              </w:rPr>
              <w:t>9</w:t>
            </w:r>
          </w:p>
        </w:tc>
      </w:tr>
      <w:tr w:rsidR="00CD39A7">
        <w:trPr>
          <w:trHeight w:hRule="exact" w:val="240"/>
        </w:trPr>
        <w:tc>
          <w:tcPr>
            <w:tcW w:w="3137" w:type="dxa"/>
          </w:tcPr>
          <w:p w:rsidR="00CD39A7" w:rsidRDefault="005B3809">
            <w:pPr>
              <w:pStyle w:val="TableParagraph"/>
              <w:spacing w:before="12" w:line="240" w:lineRule="auto"/>
              <w:ind w:left="50"/>
              <w:rPr>
                <w:sz w:val="18"/>
              </w:rPr>
            </w:pPr>
            <w:r>
              <w:rPr>
                <w:sz w:val="18"/>
                <w:lang w:val="en"/>
              </w:rPr>
              <w:t>Spinal cord lesions (myelitis)</w:t>
            </w:r>
          </w:p>
        </w:tc>
        <w:tc>
          <w:tcPr>
            <w:tcW w:w="841" w:type="dxa"/>
          </w:tcPr>
          <w:p w:rsidR="00CD39A7" w:rsidRDefault="005B3809">
            <w:pPr>
              <w:pStyle w:val="TableParagraph"/>
              <w:spacing w:before="30"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before="12" w:line="240" w:lineRule="auto"/>
              <w:ind w:left="3"/>
              <w:jc w:val="center"/>
              <w:rPr>
                <w:sz w:val="18"/>
              </w:rPr>
            </w:pPr>
            <w:r>
              <w:rPr>
                <w:sz w:val="18"/>
                <w:lang w:val="en"/>
              </w:rPr>
              <w:t>9</w:t>
            </w:r>
          </w:p>
        </w:tc>
      </w:tr>
      <w:tr w:rsidR="00CD39A7">
        <w:trPr>
          <w:trHeight w:hRule="exact" w:val="240"/>
        </w:trPr>
        <w:tc>
          <w:tcPr>
            <w:tcW w:w="3137" w:type="dxa"/>
          </w:tcPr>
          <w:p w:rsidR="00CD39A7" w:rsidRDefault="005B3809">
            <w:pPr>
              <w:pStyle w:val="TableParagraph"/>
              <w:spacing w:before="12" w:line="240" w:lineRule="auto"/>
              <w:ind w:left="50"/>
              <w:rPr>
                <w:sz w:val="18"/>
              </w:rPr>
            </w:pPr>
            <w:r>
              <w:rPr>
                <w:sz w:val="18"/>
                <w:lang w:val="en"/>
              </w:rPr>
              <w:t>Stroke</w:t>
            </w:r>
          </w:p>
        </w:tc>
        <w:tc>
          <w:tcPr>
            <w:tcW w:w="841" w:type="dxa"/>
          </w:tcPr>
          <w:p w:rsidR="00CD39A7" w:rsidRDefault="005B3809">
            <w:pPr>
              <w:pStyle w:val="TableParagraph"/>
              <w:spacing w:before="30"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before="12" w:line="240" w:lineRule="auto"/>
              <w:ind w:left="3"/>
              <w:jc w:val="center"/>
              <w:rPr>
                <w:sz w:val="18"/>
              </w:rPr>
            </w:pPr>
            <w:r>
              <w:rPr>
                <w:sz w:val="18"/>
                <w:lang w:val="en"/>
              </w:rPr>
              <w:t>9</w:t>
            </w:r>
          </w:p>
        </w:tc>
      </w:tr>
      <w:tr w:rsidR="00CD39A7">
        <w:trPr>
          <w:trHeight w:hRule="exact" w:val="240"/>
        </w:trPr>
        <w:tc>
          <w:tcPr>
            <w:tcW w:w="3137" w:type="dxa"/>
          </w:tcPr>
          <w:p w:rsidR="00CD39A7" w:rsidRDefault="005B3809">
            <w:pPr>
              <w:pStyle w:val="TableParagraph"/>
              <w:spacing w:before="12" w:line="240" w:lineRule="auto"/>
              <w:ind w:left="50"/>
              <w:rPr>
                <w:sz w:val="18"/>
              </w:rPr>
            </w:pPr>
            <w:r>
              <w:rPr>
                <w:sz w:val="18"/>
                <w:lang w:val="en"/>
              </w:rPr>
              <w:t>Cranial nerve disease</w:t>
            </w:r>
          </w:p>
        </w:tc>
        <w:tc>
          <w:tcPr>
            <w:tcW w:w="841" w:type="dxa"/>
          </w:tcPr>
          <w:p w:rsidR="00CD39A7" w:rsidRDefault="005B3809">
            <w:pPr>
              <w:pStyle w:val="TableParagraph"/>
              <w:spacing w:before="30"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before="12" w:line="240" w:lineRule="auto"/>
              <w:ind w:left="32"/>
              <w:jc w:val="center"/>
              <w:rPr>
                <w:sz w:val="18"/>
              </w:rPr>
            </w:pPr>
            <w:r>
              <w:rPr>
                <w:sz w:val="18"/>
                <w:lang w:val="en"/>
              </w:rPr>
              <w:t>6</w:t>
            </w:r>
          </w:p>
        </w:tc>
      </w:tr>
      <w:tr w:rsidR="00CD39A7">
        <w:trPr>
          <w:trHeight w:hRule="exact" w:val="240"/>
        </w:trPr>
        <w:tc>
          <w:tcPr>
            <w:tcW w:w="3137" w:type="dxa"/>
          </w:tcPr>
          <w:p w:rsidR="00CD39A7" w:rsidRDefault="005B3809">
            <w:pPr>
              <w:pStyle w:val="TableParagraph"/>
              <w:spacing w:before="12" w:line="240" w:lineRule="auto"/>
              <w:ind w:left="50"/>
              <w:rPr>
                <w:sz w:val="18"/>
              </w:rPr>
            </w:pPr>
            <w:r>
              <w:rPr>
                <w:sz w:val="18"/>
                <w:lang w:val="en"/>
              </w:rPr>
              <w:t>Sensory peripheral neuropathy</w:t>
            </w:r>
          </w:p>
        </w:tc>
        <w:tc>
          <w:tcPr>
            <w:tcW w:w="841" w:type="dxa"/>
          </w:tcPr>
          <w:p w:rsidR="00CD39A7" w:rsidRDefault="005B3809">
            <w:pPr>
              <w:pStyle w:val="TableParagraph"/>
              <w:spacing w:before="30"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before="12" w:line="240" w:lineRule="auto"/>
              <w:ind w:left="3"/>
              <w:jc w:val="center"/>
              <w:rPr>
                <w:sz w:val="18"/>
              </w:rPr>
            </w:pPr>
            <w:r>
              <w:rPr>
                <w:sz w:val="18"/>
                <w:lang w:val="en"/>
              </w:rPr>
              <w:t>6</w:t>
            </w:r>
          </w:p>
        </w:tc>
      </w:tr>
      <w:tr w:rsidR="00CD39A7">
        <w:trPr>
          <w:trHeight w:hRule="exact" w:val="220"/>
        </w:trPr>
        <w:tc>
          <w:tcPr>
            <w:tcW w:w="3137" w:type="dxa"/>
          </w:tcPr>
          <w:p w:rsidR="00CD39A7" w:rsidRDefault="005B3809">
            <w:pPr>
              <w:pStyle w:val="TableParagraph"/>
              <w:spacing w:before="12" w:line="240" w:lineRule="auto"/>
              <w:ind w:left="50"/>
              <w:rPr>
                <w:sz w:val="18"/>
              </w:rPr>
            </w:pPr>
            <w:r>
              <w:rPr>
                <w:sz w:val="18"/>
                <w:lang w:val="en"/>
              </w:rPr>
              <w:t>Motor peripheral neuropathy</w:t>
            </w:r>
          </w:p>
        </w:tc>
        <w:tc>
          <w:tcPr>
            <w:tcW w:w="841" w:type="dxa"/>
          </w:tcPr>
          <w:p w:rsidR="00CD39A7" w:rsidRDefault="005B3809">
            <w:pPr>
              <w:pStyle w:val="TableParagraph"/>
              <w:spacing w:before="30" w:line="240" w:lineRule="auto"/>
              <w:ind w:right="66"/>
              <w:jc w:val="right"/>
              <w:rPr>
                <w:rFonts w:ascii="Arial"/>
                <w:sz w:val="16"/>
              </w:rPr>
            </w:pPr>
            <w:r>
              <w:rPr>
                <w:rFonts w:ascii="Arial" w:hAnsi="Arial"/>
                <w:sz w:val="16"/>
                <w:lang w:val="en"/>
              </w:rPr>
              <w:t>|   |</w:t>
            </w:r>
          </w:p>
        </w:tc>
        <w:tc>
          <w:tcPr>
            <w:tcW w:w="223" w:type="dxa"/>
          </w:tcPr>
          <w:p w:rsidR="00CD39A7" w:rsidRDefault="005B3809">
            <w:pPr>
              <w:pStyle w:val="TableParagraph"/>
              <w:spacing w:before="12" w:line="240" w:lineRule="auto"/>
              <w:ind w:left="3"/>
              <w:jc w:val="center"/>
              <w:rPr>
                <w:sz w:val="18"/>
              </w:rPr>
            </w:pPr>
            <w:r>
              <w:rPr>
                <w:sz w:val="18"/>
                <w:lang w:val="en"/>
              </w:rPr>
              <w:t>9</w:t>
            </w:r>
          </w:p>
        </w:tc>
      </w:tr>
    </w:tbl>
    <w:p w:rsidR="00CD39A7" w:rsidRDefault="00CD39A7">
      <w:pPr>
        <w:pStyle w:val="BodyText"/>
        <w:rPr>
          <w:b/>
          <w:sz w:val="20"/>
        </w:rPr>
      </w:pPr>
    </w:p>
    <w:p w:rsidR="00CD39A7" w:rsidRDefault="00CD39A7">
      <w:pPr>
        <w:pStyle w:val="BodyText"/>
        <w:rPr>
          <w:b/>
          <w:sz w:val="25"/>
        </w:rPr>
      </w:pPr>
    </w:p>
    <w:p w:rsidR="00CD39A7" w:rsidRDefault="005B3809" w:rsidP="00B25E13">
      <w:pPr>
        <w:pStyle w:val="ListParagraph"/>
        <w:numPr>
          <w:ilvl w:val="0"/>
          <w:numId w:val="2"/>
        </w:numPr>
        <w:tabs>
          <w:tab w:val="left" w:pos="415"/>
          <w:tab w:val="left" w:pos="2973"/>
        </w:tabs>
        <w:spacing w:before="1"/>
        <w:ind w:left="414" w:hanging="273"/>
        <w:rPr>
          <w:rFonts w:ascii="Arial" w:hAnsi="Arial"/>
          <w:sz w:val="16"/>
        </w:rPr>
      </w:pPr>
      <w:r>
        <w:rPr>
          <w:b/>
          <w:bCs/>
          <w:lang w:val="en"/>
        </w:rPr>
        <w:t>Other specific disease</w:t>
      </w:r>
      <w:r>
        <w:rPr>
          <w:lang w:val="en"/>
        </w:rPr>
        <w:tab/>
        <w:t>|   |</w:t>
      </w:r>
    </w:p>
    <w:p w:rsidR="00CD39A7" w:rsidRDefault="005B3809">
      <w:pPr>
        <w:spacing w:before="28"/>
        <w:ind w:left="141"/>
        <w:rPr>
          <w:sz w:val="18"/>
        </w:rPr>
      </w:pPr>
      <w:r>
        <w:rPr>
          <w:sz w:val="18"/>
          <w:lang w:val="en"/>
        </w:rPr>
        <w:t>Specify:………………………………………………………</w:t>
      </w:r>
    </w:p>
    <w:p w:rsidR="00CD39A7" w:rsidRDefault="005B3809">
      <w:pPr>
        <w:spacing w:before="32"/>
        <w:ind w:left="141"/>
        <w:rPr>
          <w:sz w:val="18"/>
        </w:rPr>
      </w:pPr>
      <w:r>
        <w:rPr>
          <w:sz w:val="18"/>
          <w:lang w:val="en"/>
        </w:rPr>
        <w:t>…………………………………………………………………</w:t>
      </w:r>
    </w:p>
    <w:p w:rsidR="00CD39A7" w:rsidRDefault="005B3809">
      <w:pPr>
        <w:spacing w:before="32"/>
        <w:ind w:left="141"/>
        <w:rPr>
          <w:sz w:val="18"/>
        </w:rPr>
      </w:pPr>
      <w:r>
        <w:rPr>
          <w:sz w:val="18"/>
          <w:lang w:val="en"/>
        </w:rPr>
        <w:t>…………………………………………………………………</w:t>
      </w:r>
    </w:p>
    <w:p w:rsidR="00CD39A7" w:rsidRDefault="005B3809">
      <w:pPr>
        <w:spacing w:before="32"/>
        <w:ind w:left="141"/>
        <w:rPr>
          <w:sz w:val="18"/>
        </w:rPr>
      </w:pPr>
      <w:r>
        <w:rPr>
          <w:sz w:val="18"/>
          <w:lang w:val="en"/>
        </w:rPr>
        <w:t>……………………………………………………..</w:t>
      </w:r>
    </w:p>
    <w:p w:rsidR="00CD39A7" w:rsidRDefault="00CD39A7">
      <w:pPr>
        <w:pStyle w:val="BodyText"/>
        <w:spacing w:before="9"/>
        <w:rPr>
          <w:sz w:val="19"/>
        </w:rPr>
      </w:pPr>
    </w:p>
    <w:p w:rsidR="00CD39A7" w:rsidRDefault="001A5673">
      <w:pPr>
        <w:ind w:left="141" w:right="735"/>
        <w:rPr>
          <w:sz w:val="20"/>
        </w:rPr>
      </w:pPr>
      <w:r>
        <w:rPr>
          <w:lang w:val="en"/>
        </w:rPr>
        <w:pict>
          <v:rect id="_x0000_s1047" style="position:absolute;left:0;text-align:left;margin-left:538.85pt;margin-top:2.5pt;width:27pt;height:27pt;z-index:251640320;mso-position-horizontal-relative:page" filled="f" strokeweight="2.28pt">
            <w10:wrap anchorx="page"/>
          </v:rect>
        </w:pict>
      </w:r>
      <w:r w:rsidR="005D56C5">
        <w:rPr>
          <w:lang w:val="en"/>
        </w:rPr>
        <w:t xml:space="preserve">CHECK THIS BOX ONLY IF </w:t>
      </w:r>
      <w:r w:rsidR="005D56C5">
        <w:rPr>
          <w:b/>
          <w:bCs/>
          <w:lang w:val="en"/>
        </w:rPr>
        <w:t xml:space="preserve">ALL </w:t>
      </w:r>
      <w:r w:rsidR="005D56C5">
        <w:rPr>
          <w:lang w:val="en"/>
        </w:rPr>
        <w:t>THE</w:t>
      </w:r>
      <w:r w:rsidR="005D56C5">
        <w:rPr>
          <w:b/>
          <w:bCs/>
          <w:lang w:val="en"/>
        </w:rPr>
        <w:t xml:space="preserve"> </w:t>
      </w:r>
      <w:r w:rsidR="005D56C5">
        <w:rPr>
          <w:lang w:val="en"/>
        </w:rPr>
        <w:t>DISEASES NOTED ARE OLD AND</w:t>
      </w:r>
    </w:p>
    <w:p w:rsidR="00CD39A7" w:rsidRDefault="005B3809">
      <w:pPr>
        <w:ind w:left="141"/>
        <w:rPr>
          <w:sz w:val="20"/>
        </w:rPr>
      </w:pPr>
      <w:r>
        <w:rPr>
          <w:sz w:val="20"/>
          <w:lang w:val="en"/>
        </w:rPr>
        <w:t>PERSISTENT (not new or worse)</w:t>
      </w:r>
    </w:p>
    <w:p w:rsidR="00CD39A7" w:rsidRDefault="00CD39A7">
      <w:pPr>
        <w:rPr>
          <w:sz w:val="20"/>
        </w:rPr>
        <w:sectPr w:rsidR="00CD39A7">
          <w:type w:val="continuous"/>
          <w:pgSz w:w="11910" w:h="16840"/>
          <w:pgMar w:top="1500" w:right="460" w:bottom="280" w:left="1300" w:header="720" w:footer="720" w:gutter="0"/>
          <w:cols w:num="2" w:space="720" w:equalWidth="0">
            <w:col w:w="4440" w:space="869"/>
            <w:col w:w="4841"/>
          </w:cols>
        </w:sectPr>
      </w:pPr>
    </w:p>
    <w:p w:rsidR="00EB3C48" w:rsidRDefault="00EB3C48" w:rsidP="00EB3C48">
      <w:pPr>
        <w:spacing w:before="90"/>
        <w:jc w:val="center"/>
        <w:rPr>
          <w:b/>
          <w:bCs/>
          <w:sz w:val="24"/>
          <w:lang w:val="en"/>
        </w:rPr>
      </w:pPr>
      <w:bookmarkStart w:id="176" w:name="_bookmark169"/>
      <w:bookmarkStart w:id="177" w:name="Annexe_IV__-_MAINRITSAN_:_Grille_de_Clas"/>
      <w:bookmarkEnd w:id="176"/>
      <w:bookmarkEnd w:id="177"/>
      <w:r>
        <w:rPr>
          <w:b/>
          <w:bCs/>
          <w:sz w:val="24"/>
          <w:lang w:val="en"/>
        </w:rPr>
        <w:lastRenderedPageBreak/>
        <w:t>Appendix IV - MAINRITSAN: Classification Grid for Adverse Events for a Biomedical Study on a Medication</w:t>
      </w:r>
    </w:p>
    <w:p w:rsidR="00EB3C48" w:rsidRDefault="00EB3C48" w:rsidP="00EB3C48">
      <w:pPr>
        <w:jc w:val="center"/>
        <w:rPr>
          <w:b/>
          <w:sz w:val="24"/>
        </w:rPr>
      </w:pPr>
    </w:p>
    <w:p w:rsidR="00EB3C48" w:rsidRPr="00337C44" w:rsidRDefault="00EB3C48" w:rsidP="00EB3C48">
      <w:pPr>
        <w:jc w:val="center"/>
        <w:rPr>
          <w:b/>
        </w:rPr>
      </w:pPr>
      <w:r w:rsidRPr="00337C44">
        <w:rPr>
          <w:b/>
          <w:bCs/>
          <w:lang w:val="en"/>
        </w:rPr>
        <w:t>Classification Grid for Adverse Events for a Biomedical Study on a Medication or Similar Product</w:t>
      </w:r>
    </w:p>
    <w:p w:rsidR="00EB3C48" w:rsidRPr="00337C44" w:rsidRDefault="00EB3C48" w:rsidP="00EB3C48">
      <w:pPr>
        <w:jc w:val="center"/>
      </w:pPr>
      <w:r w:rsidRPr="00337C44">
        <w:rPr>
          <w:lang w:val="en"/>
        </w:rPr>
        <w:t>Study Risk: |_D_|</w:t>
      </w:r>
      <w:r w:rsidRPr="00337C44">
        <w:rPr>
          <w:lang w:val="en"/>
        </w:rPr>
        <w:tab/>
      </w:r>
      <w:r w:rsidRPr="00337C44">
        <w:rPr>
          <w:lang w:val="en"/>
        </w:rPr>
        <w:tab/>
      </w:r>
      <w:r w:rsidRPr="00337C44">
        <w:rPr>
          <w:lang w:val="en"/>
        </w:rPr>
        <w:tab/>
        <w:t>Independent Monitoring Committee:</w:t>
      </w:r>
      <w:r w:rsidRPr="00337C44">
        <w:rPr>
          <w:lang w:val="en"/>
        </w:rPr>
        <w:tab/>
        <w:t xml:space="preserve">Yes </w:t>
      </w:r>
      <w:r w:rsidRPr="00337C44">
        <w:rPr>
          <w:lang w:val="en"/>
        </w:rPr>
        <w:fldChar w:fldCharType="begin">
          <w:ffData>
            <w:name w:val="Check1"/>
            <w:enabled/>
            <w:calcOnExit w:val="0"/>
            <w:checkBox>
              <w:sizeAuto/>
              <w:default w:val="1"/>
            </w:checkBox>
          </w:ffData>
        </w:fldChar>
      </w:r>
      <w:r w:rsidRPr="00337C44">
        <w:rPr>
          <w:lang w:val="en"/>
        </w:rPr>
        <w:instrText xml:space="preserve"> FORMCHECKBOX </w:instrText>
      </w:r>
      <w:r w:rsidR="001A5673">
        <w:rPr>
          <w:lang w:val="en"/>
        </w:rPr>
      </w:r>
      <w:r w:rsidR="001A5673">
        <w:rPr>
          <w:lang w:val="en"/>
        </w:rPr>
        <w:fldChar w:fldCharType="separate"/>
      </w:r>
      <w:r w:rsidRPr="00337C44">
        <w:rPr>
          <w:lang w:val="en"/>
        </w:rPr>
        <w:fldChar w:fldCharType="end"/>
      </w:r>
      <w:r w:rsidRPr="00337C44">
        <w:rPr>
          <w:lang w:val="en"/>
        </w:rPr>
        <w:t xml:space="preserve">    No </w:t>
      </w:r>
      <w:r w:rsidRPr="00337C44">
        <w:rPr>
          <w:lang w:val="en"/>
        </w:rPr>
        <w:fldChar w:fldCharType="begin">
          <w:ffData>
            <w:name w:val="Check2"/>
            <w:enabled/>
            <w:calcOnExit w:val="0"/>
            <w:checkBox>
              <w:sizeAuto/>
              <w:default w:val="0"/>
            </w:checkBox>
          </w:ffData>
        </w:fldChar>
      </w:r>
      <w:r w:rsidRPr="00337C44">
        <w:rPr>
          <w:lang w:val="en"/>
        </w:rPr>
        <w:instrText xml:space="preserve"> FORMCHECKBOX </w:instrText>
      </w:r>
      <w:r w:rsidR="001A5673">
        <w:rPr>
          <w:lang w:val="en"/>
        </w:rPr>
      </w:r>
      <w:r w:rsidR="001A5673">
        <w:rPr>
          <w:lang w:val="en"/>
        </w:rPr>
        <w:fldChar w:fldCharType="separate"/>
      </w:r>
      <w:r w:rsidRPr="00337C44">
        <w:rPr>
          <w:lang w:val="en"/>
        </w:rPr>
        <w:fldChar w:fldCharType="end"/>
      </w:r>
    </w:p>
    <w:tbl>
      <w:tblPr>
        <w:tblStyle w:val="TableGrid"/>
        <w:tblW w:w="14580" w:type="dxa"/>
        <w:jc w:val="center"/>
        <w:tblLook w:val="04A0" w:firstRow="1" w:lastRow="0" w:firstColumn="1" w:lastColumn="0" w:noHBand="0" w:noVBand="1"/>
      </w:tblPr>
      <w:tblGrid>
        <w:gridCol w:w="3510"/>
        <w:gridCol w:w="3033"/>
        <w:gridCol w:w="5067"/>
        <w:gridCol w:w="2970"/>
      </w:tblGrid>
      <w:tr w:rsidR="00EB3C48" w:rsidRPr="00337C44" w:rsidTr="00EB3C48">
        <w:trPr>
          <w:trHeight w:val="541"/>
          <w:jc w:val="center"/>
        </w:trPr>
        <w:tc>
          <w:tcPr>
            <w:tcW w:w="14580" w:type="dxa"/>
            <w:gridSpan w:val="4"/>
            <w:vAlign w:val="center"/>
          </w:tcPr>
          <w:p w:rsidR="00EB3C48" w:rsidRPr="00337C44" w:rsidRDefault="00EB3C48" w:rsidP="00EB3C48">
            <w:pPr>
              <w:jc w:val="center"/>
              <w:rPr>
                <w:sz w:val="16"/>
                <w:szCs w:val="16"/>
              </w:rPr>
            </w:pPr>
            <w:r w:rsidRPr="00337C44">
              <w:rPr>
                <w:sz w:val="16"/>
                <w:szCs w:val="16"/>
                <w:lang w:val="en"/>
              </w:rPr>
              <w:t>SAE Grid for the Biomedical Study (Art. R. 1123-54 of the French Public Health Code)</w:t>
            </w:r>
          </w:p>
          <w:p w:rsidR="00EB3C48" w:rsidRPr="00337C44" w:rsidRDefault="00EB3C48" w:rsidP="00EB3C48">
            <w:pPr>
              <w:ind w:left="-120"/>
              <w:jc w:val="center"/>
            </w:pPr>
            <w:r w:rsidRPr="00337C44">
              <w:rPr>
                <w:lang w:val="en"/>
              </w:rPr>
              <w:t xml:space="preserve">• </w:t>
            </w:r>
            <w:r w:rsidRPr="00337C44">
              <w:rPr>
                <w:sz w:val="16"/>
                <w:szCs w:val="16"/>
                <w:lang w:val="en"/>
              </w:rPr>
              <w:t>MAINRITSAN: A study comparing the efficacy of rituximab and azathioprine as maintenance therapy for ANCA-associated vasculitis: A prospective, multi-center, controlled, randomized study • P 070703</w:t>
            </w:r>
          </w:p>
        </w:tc>
      </w:tr>
      <w:tr w:rsidR="00EB3C48" w:rsidRPr="00337C44" w:rsidTr="00EB3C48">
        <w:trPr>
          <w:jc w:val="center"/>
        </w:trPr>
        <w:tc>
          <w:tcPr>
            <w:tcW w:w="6543" w:type="dxa"/>
            <w:gridSpan w:val="2"/>
          </w:tcPr>
          <w:p w:rsidR="00EB3C48" w:rsidRPr="00337C44" w:rsidRDefault="00EB3C48" w:rsidP="003239C1">
            <w:pPr>
              <w:jc w:val="center"/>
              <w:rPr>
                <w:b/>
                <w:szCs w:val="22"/>
              </w:rPr>
            </w:pPr>
            <w:r w:rsidRPr="00337C44">
              <w:rPr>
                <w:b/>
                <w:bCs/>
                <w:lang w:val="en"/>
              </w:rPr>
              <w:t>DO NOT NOTIFY the sponsor BY FAX</w:t>
            </w:r>
            <w:r w:rsidRPr="00337C44">
              <w:rPr>
                <w:lang w:val="en"/>
              </w:rPr>
              <w:t xml:space="preserve"> </w:t>
            </w:r>
            <w:r w:rsidRPr="00337C44">
              <w:rPr>
                <w:lang w:val="en"/>
              </w:rPr>
              <w:br/>
            </w:r>
            <w:r w:rsidRPr="00337C44">
              <w:rPr>
                <w:b/>
                <w:bCs/>
                <w:lang w:val="en"/>
              </w:rPr>
              <w:t>(no completion of the SAE report form)</w:t>
            </w:r>
            <w:r w:rsidRPr="00337C44">
              <w:rPr>
                <w:lang w:val="en"/>
              </w:rPr>
              <w:t xml:space="preserve"> </w:t>
            </w:r>
            <w:r w:rsidRPr="00337C44">
              <w:rPr>
                <w:b/>
                <w:bCs/>
                <w:u w:val="single"/>
                <w:lang w:val="en"/>
              </w:rPr>
              <w:br/>
              <w:t>but rather</w:t>
            </w:r>
            <w:r w:rsidRPr="00337C44">
              <w:rPr>
                <w:b/>
                <w:bCs/>
                <w:lang w:val="en"/>
              </w:rPr>
              <w:t xml:space="preserve"> report on the adverse event CRF pages</w:t>
            </w:r>
          </w:p>
        </w:tc>
        <w:tc>
          <w:tcPr>
            <w:tcW w:w="8037" w:type="dxa"/>
            <w:gridSpan w:val="2"/>
          </w:tcPr>
          <w:p w:rsidR="00EB3C48" w:rsidRPr="00337C44" w:rsidRDefault="00EB3C48" w:rsidP="003239C1">
            <w:pPr>
              <w:jc w:val="center"/>
              <w:rPr>
                <w:b/>
                <w:sz w:val="22"/>
                <w:szCs w:val="22"/>
              </w:rPr>
            </w:pPr>
            <w:r w:rsidRPr="00337C44">
              <w:rPr>
                <w:b/>
                <w:bCs/>
                <w:lang w:val="en"/>
              </w:rPr>
              <w:t>IMMEDIATE NOTIFICATION by the investigator to the sponsor</w:t>
            </w:r>
            <w:r w:rsidRPr="00337C44">
              <w:rPr>
                <w:lang w:val="en"/>
              </w:rPr>
              <w:br/>
            </w:r>
            <w:r w:rsidRPr="00337C44">
              <w:rPr>
                <w:b/>
                <w:bCs/>
                <w:lang w:val="en"/>
              </w:rPr>
              <w:t>(fax the SAE report form to 01 44 84 17 99)</w:t>
            </w:r>
            <w:r w:rsidRPr="00337C44">
              <w:rPr>
                <w:lang w:val="en"/>
              </w:rPr>
              <w:t xml:space="preserve"> </w:t>
            </w:r>
            <w:r w:rsidRPr="00337C44">
              <w:rPr>
                <w:b/>
                <w:bCs/>
                <w:lang w:val="en"/>
              </w:rPr>
              <w:br/>
              <w:t>and report on the adverse event CRF pages</w:t>
            </w:r>
          </w:p>
        </w:tc>
      </w:tr>
      <w:tr w:rsidR="00EB3C48" w:rsidRPr="00337C44" w:rsidTr="00EB3C48">
        <w:trPr>
          <w:jc w:val="center"/>
        </w:trPr>
        <w:tc>
          <w:tcPr>
            <w:tcW w:w="3510" w:type="dxa"/>
          </w:tcPr>
          <w:p w:rsidR="00EB3C48" w:rsidRPr="00337C44" w:rsidRDefault="00EB3C48" w:rsidP="003239C1">
            <w:pPr>
              <w:rPr>
                <w:b/>
              </w:rPr>
            </w:pPr>
            <w:r w:rsidRPr="00337C44">
              <w:rPr>
                <w:b/>
                <w:bCs/>
                <w:lang w:val="en"/>
              </w:rPr>
              <w:t>Other events</w:t>
            </w:r>
          </w:p>
        </w:tc>
        <w:tc>
          <w:tcPr>
            <w:tcW w:w="3033" w:type="dxa"/>
          </w:tcPr>
          <w:p w:rsidR="00EB3C48" w:rsidRPr="00337C44" w:rsidRDefault="00EB3C48" w:rsidP="003239C1">
            <w:pPr>
              <w:rPr>
                <w:b/>
              </w:rPr>
            </w:pPr>
            <w:r w:rsidRPr="00337C44">
              <w:rPr>
                <w:b/>
                <w:bCs/>
                <w:lang w:val="en"/>
              </w:rPr>
              <w:t xml:space="preserve">Expected Non Serious </w:t>
            </w:r>
            <w:r w:rsidRPr="00337C44">
              <w:rPr>
                <w:lang w:val="en"/>
              </w:rPr>
              <w:br/>
            </w:r>
            <w:r w:rsidRPr="00337C44">
              <w:rPr>
                <w:b/>
                <w:bCs/>
                <w:lang w:val="en"/>
              </w:rPr>
              <w:t>Adverse Reactions</w:t>
            </w:r>
          </w:p>
          <w:p w:rsidR="00EB3C48" w:rsidRPr="00337C44" w:rsidRDefault="00EB3C48" w:rsidP="003239C1">
            <w:pPr>
              <w:rPr>
                <w:sz w:val="16"/>
                <w:szCs w:val="16"/>
              </w:rPr>
            </w:pPr>
            <w:r w:rsidRPr="00337C44">
              <w:rPr>
                <w:sz w:val="16"/>
                <w:szCs w:val="16"/>
                <w:lang w:val="en"/>
              </w:rPr>
              <w:t xml:space="preserve">Known to be related: </w:t>
            </w:r>
          </w:p>
          <w:p w:rsidR="00EB3C48" w:rsidRPr="00337C44" w:rsidRDefault="00EB3C48" w:rsidP="003239C1">
            <w:r w:rsidRPr="00337C44">
              <w:rPr>
                <w:sz w:val="16"/>
                <w:szCs w:val="16"/>
                <w:lang w:val="en"/>
              </w:rPr>
              <w:t>to the investigational medication(s)</w:t>
            </w:r>
            <w:r w:rsidRPr="00337C44">
              <w:rPr>
                <w:sz w:val="16"/>
                <w:szCs w:val="16"/>
                <w:lang w:val="en"/>
              </w:rPr>
              <w:br/>
              <w:t>or to the study procedures.</w:t>
            </w:r>
          </w:p>
        </w:tc>
        <w:tc>
          <w:tcPr>
            <w:tcW w:w="5067" w:type="dxa"/>
          </w:tcPr>
          <w:p w:rsidR="00EB3C48" w:rsidRPr="00337C44" w:rsidRDefault="00EB3C48" w:rsidP="003239C1">
            <w:pPr>
              <w:rPr>
                <w:b/>
              </w:rPr>
            </w:pPr>
            <w:r w:rsidRPr="00337C44">
              <w:rPr>
                <w:b/>
                <w:bCs/>
                <w:lang w:val="en"/>
              </w:rPr>
              <w:t>Expected Serious Adverse Reactions</w:t>
            </w:r>
            <w:r w:rsidRPr="00337C44">
              <w:rPr>
                <w:b/>
              </w:rPr>
              <w:br/>
            </w:r>
          </w:p>
          <w:p w:rsidR="00EB3C48" w:rsidRPr="00337C44" w:rsidRDefault="00EB3C48" w:rsidP="003239C1">
            <w:pPr>
              <w:rPr>
                <w:sz w:val="16"/>
                <w:szCs w:val="16"/>
              </w:rPr>
            </w:pPr>
            <w:r w:rsidRPr="00337C44">
              <w:rPr>
                <w:sz w:val="16"/>
                <w:szCs w:val="16"/>
                <w:lang w:val="en"/>
              </w:rPr>
              <w:t>Known to be related:</w:t>
            </w:r>
          </w:p>
          <w:p w:rsidR="00EB3C48" w:rsidRPr="00337C44" w:rsidRDefault="00EB3C48" w:rsidP="003239C1">
            <w:pPr>
              <w:rPr>
                <w:sz w:val="16"/>
                <w:szCs w:val="16"/>
              </w:rPr>
            </w:pPr>
            <w:r w:rsidRPr="00337C44">
              <w:rPr>
                <w:sz w:val="16"/>
                <w:szCs w:val="16"/>
                <w:lang w:val="en"/>
              </w:rPr>
              <w:t>to the investigational medication(s)</w:t>
            </w:r>
          </w:p>
          <w:p w:rsidR="00EB3C48" w:rsidRPr="00337C44" w:rsidRDefault="00EB3C48" w:rsidP="003239C1">
            <w:r w:rsidRPr="00337C44">
              <w:rPr>
                <w:sz w:val="16"/>
                <w:szCs w:val="16"/>
                <w:lang w:val="en"/>
              </w:rPr>
              <w:t>or to the study procedures.</w:t>
            </w:r>
          </w:p>
        </w:tc>
        <w:tc>
          <w:tcPr>
            <w:tcW w:w="2970" w:type="dxa"/>
          </w:tcPr>
          <w:p w:rsidR="00EB3C48" w:rsidRPr="00337C44" w:rsidRDefault="00EB3C48" w:rsidP="003239C1">
            <w:pPr>
              <w:rPr>
                <w:b/>
              </w:rPr>
            </w:pPr>
            <w:r w:rsidRPr="00337C44">
              <w:rPr>
                <w:b/>
                <w:bCs/>
                <w:lang w:val="en"/>
              </w:rPr>
              <w:t xml:space="preserve">Unexpected Serious </w:t>
            </w:r>
            <w:r w:rsidRPr="00337C44">
              <w:rPr>
                <w:b/>
                <w:bCs/>
                <w:lang w:val="en"/>
              </w:rPr>
              <w:br/>
              <w:t>Adverse Reactions</w:t>
            </w:r>
          </w:p>
        </w:tc>
      </w:tr>
      <w:tr w:rsidR="00EB3C48" w:rsidRPr="00337C44" w:rsidTr="00EB3C48">
        <w:trPr>
          <w:trHeight w:val="58"/>
          <w:jc w:val="center"/>
        </w:trPr>
        <w:tc>
          <w:tcPr>
            <w:tcW w:w="3510" w:type="dxa"/>
          </w:tcPr>
          <w:p w:rsidR="00EB3C48" w:rsidRPr="00337C44" w:rsidRDefault="00EB3C48" w:rsidP="003239C1">
            <w:pPr>
              <w:rPr>
                <w:sz w:val="15"/>
                <w:szCs w:val="15"/>
              </w:rPr>
            </w:pPr>
            <w:r w:rsidRPr="00337C44">
              <w:rPr>
                <w:b/>
                <w:bCs/>
                <w:sz w:val="15"/>
                <w:szCs w:val="15"/>
                <w:u w:val="single"/>
                <w:lang w:val="en"/>
              </w:rPr>
              <w:t>EVENTS MAY BE SERIOUS but not related to the investigational medication(s) or to the study procedures:</w:t>
            </w:r>
          </w:p>
          <w:p w:rsidR="00EB3C48" w:rsidRPr="00337C44" w:rsidRDefault="00EB3C48" w:rsidP="003239C1">
            <w:pPr>
              <w:rPr>
                <w:sz w:val="15"/>
                <w:szCs w:val="15"/>
              </w:rPr>
            </w:pPr>
          </w:p>
          <w:p w:rsidR="00EB3C48" w:rsidRPr="00337C44" w:rsidRDefault="00EB3C48" w:rsidP="003239C1">
            <w:pPr>
              <w:rPr>
                <w:sz w:val="15"/>
                <w:szCs w:val="15"/>
              </w:rPr>
            </w:pPr>
          </w:p>
          <w:p w:rsidR="00EB3C48" w:rsidRPr="00337C44" w:rsidRDefault="00EB3C48" w:rsidP="003239C1">
            <w:pPr>
              <w:rPr>
                <w:sz w:val="15"/>
                <w:szCs w:val="15"/>
              </w:rPr>
            </w:pPr>
            <w:r w:rsidRPr="00337C44">
              <w:rPr>
                <w:sz w:val="15"/>
                <w:szCs w:val="15"/>
                <w:lang w:val="en"/>
              </w:rPr>
              <w:t xml:space="preserve">Anything that is related to the natural and usual </w:t>
            </w:r>
            <w:r w:rsidR="00337C44">
              <w:rPr>
                <w:sz w:val="15"/>
                <w:szCs w:val="15"/>
                <w:lang w:val="en"/>
              </w:rPr>
              <w:br/>
            </w:r>
            <w:r w:rsidRPr="00337C44">
              <w:rPr>
                <w:sz w:val="15"/>
                <w:szCs w:val="15"/>
                <w:lang w:val="en"/>
              </w:rPr>
              <w:t>course of the disease</w:t>
            </w:r>
          </w:p>
          <w:p w:rsidR="00EB3C48" w:rsidRPr="00337C44" w:rsidRDefault="00EB3C48" w:rsidP="003239C1">
            <w:pPr>
              <w:rPr>
                <w:sz w:val="15"/>
                <w:szCs w:val="15"/>
              </w:rPr>
            </w:pPr>
          </w:p>
          <w:p w:rsidR="00EB3C48" w:rsidRPr="00337C44" w:rsidRDefault="00EB3C48" w:rsidP="003239C1">
            <w:pPr>
              <w:rPr>
                <w:sz w:val="15"/>
                <w:szCs w:val="15"/>
              </w:rPr>
            </w:pPr>
            <w:r w:rsidRPr="00337C44">
              <w:rPr>
                <w:sz w:val="15"/>
                <w:szCs w:val="15"/>
                <w:lang w:val="en"/>
              </w:rPr>
              <w:t xml:space="preserve">Hospitalizations scheduled for monitoring of </w:t>
            </w:r>
            <w:r w:rsidR="00337C44">
              <w:rPr>
                <w:sz w:val="15"/>
                <w:szCs w:val="15"/>
                <w:lang w:val="en"/>
              </w:rPr>
              <w:br/>
            </w:r>
            <w:r w:rsidRPr="00337C44">
              <w:rPr>
                <w:sz w:val="15"/>
                <w:szCs w:val="15"/>
                <w:lang w:val="en"/>
              </w:rPr>
              <w:t>the disease</w:t>
            </w:r>
          </w:p>
          <w:p w:rsidR="00EB3C48" w:rsidRPr="00337C44" w:rsidRDefault="00EB3C48" w:rsidP="003239C1">
            <w:pPr>
              <w:rPr>
                <w:sz w:val="15"/>
                <w:szCs w:val="15"/>
              </w:rPr>
            </w:pPr>
          </w:p>
          <w:p w:rsidR="00EB3C48" w:rsidRPr="00337C44" w:rsidRDefault="00EB3C48" w:rsidP="003239C1">
            <w:pPr>
              <w:rPr>
                <w:sz w:val="15"/>
                <w:szCs w:val="15"/>
              </w:rPr>
            </w:pPr>
            <w:r w:rsidRPr="00337C44">
              <w:rPr>
                <w:sz w:val="15"/>
                <w:szCs w:val="15"/>
                <w:lang w:val="en"/>
              </w:rPr>
              <w:t>Hospitalizations in case of relapse of the disease</w:t>
            </w:r>
          </w:p>
        </w:tc>
        <w:tc>
          <w:tcPr>
            <w:tcW w:w="3033" w:type="dxa"/>
          </w:tcPr>
          <w:p w:rsidR="00EB3C48" w:rsidRPr="00337C44" w:rsidRDefault="00EB3C48" w:rsidP="003239C1">
            <w:pPr>
              <w:rPr>
                <w:b/>
                <w:sz w:val="15"/>
                <w:szCs w:val="15"/>
              </w:rPr>
            </w:pPr>
            <w:r w:rsidRPr="00337C44">
              <w:rPr>
                <w:b/>
                <w:bCs/>
                <w:sz w:val="15"/>
                <w:szCs w:val="15"/>
                <w:lang w:val="en"/>
              </w:rPr>
              <w:t>Description: AE that does not require hospitalization and is not life-threatening</w:t>
            </w:r>
          </w:p>
          <w:p w:rsidR="00EB3C48" w:rsidRPr="00337C44" w:rsidRDefault="00EB3C48" w:rsidP="003239C1">
            <w:pPr>
              <w:rPr>
                <w:sz w:val="15"/>
                <w:szCs w:val="15"/>
                <w:u w:val="single"/>
              </w:rPr>
            </w:pPr>
            <w:r w:rsidRPr="00337C44">
              <w:rPr>
                <w:sz w:val="15"/>
                <w:szCs w:val="15"/>
                <w:u w:val="single"/>
                <w:lang w:val="en"/>
              </w:rPr>
              <w:t>Related to rituximab:</w:t>
            </w:r>
          </w:p>
          <w:p w:rsidR="00EB3C48" w:rsidRPr="00337C44" w:rsidRDefault="00EB3C48" w:rsidP="003239C1">
            <w:pPr>
              <w:ind w:right="-72"/>
              <w:rPr>
                <w:sz w:val="15"/>
                <w:szCs w:val="15"/>
              </w:rPr>
            </w:pPr>
            <w:r w:rsidRPr="00337C44">
              <w:rPr>
                <w:sz w:val="15"/>
                <w:szCs w:val="15"/>
                <w:lang w:val="en"/>
              </w:rPr>
              <w:t>-Reactions related to the infusion: fever, chills, tremors, skin redness, angioedema, nausea, joint rash, asthenia, headaches, throat irritation, rhinitis, vomiting, pain</w:t>
            </w:r>
          </w:p>
          <w:p w:rsidR="00EB3C48" w:rsidRPr="00337C44" w:rsidRDefault="00EB3C48" w:rsidP="003239C1">
            <w:pPr>
              <w:ind w:right="-72"/>
              <w:rPr>
                <w:sz w:val="15"/>
                <w:szCs w:val="15"/>
              </w:rPr>
            </w:pPr>
            <w:r w:rsidRPr="00337C44">
              <w:rPr>
                <w:sz w:val="15"/>
                <w:szCs w:val="15"/>
                <w:lang w:val="en"/>
              </w:rPr>
              <w:t>-hypotension, hypertension</w:t>
            </w:r>
          </w:p>
          <w:p w:rsidR="00EB3C48" w:rsidRDefault="00EB3C48" w:rsidP="003239C1">
            <w:pPr>
              <w:ind w:right="-72"/>
              <w:rPr>
                <w:sz w:val="15"/>
                <w:szCs w:val="15"/>
                <w:lang w:val="en"/>
              </w:rPr>
            </w:pPr>
            <w:r w:rsidRPr="00337C44">
              <w:rPr>
                <w:sz w:val="15"/>
                <w:szCs w:val="15"/>
                <w:lang w:val="en"/>
              </w:rPr>
              <w:t>-Hematological events: thrombocytopenia, neutropenia</w:t>
            </w:r>
          </w:p>
          <w:p w:rsidR="00337C44" w:rsidRPr="00337C44" w:rsidRDefault="00337C44" w:rsidP="003239C1">
            <w:pPr>
              <w:ind w:right="-72"/>
              <w:rPr>
                <w:sz w:val="15"/>
                <w:szCs w:val="15"/>
              </w:rPr>
            </w:pPr>
          </w:p>
          <w:p w:rsidR="00EB3C48" w:rsidRPr="00337C44" w:rsidRDefault="00EB3C48" w:rsidP="003239C1">
            <w:pPr>
              <w:ind w:right="-72"/>
              <w:rPr>
                <w:sz w:val="15"/>
                <w:szCs w:val="15"/>
                <w:u w:val="single"/>
              </w:rPr>
            </w:pPr>
            <w:r w:rsidRPr="00337C44">
              <w:rPr>
                <w:sz w:val="15"/>
                <w:szCs w:val="15"/>
                <w:u w:val="single"/>
                <w:lang w:val="en"/>
              </w:rPr>
              <w:t>Related to Imurel:</w:t>
            </w:r>
          </w:p>
          <w:p w:rsidR="00EB3C48" w:rsidRPr="00337C44" w:rsidRDefault="00EB3C48" w:rsidP="003239C1">
            <w:pPr>
              <w:tabs>
                <w:tab w:val="left" w:pos="252"/>
              </w:tabs>
              <w:ind w:right="-72"/>
              <w:rPr>
                <w:sz w:val="15"/>
                <w:szCs w:val="15"/>
              </w:rPr>
            </w:pPr>
            <w:r w:rsidRPr="00337C44">
              <w:rPr>
                <w:sz w:val="15"/>
                <w:szCs w:val="15"/>
                <w:lang w:val="en"/>
              </w:rPr>
              <w:t xml:space="preserve">- </w:t>
            </w:r>
            <w:r w:rsidRPr="00337C44">
              <w:rPr>
                <w:sz w:val="15"/>
                <w:szCs w:val="15"/>
                <w:lang w:val="en"/>
              </w:rPr>
              <w:tab/>
              <w:t>Bone marrow failure, leukopenia, thrombocytopenia, anemia.</w:t>
            </w:r>
          </w:p>
          <w:p w:rsidR="00EB3C48" w:rsidRPr="00337C44" w:rsidRDefault="00EB3C48" w:rsidP="003239C1">
            <w:pPr>
              <w:tabs>
                <w:tab w:val="left" w:pos="252"/>
              </w:tabs>
              <w:ind w:right="-72"/>
              <w:rPr>
                <w:sz w:val="15"/>
                <w:szCs w:val="15"/>
              </w:rPr>
            </w:pPr>
            <w:r w:rsidRPr="00337C44">
              <w:rPr>
                <w:sz w:val="15"/>
                <w:szCs w:val="15"/>
                <w:lang w:val="en"/>
              </w:rPr>
              <w:t>-</w:t>
            </w:r>
            <w:r w:rsidRPr="00337C44">
              <w:rPr>
                <w:sz w:val="15"/>
                <w:szCs w:val="15"/>
                <w:lang w:val="en"/>
              </w:rPr>
              <w:tab/>
              <w:t>Moderate cholestasis and impaired liver function (liver failure), pancreatitis confirmed by laboratory tests.</w:t>
            </w:r>
          </w:p>
          <w:p w:rsidR="00EB3C48" w:rsidRPr="00337C44" w:rsidRDefault="00EB3C48" w:rsidP="003239C1">
            <w:pPr>
              <w:tabs>
                <w:tab w:val="left" w:pos="252"/>
              </w:tabs>
              <w:ind w:right="-72"/>
              <w:rPr>
                <w:sz w:val="15"/>
                <w:szCs w:val="15"/>
              </w:rPr>
            </w:pPr>
            <w:r w:rsidRPr="00337C44">
              <w:rPr>
                <w:sz w:val="15"/>
                <w:szCs w:val="15"/>
                <w:lang w:val="en"/>
              </w:rPr>
              <w:t>-</w:t>
            </w:r>
            <w:r w:rsidRPr="00337C44">
              <w:rPr>
                <w:sz w:val="15"/>
                <w:szCs w:val="15"/>
                <w:lang w:val="en"/>
              </w:rPr>
              <w:tab/>
              <w:t>Arterial hypotension, asthenia, malaise, dizziness, nausea, vomiting, diarrhea, fever, chills</w:t>
            </w:r>
          </w:p>
          <w:p w:rsidR="00EB3C48" w:rsidRPr="00337C44" w:rsidRDefault="00EB3C48" w:rsidP="003239C1">
            <w:pPr>
              <w:tabs>
                <w:tab w:val="left" w:pos="252"/>
              </w:tabs>
              <w:ind w:right="-72"/>
              <w:rPr>
                <w:sz w:val="15"/>
                <w:szCs w:val="15"/>
              </w:rPr>
            </w:pPr>
            <w:r w:rsidRPr="00337C44">
              <w:rPr>
                <w:sz w:val="15"/>
                <w:szCs w:val="15"/>
                <w:lang w:val="en"/>
              </w:rPr>
              <w:t>-</w:t>
            </w:r>
            <w:r w:rsidRPr="00337C44">
              <w:rPr>
                <w:sz w:val="15"/>
                <w:szCs w:val="15"/>
                <w:lang w:val="en"/>
              </w:rPr>
              <w:tab/>
              <w:t>Muscle and joint pain.</w:t>
            </w:r>
          </w:p>
          <w:p w:rsidR="00EB3C48" w:rsidRPr="00337C44" w:rsidRDefault="00EB3C48" w:rsidP="003239C1">
            <w:pPr>
              <w:tabs>
                <w:tab w:val="left" w:pos="252"/>
              </w:tabs>
              <w:ind w:right="-72"/>
              <w:rPr>
                <w:sz w:val="15"/>
                <w:szCs w:val="15"/>
              </w:rPr>
            </w:pPr>
            <w:r w:rsidRPr="00337C44">
              <w:rPr>
                <w:sz w:val="15"/>
                <w:szCs w:val="15"/>
                <w:lang w:val="en"/>
              </w:rPr>
              <w:t>-</w:t>
            </w:r>
            <w:r w:rsidRPr="00337C44">
              <w:rPr>
                <w:sz w:val="15"/>
                <w:szCs w:val="15"/>
                <w:lang w:val="en"/>
              </w:rPr>
              <w:tab/>
              <w:t>Moderate alopecia.</w:t>
            </w:r>
          </w:p>
          <w:p w:rsidR="00EB3C48" w:rsidRDefault="00EB3C48" w:rsidP="003239C1">
            <w:pPr>
              <w:tabs>
                <w:tab w:val="left" w:pos="252"/>
              </w:tabs>
              <w:ind w:right="-72"/>
              <w:rPr>
                <w:sz w:val="15"/>
                <w:szCs w:val="15"/>
                <w:lang w:val="en"/>
              </w:rPr>
            </w:pPr>
            <w:r w:rsidRPr="00337C44">
              <w:rPr>
                <w:sz w:val="15"/>
                <w:szCs w:val="15"/>
                <w:lang w:val="en"/>
              </w:rPr>
              <w:t>-</w:t>
            </w:r>
            <w:r w:rsidRPr="00337C44">
              <w:rPr>
                <w:sz w:val="15"/>
                <w:szCs w:val="15"/>
                <w:lang w:val="en"/>
              </w:rPr>
              <w:tab/>
              <w:t>Common ENT infections.</w:t>
            </w:r>
          </w:p>
          <w:p w:rsidR="00337C44" w:rsidRPr="00337C44" w:rsidRDefault="00337C44" w:rsidP="003239C1">
            <w:pPr>
              <w:tabs>
                <w:tab w:val="left" w:pos="252"/>
              </w:tabs>
              <w:ind w:right="-72"/>
              <w:rPr>
                <w:sz w:val="15"/>
                <w:szCs w:val="15"/>
              </w:rPr>
            </w:pPr>
          </w:p>
          <w:p w:rsidR="00EB3C48" w:rsidRPr="00337C44" w:rsidRDefault="00EB3C48" w:rsidP="003239C1">
            <w:pPr>
              <w:ind w:right="-72"/>
              <w:rPr>
                <w:sz w:val="15"/>
                <w:szCs w:val="15"/>
                <w:u w:val="single"/>
              </w:rPr>
            </w:pPr>
            <w:r w:rsidRPr="00337C44">
              <w:rPr>
                <w:sz w:val="15"/>
                <w:szCs w:val="15"/>
                <w:u w:val="single"/>
                <w:lang w:val="en"/>
              </w:rPr>
              <w:t>Related to corticosteroid therapy:</w:t>
            </w:r>
          </w:p>
          <w:p w:rsidR="00EB3C48" w:rsidRPr="00337C44" w:rsidRDefault="00EB3C48" w:rsidP="00EB3C48">
            <w:pPr>
              <w:pStyle w:val="ListParagraph"/>
              <w:numPr>
                <w:ilvl w:val="0"/>
                <w:numId w:val="48"/>
              </w:numPr>
              <w:tabs>
                <w:tab w:val="left" w:pos="252"/>
              </w:tabs>
              <w:ind w:left="0" w:right="-72" w:hanging="18"/>
              <w:contextualSpacing/>
              <w:rPr>
                <w:sz w:val="15"/>
                <w:szCs w:val="15"/>
              </w:rPr>
            </w:pPr>
            <w:r w:rsidRPr="00337C44">
              <w:rPr>
                <w:sz w:val="15"/>
                <w:szCs w:val="15"/>
                <w:lang w:val="en"/>
              </w:rPr>
              <w:t>Electrolyte disorders: moderate hypokalemia, metabolic alkalosis, fluid retention, HTN/ -Menstrual irregularities/ -Musculoskeletal disorders: muscle atrophy preceded by muscle weakness/ - Skin disorders: acne, purpura, ecchymosis, hypertrichosis, delayed healing/ - Neuropsychiatric disorders: euphoria, insomnia, excitation</w:t>
            </w:r>
          </w:p>
        </w:tc>
        <w:tc>
          <w:tcPr>
            <w:tcW w:w="5067" w:type="dxa"/>
          </w:tcPr>
          <w:p w:rsidR="00EB3C48" w:rsidRPr="00337C44" w:rsidRDefault="00EB3C48" w:rsidP="003239C1">
            <w:pPr>
              <w:rPr>
                <w:b/>
                <w:sz w:val="15"/>
                <w:szCs w:val="15"/>
              </w:rPr>
            </w:pPr>
            <w:r w:rsidRPr="00337C44">
              <w:rPr>
                <w:b/>
                <w:bCs/>
                <w:sz w:val="15"/>
                <w:szCs w:val="15"/>
                <w:lang w:val="en"/>
              </w:rPr>
              <w:t>SAE description that requires hospitalization or is life-threatening</w:t>
            </w:r>
          </w:p>
          <w:p w:rsidR="00EB3C48" w:rsidRPr="00337C44" w:rsidRDefault="00EB3C48" w:rsidP="003239C1">
            <w:pPr>
              <w:ind w:right="-72"/>
              <w:rPr>
                <w:sz w:val="15"/>
                <w:szCs w:val="15"/>
                <w:u w:val="single"/>
              </w:rPr>
            </w:pPr>
            <w:r w:rsidRPr="00337C44">
              <w:rPr>
                <w:sz w:val="15"/>
                <w:szCs w:val="15"/>
                <w:u w:val="single"/>
                <w:lang w:val="en"/>
              </w:rPr>
              <w:t>Related to rituximab:</w:t>
            </w:r>
          </w:p>
          <w:p w:rsidR="00EB3C48" w:rsidRPr="00337C44" w:rsidRDefault="00EB3C48" w:rsidP="003239C1">
            <w:pPr>
              <w:ind w:right="-72"/>
              <w:rPr>
                <w:sz w:val="15"/>
                <w:szCs w:val="15"/>
              </w:rPr>
            </w:pPr>
            <w:r w:rsidRPr="00337C44">
              <w:rPr>
                <w:sz w:val="15"/>
                <w:szCs w:val="15"/>
                <w:lang w:val="en"/>
              </w:rPr>
              <w:t>-Severe infections, Encephalitis</w:t>
            </w:r>
          </w:p>
          <w:p w:rsidR="00EB3C48" w:rsidRPr="00337C44" w:rsidRDefault="00EB3C48" w:rsidP="003239C1">
            <w:pPr>
              <w:ind w:right="-72"/>
              <w:rPr>
                <w:sz w:val="15"/>
                <w:szCs w:val="15"/>
              </w:rPr>
            </w:pPr>
            <w:r w:rsidRPr="00337C44">
              <w:rPr>
                <w:sz w:val="15"/>
                <w:szCs w:val="15"/>
                <w:lang w:val="en"/>
              </w:rPr>
              <w:t xml:space="preserve">-Hematological events, neutropenia, thrombocytopenia, severe anemia, </w:t>
            </w:r>
            <w:r w:rsidR="00337C44">
              <w:rPr>
                <w:sz w:val="15"/>
                <w:szCs w:val="15"/>
                <w:lang w:val="en"/>
              </w:rPr>
              <w:br/>
            </w:r>
            <w:r w:rsidRPr="00337C44">
              <w:rPr>
                <w:sz w:val="15"/>
                <w:szCs w:val="15"/>
                <w:lang w:val="en"/>
              </w:rPr>
              <w:t>hemolytic anemia</w:t>
            </w:r>
          </w:p>
          <w:p w:rsidR="00EB3C48" w:rsidRPr="00337C44" w:rsidRDefault="00EB3C48" w:rsidP="003239C1">
            <w:pPr>
              <w:ind w:right="-72"/>
              <w:rPr>
                <w:sz w:val="15"/>
                <w:szCs w:val="15"/>
              </w:rPr>
            </w:pPr>
            <w:r w:rsidRPr="00337C44">
              <w:rPr>
                <w:sz w:val="15"/>
                <w:szCs w:val="15"/>
                <w:lang w:val="en"/>
              </w:rPr>
              <w:t>-Angina, heart failure</w:t>
            </w:r>
          </w:p>
          <w:p w:rsidR="00EB3C48" w:rsidRPr="00337C44" w:rsidRDefault="00EB3C48" w:rsidP="003239C1">
            <w:pPr>
              <w:ind w:right="-72"/>
              <w:rPr>
                <w:sz w:val="15"/>
                <w:szCs w:val="15"/>
              </w:rPr>
            </w:pPr>
            <w:r w:rsidRPr="00337C44">
              <w:rPr>
                <w:sz w:val="15"/>
                <w:szCs w:val="15"/>
                <w:lang w:val="en"/>
              </w:rPr>
              <w:t>-Gastrointestinal perforations</w:t>
            </w:r>
          </w:p>
          <w:p w:rsidR="00EB3C48" w:rsidRDefault="00EB3C48" w:rsidP="003239C1">
            <w:pPr>
              <w:ind w:right="-72"/>
              <w:rPr>
                <w:sz w:val="15"/>
                <w:szCs w:val="15"/>
                <w:lang w:val="en"/>
              </w:rPr>
            </w:pPr>
            <w:r w:rsidRPr="00337C44">
              <w:rPr>
                <w:sz w:val="15"/>
                <w:szCs w:val="15"/>
                <w:lang w:val="en"/>
              </w:rPr>
              <w:t>-Tumors/cancers</w:t>
            </w:r>
          </w:p>
          <w:p w:rsidR="00E44A34" w:rsidRPr="00337C44" w:rsidRDefault="00E44A34" w:rsidP="003239C1">
            <w:pPr>
              <w:ind w:right="-72"/>
              <w:rPr>
                <w:sz w:val="15"/>
                <w:szCs w:val="15"/>
              </w:rPr>
            </w:pPr>
          </w:p>
          <w:p w:rsidR="00EB3C48" w:rsidRPr="00337C44" w:rsidRDefault="00EB3C48" w:rsidP="003239C1">
            <w:pPr>
              <w:ind w:right="-72"/>
              <w:rPr>
                <w:sz w:val="15"/>
                <w:szCs w:val="15"/>
                <w:u w:val="single"/>
              </w:rPr>
            </w:pPr>
            <w:r w:rsidRPr="00337C44">
              <w:rPr>
                <w:sz w:val="15"/>
                <w:szCs w:val="15"/>
                <w:u w:val="single"/>
                <w:lang w:val="en"/>
              </w:rPr>
              <w:t>Related to Imurel:</w:t>
            </w:r>
          </w:p>
          <w:p w:rsidR="00EB3C48" w:rsidRPr="00337C44" w:rsidRDefault="00337C44" w:rsidP="003239C1">
            <w:pPr>
              <w:tabs>
                <w:tab w:val="left" w:pos="162"/>
              </w:tabs>
              <w:ind w:right="-72"/>
              <w:rPr>
                <w:sz w:val="15"/>
                <w:szCs w:val="15"/>
              </w:rPr>
            </w:pPr>
            <w:r>
              <w:rPr>
                <w:sz w:val="15"/>
                <w:szCs w:val="15"/>
                <w:lang w:val="en"/>
              </w:rPr>
              <w:t xml:space="preserve">- </w:t>
            </w:r>
            <w:r w:rsidR="00EB3C48" w:rsidRPr="00337C44">
              <w:rPr>
                <w:sz w:val="15"/>
                <w:szCs w:val="15"/>
                <w:lang w:val="en"/>
              </w:rPr>
              <w:t>Severe bone marrow failure, megaloblastic erythropoiesis and macrocytosis, severe hematological disorder.</w:t>
            </w:r>
          </w:p>
          <w:p w:rsidR="00EB3C48" w:rsidRPr="00337C44" w:rsidRDefault="00EB3C48" w:rsidP="003239C1">
            <w:pPr>
              <w:tabs>
                <w:tab w:val="left" w:pos="162"/>
              </w:tabs>
              <w:ind w:right="-72"/>
              <w:rPr>
                <w:sz w:val="15"/>
                <w:szCs w:val="15"/>
              </w:rPr>
            </w:pPr>
            <w:r w:rsidRPr="00337C44">
              <w:rPr>
                <w:sz w:val="15"/>
                <w:szCs w:val="15"/>
                <w:lang w:val="en"/>
              </w:rPr>
              <w:t>- Severe cholestasis and impaired liver function, severe pancreatitis, transaminases &gt; 3x normal, hepatitis</w:t>
            </w:r>
          </w:p>
          <w:p w:rsidR="00EB3C48" w:rsidRPr="00337C44" w:rsidRDefault="00EB3C48" w:rsidP="003239C1">
            <w:pPr>
              <w:tabs>
                <w:tab w:val="left" w:pos="162"/>
              </w:tabs>
              <w:ind w:right="-72"/>
              <w:rPr>
                <w:sz w:val="15"/>
                <w:szCs w:val="15"/>
              </w:rPr>
            </w:pPr>
            <w:r w:rsidRPr="00337C44">
              <w:rPr>
                <w:sz w:val="15"/>
                <w:szCs w:val="15"/>
                <w:lang w:val="en"/>
              </w:rPr>
              <w:t xml:space="preserve">- Manifestations of hypersensitivity, exanthemic-type severe skin reaction, </w:t>
            </w:r>
            <w:r w:rsidR="00337C44">
              <w:rPr>
                <w:sz w:val="15"/>
                <w:szCs w:val="15"/>
                <w:lang w:val="en"/>
              </w:rPr>
              <w:br/>
            </w:r>
            <w:r w:rsidRPr="00337C44">
              <w:rPr>
                <w:sz w:val="15"/>
                <w:szCs w:val="15"/>
                <w:lang w:val="en"/>
              </w:rPr>
              <w:t>skin rash; renal function abnormalities and hemolytic anemia</w:t>
            </w:r>
          </w:p>
          <w:p w:rsidR="00EB3C48" w:rsidRPr="00337C44" w:rsidRDefault="00EB3C48" w:rsidP="003239C1">
            <w:pPr>
              <w:tabs>
                <w:tab w:val="left" w:pos="162"/>
              </w:tabs>
              <w:ind w:right="-72"/>
              <w:rPr>
                <w:sz w:val="15"/>
                <w:szCs w:val="15"/>
              </w:rPr>
            </w:pPr>
            <w:r w:rsidRPr="00337C44">
              <w:rPr>
                <w:sz w:val="15"/>
                <w:szCs w:val="15"/>
                <w:lang w:val="en"/>
              </w:rPr>
              <w:t>-</w:t>
            </w:r>
            <w:r w:rsidR="00337C44">
              <w:rPr>
                <w:sz w:val="15"/>
                <w:szCs w:val="15"/>
                <w:lang w:val="en"/>
              </w:rPr>
              <w:t xml:space="preserve"> </w:t>
            </w:r>
            <w:r w:rsidRPr="00337C44">
              <w:rPr>
                <w:sz w:val="15"/>
                <w:szCs w:val="15"/>
                <w:lang w:val="en"/>
              </w:rPr>
              <w:t>Infections, pneumonitis</w:t>
            </w:r>
          </w:p>
          <w:p w:rsidR="00EB3C48" w:rsidRPr="00337C44" w:rsidRDefault="00EB3C48" w:rsidP="003239C1">
            <w:pPr>
              <w:tabs>
                <w:tab w:val="left" w:pos="162"/>
              </w:tabs>
              <w:ind w:right="-72"/>
              <w:rPr>
                <w:sz w:val="15"/>
                <w:szCs w:val="15"/>
              </w:rPr>
            </w:pPr>
            <w:r w:rsidRPr="00337C44">
              <w:rPr>
                <w:sz w:val="15"/>
                <w:szCs w:val="15"/>
                <w:lang w:val="en"/>
              </w:rPr>
              <w:t>-</w:t>
            </w:r>
            <w:r w:rsidR="00337C44">
              <w:rPr>
                <w:sz w:val="15"/>
                <w:szCs w:val="15"/>
                <w:lang w:val="en"/>
              </w:rPr>
              <w:t xml:space="preserve"> </w:t>
            </w:r>
            <w:r w:rsidRPr="00337C44">
              <w:rPr>
                <w:sz w:val="15"/>
                <w:szCs w:val="15"/>
                <w:lang w:val="en"/>
              </w:rPr>
              <w:t>Arrhythmia</w:t>
            </w:r>
          </w:p>
          <w:p w:rsidR="00EB3C48" w:rsidRPr="00337C44" w:rsidRDefault="00EB3C48" w:rsidP="003239C1">
            <w:pPr>
              <w:tabs>
                <w:tab w:val="left" w:pos="162"/>
              </w:tabs>
              <w:ind w:right="-72"/>
              <w:rPr>
                <w:sz w:val="15"/>
                <w:szCs w:val="15"/>
              </w:rPr>
            </w:pPr>
            <w:r w:rsidRPr="00337C44">
              <w:rPr>
                <w:sz w:val="15"/>
                <w:szCs w:val="15"/>
                <w:lang w:val="en"/>
              </w:rPr>
              <w:t>- Necrotizing enterocolitis, GI perforation, hepatic veno-occlusive disease</w:t>
            </w:r>
          </w:p>
          <w:p w:rsidR="00EB3C48" w:rsidRDefault="00EB3C48" w:rsidP="003239C1">
            <w:pPr>
              <w:tabs>
                <w:tab w:val="left" w:pos="162"/>
              </w:tabs>
              <w:ind w:right="-72"/>
              <w:rPr>
                <w:sz w:val="15"/>
                <w:szCs w:val="15"/>
                <w:lang w:val="en"/>
              </w:rPr>
            </w:pPr>
            <w:r w:rsidRPr="00337C44">
              <w:rPr>
                <w:sz w:val="15"/>
                <w:szCs w:val="15"/>
                <w:lang w:val="en"/>
              </w:rPr>
              <w:t>- Squamous cell skin carcinoma, malignant Non-Hodgkin’s lymphoma, cervical cancer, Kaposi sarcoma, vulvar cancer</w:t>
            </w:r>
          </w:p>
          <w:p w:rsidR="00E44A34" w:rsidRPr="00337C44" w:rsidRDefault="00E44A34" w:rsidP="003239C1">
            <w:pPr>
              <w:tabs>
                <w:tab w:val="left" w:pos="162"/>
              </w:tabs>
              <w:ind w:right="-72"/>
              <w:rPr>
                <w:sz w:val="15"/>
                <w:szCs w:val="15"/>
              </w:rPr>
            </w:pPr>
          </w:p>
          <w:p w:rsidR="00EB3C48" w:rsidRPr="00337C44" w:rsidRDefault="00EB3C48" w:rsidP="003239C1">
            <w:pPr>
              <w:ind w:right="-72"/>
              <w:rPr>
                <w:sz w:val="15"/>
                <w:szCs w:val="15"/>
                <w:u w:val="single"/>
              </w:rPr>
            </w:pPr>
            <w:r w:rsidRPr="00337C44">
              <w:rPr>
                <w:sz w:val="15"/>
                <w:szCs w:val="15"/>
                <w:u w:val="single"/>
                <w:lang w:val="en"/>
              </w:rPr>
              <w:t>Related to corticosteroid therapy:</w:t>
            </w:r>
          </w:p>
          <w:p w:rsidR="00EB3C48" w:rsidRPr="00337C44" w:rsidRDefault="00EB3C48" w:rsidP="003239C1">
            <w:pPr>
              <w:ind w:right="-72"/>
              <w:rPr>
                <w:sz w:val="15"/>
                <w:szCs w:val="15"/>
              </w:rPr>
            </w:pPr>
            <w:r w:rsidRPr="00337C44">
              <w:rPr>
                <w:sz w:val="15"/>
                <w:szCs w:val="15"/>
                <w:lang w:val="en"/>
              </w:rPr>
              <w:t>- Congestive heart failure / - Endocrine and metabolic disorders: iatrogenic Cushing’s syndrome, ACTH secretion inertia, sometimes permanent adrenal cortex atrophy, reduced glucose tolerance, discovery of latent diabetes/ - Musculoskeletal disorders: muscular dysfunction due to corticosteroid-induced myopathy, osteoporosis, pathological fractures in particular vertebral compression or fracture of the femoral neck, aseptic osteonecrosis of the femoral heads / -Serious gastrointestinal disorders: gastroduodenal ulcers, small intestine ulcer, perforations and GI bleeding / -Serious Neuropsychiatric disorders: delusions of manic appearance, delirium or confusional states, seizures, severe depressive states during or after discontinuing the treatment / -Eye disorders: cataracts and some forms of severe glaucoma, serous chorioretinopathy</w:t>
            </w:r>
          </w:p>
        </w:tc>
        <w:tc>
          <w:tcPr>
            <w:tcW w:w="2970" w:type="dxa"/>
          </w:tcPr>
          <w:p w:rsidR="00EB3C48" w:rsidRPr="00337C44" w:rsidRDefault="00EB3C48" w:rsidP="003239C1">
            <w:pPr>
              <w:ind w:right="-108"/>
              <w:rPr>
                <w:sz w:val="15"/>
                <w:szCs w:val="15"/>
              </w:rPr>
            </w:pPr>
            <w:r w:rsidRPr="00337C44">
              <w:rPr>
                <w:sz w:val="15"/>
                <w:szCs w:val="15"/>
                <w:lang w:val="en"/>
              </w:rPr>
              <w:t>This column will be completed as reports are made by the investigators.</w:t>
            </w:r>
          </w:p>
          <w:p w:rsidR="00EB3C48" w:rsidRPr="00337C44" w:rsidRDefault="00EB3C48" w:rsidP="003239C1">
            <w:pPr>
              <w:rPr>
                <w:sz w:val="15"/>
                <w:szCs w:val="15"/>
              </w:rPr>
            </w:pPr>
          </w:p>
          <w:p w:rsidR="00EB3C48" w:rsidRPr="00337C44" w:rsidRDefault="00EB3C48" w:rsidP="003239C1">
            <w:pPr>
              <w:rPr>
                <w:sz w:val="15"/>
                <w:szCs w:val="15"/>
              </w:rPr>
            </w:pPr>
            <w:r w:rsidRPr="00337C44">
              <w:rPr>
                <w:sz w:val="15"/>
                <w:szCs w:val="15"/>
                <w:lang w:val="en"/>
              </w:rPr>
              <w:t>Report all events with one of the severity criteria* noted below, except for those identified in the other columns</w:t>
            </w:r>
          </w:p>
          <w:p w:rsidR="00EB3C48" w:rsidRPr="00337C44" w:rsidRDefault="00EB3C48" w:rsidP="003239C1">
            <w:pPr>
              <w:rPr>
                <w:sz w:val="15"/>
                <w:szCs w:val="15"/>
              </w:rPr>
            </w:pPr>
          </w:p>
          <w:p w:rsidR="00EB3C48" w:rsidRPr="00337C44" w:rsidRDefault="00EB3C48" w:rsidP="003239C1">
            <w:pPr>
              <w:ind w:right="-72"/>
              <w:rPr>
                <w:sz w:val="15"/>
                <w:szCs w:val="15"/>
              </w:rPr>
            </w:pPr>
            <w:r w:rsidRPr="00337C44">
              <w:rPr>
                <w:sz w:val="15"/>
                <w:szCs w:val="15"/>
                <w:lang w:val="en"/>
              </w:rPr>
              <w:t>*Severity criteria:</w:t>
            </w:r>
          </w:p>
          <w:p w:rsidR="00EB3C48" w:rsidRPr="00337C44" w:rsidRDefault="00EB3C48" w:rsidP="003239C1">
            <w:pPr>
              <w:ind w:right="-72"/>
              <w:rPr>
                <w:sz w:val="15"/>
                <w:szCs w:val="15"/>
              </w:rPr>
            </w:pPr>
            <w:r w:rsidRPr="00337C44">
              <w:rPr>
                <w:sz w:val="15"/>
                <w:szCs w:val="15"/>
                <w:lang w:val="en"/>
              </w:rPr>
              <w:t>1- Death</w:t>
            </w:r>
          </w:p>
          <w:p w:rsidR="00EB3C48" w:rsidRPr="00337C44" w:rsidRDefault="00EB3C48" w:rsidP="003239C1">
            <w:pPr>
              <w:ind w:right="-72"/>
              <w:rPr>
                <w:sz w:val="15"/>
                <w:szCs w:val="15"/>
              </w:rPr>
            </w:pPr>
            <w:r w:rsidRPr="00337C44">
              <w:rPr>
                <w:sz w:val="15"/>
                <w:szCs w:val="15"/>
                <w:lang w:val="en"/>
              </w:rPr>
              <w:t>2- Life-threatening</w:t>
            </w:r>
          </w:p>
          <w:p w:rsidR="00EB3C48" w:rsidRPr="00337C44" w:rsidRDefault="00EB3C48" w:rsidP="003239C1">
            <w:pPr>
              <w:ind w:right="-72"/>
              <w:rPr>
                <w:sz w:val="15"/>
                <w:szCs w:val="15"/>
              </w:rPr>
            </w:pPr>
            <w:r w:rsidRPr="00337C44">
              <w:rPr>
                <w:sz w:val="15"/>
                <w:szCs w:val="15"/>
                <w:lang w:val="en"/>
              </w:rPr>
              <w:t>3- Requiring or extending hospitalization</w:t>
            </w:r>
          </w:p>
          <w:p w:rsidR="00EB3C48" w:rsidRPr="00337C44" w:rsidRDefault="00EB3C48" w:rsidP="003239C1">
            <w:pPr>
              <w:ind w:right="-72"/>
              <w:rPr>
                <w:sz w:val="15"/>
                <w:szCs w:val="15"/>
              </w:rPr>
            </w:pPr>
            <w:r w:rsidRPr="00337C44">
              <w:rPr>
                <w:sz w:val="15"/>
                <w:szCs w:val="15"/>
                <w:lang w:val="en"/>
              </w:rPr>
              <w:t>4- Lasting sequelae</w:t>
            </w:r>
          </w:p>
          <w:p w:rsidR="00EB3C48" w:rsidRPr="00337C44" w:rsidRDefault="00EB3C48" w:rsidP="003239C1">
            <w:pPr>
              <w:ind w:right="-72"/>
              <w:rPr>
                <w:sz w:val="15"/>
                <w:szCs w:val="15"/>
              </w:rPr>
            </w:pPr>
            <w:r w:rsidRPr="00337C44">
              <w:rPr>
                <w:sz w:val="15"/>
                <w:szCs w:val="15"/>
                <w:lang w:val="en"/>
              </w:rPr>
              <w:t>5- Congenital abnormality or defect</w:t>
            </w:r>
          </w:p>
          <w:p w:rsidR="00EB3C48" w:rsidRPr="00337C44" w:rsidRDefault="00EB3C48" w:rsidP="003239C1">
            <w:pPr>
              <w:ind w:right="-288"/>
              <w:rPr>
                <w:sz w:val="15"/>
                <w:szCs w:val="15"/>
              </w:rPr>
            </w:pPr>
            <w:r w:rsidRPr="00337C44">
              <w:rPr>
                <w:sz w:val="15"/>
                <w:szCs w:val="15"/>
                <w:lang w:val="en"/>
              </w:rPr>
              <w:t>6- Event considered serious by the investigator (specify the reason)</w:t>
            </w:r>
          </w:p>
          <w:p w:rsidR="00EB3C48" w:rsidRPr="00337C44" w:rsidRDefault="00EB3C48" w:rsidP="003239C1">
            <w:pPr>
              <w:rPr>
                <w:sz w:val="15"/>
                <w:szCs w:val="15"/>
              </w:rPr>
            </w:pPr>
          </w:p>
          <w:p w:rsidR="00EB3C48" w:rsidRPr="00337C44" w:rsidRDefault="00EB3C48" w:rsidP="003239C1">
            <w:pPr>
              <w:rPr>
                <w:sz w:val="15"/>
                <w:szCs w:val="15"/>
              </w:rPr>
            </w:pPr>
            <w:r w:rsidRPr="00337C44">
              <w:rPr>
                <w:sz w:val="15"/>
                <w:szCs w:val="15"/>
                <w:lang w:val="en"/>
              </w:rPr>
              <w:t>NOTE: Any discovery of a PREGNANCY during a biomedical research study must be reported to the sponsor immediately and must be monitored until delivery.</w:t>
            </w:r>
          </w:p>
        </w:tc>
      </w:tr>
    </w:tbl>
    <w:p w:rsidR="00EB3C48" w:rsidRPr="00337C44" w:rsidRDefault="00EB3C48" w:rsidP="00EB3C48">
      <w:pPr>
        <w:jc w:val="center"/>
        <w:rPr>
          <w:sz w:val="10"/>
          <w:szCs w:val="10"/>
        </w:rPr>
      </w:pPr>
    </w:p>
    <w:tbl>
      <w:tblPr>
        <w:tblStyle w:val="TableGrid"/>
        <w:tblW w:w="14580" w:type="dxa"/>
        <w:jc w:val="center"/>
        <w:tblLook w:val="04A0" w:firstRow="1" w:lastRow="0" w:firstColumn="1" w:lastColumn="0" w:noHBand="0" w:noVBand="1"/>
      </w:tblPr>
      <w:tblGrid>
        <w:gridCol w:w="3510"/>
        <w:gridCol w:w="2970"/>
        <w:gridCol w:w="2610"/>
        <w:gridCol w:w="2520"/>
        <w:gridCol w:w="2970"/>
      </w:tblGrid>
      <w:tr w:rsidR="00EB3C48" w:rsidRPr="00337C44" w:rsidTr="00EB3C48">
        <w:trPr>
          <w:jc w:val="center"/>
        </w:trPr>
        <w:tc>
          <w:tcPr>
            <w:tcW w:w="3510" w:type="dxa"/>
          </w:tcPr>
          <w:p w:rsidR="00EB3C48" w:rsidRPr="00337C44" w:rsidRDefault="00EB3C48" w:rsidP="003239C1">
            <w:pPr>
              <w:ind w:right="-144"/>
              <w:rPr>
                <w:sz w:val="15"/>
                <w:szCs w:val="15"/>
              </w:rPr>
            </w:pPr>
            <w:r w:rsidRPr="00337C44">
              <w:rPr>
                <w:sz w:val="15"/>
                <w:szCs w:val="15"/>
                <w:lang w:val="en"/>
              </w:rPr>
              <w:t>Last name, first name and signature</w:t>
            </w:r>
            <w:r w:rsidRPr="00337C44">
              <w:rPr>
                <w:sz w:val="15"/>
                <w:szCs w:val="15"/>
                <w:lang w:val="en"/>
              </w:rPr>
              <w:br/>
              <w:t>of the coordinating investigator: Prof. L. Guillevin</w:t>
            </w:r>
          </w:p>
          <w:p w:rsidR="00EB3C48" w:rsidRPr="00337C44" w:rsidRDefault="00EB3C48" w:rsidP="003239C1">
            <w:pPr>
              <w:rPr>
                <w:sz w:val="15"/>
                <w:szCs w:val="15"/>
                <w:lang w:val="fr-CA"/>
              </w:rPr>
            </w:pPr>
            <w:r w:rsidRPr="00337C44">
              <w:rPr>
                <w:sz w:val="15"/>
                <w:szCs w:val="15"/>
                <w:lang w:val="fr-CA"/>
              </w:rPr>
              <w:t>Scientific Director Dr. C. Pagnoux</w:t>
            </w:r>
          </w:p>
        </w:tc>
        <w:tc>
          <w:tcPr>
            <w:tcW w:w="2970" w:type="dxa"/>
          </w:tcPr>
          <w:p w:rsidR="00EB3C48" w:rsidRPr="00337C44" w:rsidRDefault="00EB3C48" w:rsidP="003239C1">
            <w:pPr>
              <w:rPr>
                <w:sz w:val="15"/>
                <w:szCs w:val="15"/>
              </w:rPr>
            </w:pPr>
            <w:r w:rsidRPr="00337C44">
              <w:rPr>
                <w:sz w:val="15"/>
                <w:szCs w:val="15"/>
                <w:lang w:val="en"/>
              </w:rPr>
              <w:t xml:space="preserve">Last name, first name and signature of the Clinical Research Unit (CRU) manager: </w:t>
            </w:r>
            <w:r w:rsidR="004D4023">
              <w:rPr>
                <w:sz w:val="15"/>
                <w:szCs w:val="15"/>
                <w:lang w:val="en"/>
              </w:rPr>
              <w:br/>
            </w:r>
            <w:r w:rsidRPr="00337C44">
              <w:rPr>
                <w:sz w:val="15"/>
                <w:szCs w:val="15"/>
                <w:lang w:val="en"/>
              </w:rPr>
              <w:t>Prof. J.M. Treluyer</w:t>
            </w:r>
          </w:p>
        </w:tc>
        <w:tc>
          <w:tcPr>
            <w:tcW w:w="2610" w:type="dxa"/>
          </w:tcPr>
          <w:p w:rsidR="00EB3C48" w:rsidRPr="00337C44" w:rsidRDefault="00EB3C48" w:rsidP="003239C1">
            <w:pPr>
              <w:rPr>
                <w:sz w:val="15"/>
                <w:szCs w:val="15"/>
              </w:rPr>
            </w:pPr>
            <w:r w:rsidRPr="00337C44">
              <w:rPr>
                <w:sz w:val="15"/>
                <w:szCs w:val="15"/>
                <w:lang w:val="en"/>
              </w:rPr>
              <w:t>Last name, first name and signature</w:t>
            </w:r>
            <w:r w:rsidRPr="00337C44">
              <w:rPr>
                <w:sz w:val="15"/>
                <w:szCs w:val="15"/>
                <w:lang w:val="en"/>
              </w:rPr>
              <w:br/>
              <w:t>of the project lead: Y. Vacher</w:t>
            </w:r>
          </w:p>
        </w:tc>
        <w:tc>
          <w:tcPr>
            <w:tcW w:w="2520" w:type="dxa"/>
          </w:tcPr>
          <w:p w:rsidR="00EB3C48" w:rsidRPr="00337C44" w:rsidRDefault="00EB3C48" w:rsidP="003239C1">
            <w:pPr>
              <w:ind w:right="-110"/>
              <w:rPr>
                <w:color w:val="000000" w:themeColor="text1"/>
                <w:sz w:val="15"/>
                <w:szCs w:val="15"/>
              </w:rPr>
            </w:pPr>
            <w:r w:rsidRPr="00337C44">
              <w:rPr>
                <w:sz w:val="15"/>
                <w:szCs w:val="15"/>
                <w:lang w:val="en"/>
              </w:rPr>
              <w:t xml:space="preserve">Last name, first name and signature </w:t>
            </w:r>
            <w:r w:rsidR="004D4023">
              <w:rPr>
                <w:sz w:val="15"/>
                <w:szCs w:val="15"/>
                <w:lang w:val="en"/>
              </w:rPr>
              <w:br/>
            </w:r>
            <w:r w:rsidRPr="00337C44">
              <w:rPr>
                <w:sz w:val="15"/>
                <w:szCs w:val="15"/>
                <w:lang w:val="en"/>
              </w:rPr>
              <w:t xml:space="preserve">of the pharmacovigilance manager: </w:t>
            </w:r>
            <w:r w:rsidR="004D4023">
              <w:rPr>
                <w:sz w:val="15"/>
                <w:szCs w:val="15"/>
                <w:lang w:val="en"/>
              </w:rPr>
              <w:br/>
            </w:r>
            <w:r w:rsidRPr="00337C44">
              <w:rPr>
                <w:sz w:val="15"/>
                <w:szCs w:val="15"/>
                <w:lang w:val="en"/>
              </w:rPr>
              <w:t xml:space="preserve">H. </w:t>
            </w:r>
            <w:r w:rsidRPr="00337C44">
              <w:rPr>
                <w:color w:val="000000" w:themeColor="text1"/>
                <w:sz w:val="15"/>
                <w:szCs w:val="15"/>
                <w:lang w:val="en"/>
              </w:rPr>
              <w:t>Brocvielle</w:t>
            </w:r>
          </w:p>
        </w:tc>
        <w:tc>
          <w:tcPr>
            <w:tcW w:w="2970" w:type="dxa"/>
          </w:tcPr>
          <w:p w:rsidR="00EB3C48" w:rsidRPr="00337C44" w:rsidRDefault="00EB3C48" w:rsidP="003239C1">
            <w:pPr>
              <w:rPr>
                <w:sz w:val="15"/>
                <w:szCs w:val="15"/>
              </w:rPr>
            </w:pPr>
            <w:r w:rsidRPr="00337C44">
              <w:rPr>
                <w:sz w:val="15"/>
                <w:szCs w:val="15"/>
                <w:lang w:val="en"/>
              </w:rPr>
              <w:t>Last name, first name and signature</w:t>
            </w:r>
            <w:r w:rsidRPr="00337C44">
              <w:rPr>
                <w:sz w:val="15"/>
                <w:szCs w:val="15"/>
                <w:lang w:val="en"/>
              </w:rPr>
              <w:br/>
              <w:t>of the medical coordinator: O. Chassany</w:t>
            </w:r>
          </w:p>
        </w:tc>
      </w:tr>
    </w:tbl>
    <w:p w:rsidR="00EB3C48" w:rsidRPr="00337C44" w:rsidRDefault="001A5673" w:rsidP="00EB3C48">
      <w:r>
        <w:rPr>
          <w:noProof/>
        </w:rPr>
        <w:pict>
          <v:shape id="Text Box 2" o:spid="_x0000_s1171" type="#_x0000_t202" style="position:absolute;margin-left:-35.7pt;margin-top:.7pt;width:755.75pt;height:28.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" filled="f" stroked="f">
            <v:textbox>
              <w:txbxContent>
                <w:p w:rsidR="003239C1" w:rsidRPr="00937096" w:rsidRDefault="003239C1" w:rsidP="00EB3C48">
                  <w:pPr>
                    <w:ind w:left="284"/>
                    <w:rPr>
                      <w:rFonts w:asciiTheme="minorBidi" w:hAnsiTheme="minorBidi" w:cstheme="minorBidi"/>
                      <w:sz w:val="12"/>
                      <w:szCs w:val="12"/>
                      <w:lang w:val="fr-CA"/>
                    </w:rPr>
                  </w:pPr>
                  <w:r w:rsidRPr="00937096">
                    <w:rPr>
                      <w:rFonts w:asciiTheme="minorBidi" w:hAnsiTheme="minorBidi" w:cstheme="minorBidi"/>
                      <w:sz w:val="12"/>
                      <w:szCs w:val="12"/>
                      <w:lang w:val="fr-CA"/>
                    </w:rPr>
                    <w:t>Final version</w:t>
                  </w:r>
                  <w:r w:rsidRPr="00937096">
                    <w:rPr>
                      <w:rFonts w:asciiTheme="minorBidi" w:hAnsiTheme="minorBidi" w:cstheme="minorBidi"/>
                      <w:sz w:val="12"/>
                      <w:szCs w:val="12"/>
                      <w:lang w:val="fr-CA"/>
                    </w:rPr>
                    <w:tab/>
                    <w:t>DRCD-PV-12/12/2006</w:t>
                  </w:r>
                  <w:r w:rsidRPr="00937096">
                    <w:rPr>
                      <w:rFonts w:asciiTheme="minorBidi" w:hAnsiTheme="minorBidi" w:cstheme="minorBidi"/>
                      <w:sz w:val="12"/>
                      <w:szCs w:val="12"/>
                      <w:lang w:val="fr-CA"/>
                    </w:rPr>
                    <w:tab/>
                    <w:t xml:space="preserve">AP-HP [Public Hospitals of Paris] Département de la Recherche Clinique et du Développement [Clinical Research and Development Department], Délégation Interrégionale à la Recherche Clinique Ile de France </w:t>
                  </w:r>
                  <w:r>
                    <w:rPr>
                      <w:rFonts w:asciiTheme="minorBidi" w:hAnsiTheme="minorBidi" w:cstheme="minorBidi"/>
                      <w:sz w:val="12"/>
                      <w:szCs w:val="12"/>
                      <w:lang w:val="fr-CA"/>
                    </w:rPr>
                    <w:br/>
                  </w:r>
                  <w:r w:rsidRPr="00937096">
                    <w:rPr>
                      <w:rFonts w:asciiTheme="minorBidi" w:hAnsiTheme="minorBidi" w:cstheme="minorBidi"/>
                      <w:sz w:val="12"/>
                      <w:szCs w:val="12"/>
                      <w:lang w:val="fr-CA"/>
                    </w:rPr>
                    <w:t>[Ile de France Inter-regional Clinical Research Delegation]</w:t>
                  </w:r>
                </w:p>
                <w:p w:rsidR="003239C1" w:rsidRPr="00937096" w:rsidRDefault="003239C1" w:rsidP="00EB3C48">
                  <w:pPr>
                    <w:ind w:left="284"/>
                    <w:rPr>
                      <w:rFonts w:asciiTheme="minorBidi" w:hAnsiTheme="minorBidi" w:cstheme="minorBidi"/>
                      <w:sz w:val="12"/>
                      <w:szCs w:val="12"/>
                    </w:rPr>
                  </w:pPr>
                  <w:r w:rsidRPr="00937096">
                    <w:rPr>
                      <w:rFonts w:asciiTheme="minorBidi" w:hAnsiTheme="minorBidi" w:cstheme="minorBidi"/>
                      <w:sz w:val="12"/>
                      <w:szCs w:val="12"/>
                      <w:lang w:val="en"/>
                    </w:rPr>
                    <w:t>Date: 07 05 2008</w:t>
                  </w:r>
                </w:p>
              </w:txbxContent>
            </v:textbox>
          </v:shape>
        </w:pict>
      </w:r>
    </w:p>
    <w:p w:rsidR="00CD39A7" w:rsidRPr="00337C44" w:rsidRDefault="00CD39A7" w:rsidP="00F22DA4">
      <w:pPr>
        <w:ind w:left="6760" w:right="5926"/>
        <w:rPr>
          <w:b/>
          <w:sz w:val="24"/>
        </w:rPr>
      </w:pPr>
    </w:p>
    <w:p w:rsidR="00CD39A7" w:rsidRPr="00337C44" w:rsidRDefault="00CD39A7">
      <w:pPr>
        <w:jc w:val="center"/>
        <w:rPr>
          <w:sz w:val="24"/>
        </w:rPr>
        <w:sectPr w:rsidR="00CD39A7" w:rsidRPr="00337C44" w:rsidSect="00EB3C48">
          <w:footerReference w:type="default" r:id="rId16"/>
          <w:pgSz w:w="16840" w:h="11910" w:orient="landscape"/>
          <w:pgMar w:top="284" w:right="1560" w:bottom="980" w:left="1300" w:header="0" w:footer="784" w:gutter="0"/>
          <w:cols w:space="720"/>
        </w:sectPr>
      </w:pPr>
    </w:p>
    <w:p w:rsidR="00A628B7" w:rsidRPr="00D72855" w:rsidRDefault="00A628B7" w:rsidP="00A628B7">
      <w:pPr>
        <w:pStyle w:val="Header"/>
        <w:ind w:left="720"/>
        <w:rPr>
          <w:b/>
          <w:sz w:val="28"/>
          <w:szCs w:val="28"/>
        </w:rPr>
      </w:pPr>
      <w:bookmarkStart w:id="178" w:name="_bookmark170"/>
      <w:bookmarkStart w:id="179" w:name="Annexe_V_–_Schéma_de_décroissance_des_co"/>
      <w:bookmarkEnd w:id="178"/>
      <w:bookmarkEnd w:id="179"/>
      <w:r w:rsidRPr="00D72855">
        <w:rPr>
          <w:b/>
          <w:bCs/>
          <w:sz w:val="28"/>
          <w:szCs w:val="28"/>
          <w:lang w:val="en"/>
        </w:rPr>
        <w:lastRenderedPageBreak/>
        <w:t xml:space="preserve">Appendix V – Tapering off schedule for corticosteroids according </w:t>
      </w:r>
      <w:r w:rsidRPr="00D72855">
        <w:rPr>
          <w:b/>
          <w:bCs/>
          <w:sz w:val="28"/>
          <w:szCs w:val="28"/>
          <w:lang w:val="en"/>
        </w:rPr>
        <w:br/>
        <w:t>to the protocol</w:t>
      </w:r>
    </w:p>
    <w:p w:rsidR="00A628B7" w:rsidRPr="00D72855" w:rsidRDefault="00A628B7" w:rsidP="00A628B7">
      <w:pPr>
        <w:jc w:val="center"/>
        <w:rPr>
          <w:b/>
        </w:rPr>
      </w:pPr>
      <w:r w:rsidRPr="00D72855">
        <w:rPr>
          <w:b/>
          <w:bCs/>
          <w:lang w:val="en"/>
        </w:rPr>
        <w:t>EUVAS IMPROVE</w:t>
      </w:r>
    </w:p>
    <w:p w:rsidR="00A628B7" w:rsidRPr="00D72855" w:rsidRDefault="001A5673" w:rsidP="00A628B7">
      <w:pPr>
        <w:jc w:val="center"/>
      </w:pPr>
      <w:r>
        <w:rPr>
          <w:noProof/>
        </w:rPr>
        <w:pict>
          <v:shape id="_x0000_s1173" type="#_x0000_t202" style="position:absolute;left:0;text-align:left;margin-left:53.4pt;margin-top:.75pt;width:400.8pt;height:31.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2SKA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">
            <v:textbox>
              <w:txbxContent>
                <w:p w:rsidR="003239C1" w:rsidRDefault="003239C1" w:rsidP="00A628B7">
                  <w:pPr>
                    <w:jc w:val="center"/>
                  </w:pPr>
                  <w:r>
                    <w:rPr>
                      <w:lang w:val="en"/>
                    </w:rPr>
                    <w:t xml:space="preserve">DOSES OF CYCLOPHOSPHAMIDE AND CORTICOSTEROIDS ACCORDING </w:t>
                  </w:r>
                  <w:r>
                    <w:rPr>
                      <w:lang w:val="en"/>
                    </w:rPr>
                    <w:br/>
                    <w:t>TO THE EUVAS IMPROVE PROTOCOL</w:t>
                  </w:r>
                </w:p>
              </w:txbxContent>
            </v:textbox>
          </v:shape>
        </w:pict>
      </w:r>
    </w:p>
    <w:p w:rsidR="00A628B7" w:rsidRPr="00D72855" w:rsidRDefault="00A628B7" w:rsidP="00A628B7">
      <w:pPr>
        <w:jc w:val="center"/>
      </w:pPr>
    </w:p>
    <w:p w:rsidR="00A628B7" w:rsidRPr="00D72855" w:rsidRDefault="00A628B7" w:rsidP="00A628B7">
      <w:pPr>
        <w:jc w:val="center"/>
      </w:pPr>
    </w:p>
    <w:p w:rsidR="00A628B7" w:rsidRPr="00D72855" w:rsidRDefault="00A628B7" w:rsidP="00A628B7">
      <w:pPr>
        <w:ind w:left="1080"/>
        <w:rPr>
          <w:sz w:val="24"/>
          <w:u w:val="single"/>
        </w:rPr>
      </w:pPr>
      <w:r w:rsidRPr="00D72855">
        <w:rPr>
          <w:sz w:val="24"/>
          <w:u w:val="single"/>
          <w:lang w:val="en"/>
        </w:rPr>
        <w:t>1. Induction phase</w:t>
      </w:r>
    </w:p>
    <w:p w:rsidR="00A628B7" w:rsidRPr="00D72855" w:rsidRDefault="00A628B7" w:rsidP="00A628B7">
      <w:pPr>
        <w:ind w:left="1080"/>
      </w:pPr>
    </w:p>
    <w:tbl>
      <w:tblPr>
        <w:tblStyle w:val="TableGrid"/>
        <w:tblW w:w="8528" w:type="dxa"/>
        <w:jc w:val="center"/>
        <w:tblLayout w:type="fixed"/>
        <w:tblLook w:val="04A0" w:firstRow="1" w:lastRow="0" w:firstColumn="1" w:lastColumn="0" w:noHBand="0" w:noVBand="1"/>
      </w:tblPr>
      <w:tblGrid>
        <w:gridCol w:w="1483"/>
        <w:gridCol w:w="1343"/>
        <w:gridCol w:w="799"/>
        <w:gridCol w:w="1851"/>
        <w:gridCol w:w="498"/>
        <w:gridCol w:w="1851"/>
        <w:gridCol w:w="703"/>
      </w:tblGrid>
      <w:tr w:rsidR="00A628B7" w:rsidRPr="00D72855" w:rsidTr="00A628B7">
        <w:trPr>
          <w:jc w:val="center"/>
        </w:trPr>
        <w:tc>
          <w:tcPr>
            <w:tcW w:w="1483" w:type="dxa"/>
          </w:tcPr>
          <w:p w:rsidR="00A628B7" w:rsidRPr="00D72855" w:rsidRDefault="00A628B7" w:rsidP="003239C1">
            <w:r w:rsidRPr="00D72855">
              <w:rPr>
                <w:lang w:val="en"/>
              </w:rPr>
              <w:t>time from entry</w:t>
            </w:r>
          </w:p>
          <w:p w:rsidR="00A628B7" w:rsidRPr="00D72855" w:rsidRDefault="00A628B7" w:rsidP="003239C1">
            <w:r w:rsidRPr="00D72855">
              <w:rPr>
                <w:lang w:val="en"/>
              </w:rPr>
              <w:t>(weeks)</w:t>
            </w:r>
            <w:r w:rsidRPr="00D72855">
              <w:rPr>
                <w:vertAlign w:val="superscript"/>
                <w:lang w:val="en"/>
              </w:rPr>
              <w:t>1</w:t>
            </w:r>
          </w:p>
        </w:tc>
        <w:tc>
          <w:tcPr>
            <w:tcW w:w="1343" w:type="dxa"/>
          </w:tcPr>
          <w:p w:rsidR="00A628B7" w:rsidRPr="00D72855" w:rsidRDefault="00A628B7" w:rsidP="003239C1">
            <w:r w:rsidRPr="00D72855">
              <w:rPr>
                <w:lang w:val="en"/>
              </w:rPr>
              <w:t>Prednisolone</w:t>
            </w:r>
          </w:p>
          <w:p w:rsidR="00A628B7" w:rsidRPr="00D72855" w:rsidRDefault="00A628B7" w:rsidP="003239C1">
            <w:r w:rsidRPr="00D72855">
              <w:rPr>
                <w:lang w:val="en"/>
              </w:rPr>
              <w:t>(mg/kg/day)</w:t>
            </w:r>
          </w:p>
        </w:tc>
        <w:tc>
          <w:tcPr>
            <w:tcW w:w="799" w:type="dxa"/>
          </w:tcPr>
          <w:p w:rsidR="00A628B7" w:rsidRPr="00D72855" w:rsidRDefault="00A628B7" w:rsidP="003239C1">
            <w:r w:rsidRPr="00D72855">
              <w:rPr>
                <w:lang w:val="en"/>
              </w:rPr>
              <w:t>plus either</w:t>
            </w:r>
          </w:p>
        </w:tc>
        <w:tc>
          <w:tcPr>
            <w:tcW w:w="1851" w:type="dxa"/>
          </w:tcPr>
          <w:p w:rsidR="00A628B7" w:rsidRPr="00D72855" w:rsidRDefault="00A628B7" w:rsidP="003239C1">
            <w:r w:rsidRPr="00D72855">
              <w:rPr>
                <w:lang w:val="en"/>
              </w:rPr>
              <w:t>Cyclophosphamide</w:t>
            </w:r>
          </w:p>
          <w:p w:rsidR="00A628B7" w:rsidRPr="00D72855" w:rsidRDefault="00A628B7" w:rsidP="003239C1">
            <w:r w:rsidRPr="00D72855">
              <w:rPr>
                <w:lang w:val="en"/>
              </w:rPr>
              <w:t>(oral)</w:t>
            </w:r>
          </w:p>
          <w:p w:rsidR="00A628B7" w:rsidRPr="00D72855" w:rsidRDefault="00A628B7" w:rsidP="003239C1">
            <w:r w:rsidRPr="00D72855">
              <w:rPr>
                <w:lang w:val="en"/>
              </w:rPr>
              <w:t>(mg/kg/day)</w:t>
            </w:r>
            <w:r w:rsidRPr="00D72855">
              <w:rPr>
                <w:vertAlign w:val="superscript"/>
                <w:lang w:val="en"/>
              </w:rPr>
              <w:t>2</w:t>
            </w:r>
          </w:p>
        </w:tc>
        <w:tc>
          <w:tcPr>
            <w:tcW w:w="498" w:type="dxa"/>
          </w:tcPr>
          <w:p w:rsidR="00A628B7" w:rsidRPr="00D72855" w:rsidRDefault="00A628B7" w:rsidP="003239C1">
            <w:r w:rsidRPr="00D72855">
              <w:rPr>
                <w:lang w:val="en"/>
              </w:rPr>
              <w:t>or</w:t>
            </w:r>
          </w:p>
        </w:tc>
        <w:tc>
          <w:tcPr>
            <w:tcW w:w="1851" w:type="dxa"/>
          </w:tcPr>
          <w:p w:rsidR="00A628B7" w:rsidRPr="00D72855" w:rsidRDefault="00A628B7" w:rsidP="003239C1">
            <w:r w:rsidRPr="00D72855">
              <w:rPr>
                <w:lang w:val="en"/>
              </w:rPr>
              <w:t>Cyclophosphamide</w:t>
            </w:r>
          </w:p>
          <w:p w:rsidR="00A628B7" w:rsidRPr="00D72855" w:rsidRDefault="00A628B7" w:rsidP="003239C1">
            <w:r w:rsidRPr="00D72855">
              <w:rPr>
                <w:lang w:val="en"/>
              </w:rPr>
              <w:t>(pulse)</w:t>
            </w:r>
          </w:p>
          <w:p w:rsidR="00A628B7" w:rsidRPr="00D72855" w:rsidRDefault="00A628B7" w:rsidP="003239C1">
            <w:r w:rsidRPr="00D72855">
              <w:rPr>
                <w:lang w:val="en"/>
              </w:rPr>
              <w:t>(mg/kg)</w:t>
            </w:r>
            <w:r w:rsidRPr="00D72855">
              <w:rPr>
                <w:vertAlign w:val="superscript"/>
                <w:lang w:val="en"/>
              </w:rPr>
              <w:t>2</w:t>
            </w:r>
          </w:p>
        </w:tc>
        <w:tc>
          <w:tcPr>
            <w:tcW w:w="703" w:type="dxa"/>
          </w:tcPr>
          <w:p w:rsidR="00A628B7" w:rsidRPr="00D72855" w:rsidRDefault="00A628B7" w:rsidP="003239C1">
            <w:r w:rsidRPr="00D72855">
              <w:rPr>
                <w:lang w:val="en"/>
              </w:rPr>
              <w:t>Puls no.</w:t>
            </w:r>
          </w:p>
        </w:tc>
      </w:tr>
      <w:tr w:rsidR="00A628B7" w:rsidRPr="00D72855" w:rsidTr="00A628B7">
        <w:trPr>
          <w:jc w:val="center"/>
        </w:trPr>
        <w:tc>
          <w:tcPr>
            <w:tcW w:w="1483" w:type="dxa"/>
          </w:tcPr>
          <w:p w:rsidR="00A628B7" w:rsidRPr="00D72855" w:rsidRDefault="00A628B7" w:rsidP="003239C1">
            <w:r w:rsidRPr="00D72855">
              <w:rPr>
                <w:lang w:val="en"/>
              </w:rPr>
              <w:t>0</w:t>
            </w:r>
          </w:p>
        </w:tc>
        <w:tc>
          <w:tcPr>
            <w:tcW w:w="1343" w:type="dxa"/>
          </w:tcPr>
          <w:p w:rsidR="00A628B7" w:rsidRPr="00D72855" w:rsidRDefault="00A628B7" w:rsidP="003239C1">
            <w:r w:rsidRPr="00D72855">
              <w:rPr>
                <w:lang w:val="en"/>
              </w:rPr>
              <w:t>1</w:t>
            </w:r>
          </w:p>
        </w:tc>
        <w:tc>
          <w:tcPr>
            <w:tcW w:w="799" w:type="dxa"/>
          </w:tcPr>
          <w:p w:rsidR="00A628B7" w:rsidRPr="00D72855" w:rsidRDefault="00A628B7" w:rsidP="003239C1"/>
        </w:tc>
        <w:tc>
          <w:tcPr>
            <w:tcW w:w="1851" w:type="dxa"/>
          </w:tcPr>
          <w:p w:rsidR="00A628B7" w:rsidRPr="00D72855" w:rsidRDefault="00A628B7" w:rsidP="003239C1">
            <w:r w:rsidRPr="00D72855">
              <w:rPr>
                <w:lang w:val="en"/>
              </w:rPr>
              <w:t>2</w:t>
            </w:r>
          </w:p>
        </w:tc>
        <w:tc>
          <w:tcPr>
            <w:tcW w:w="498" w:type="dxa"/>
          </w:tcPr>
          <w:p w:rsidR="00A628B7" w:rsidRPr="00D72855" w:rsidRDefault="00A628B7" w:rsidP="003239C1"/>
        </w:tc>
        <w:tc>
          <w:tcPr>
            <w:tcW w:w="1851" w:type="dxa"/>
          </w:tcPr>
          <w:p w:rsidR="00A628B7" w:rsidRPr="00D72855" w:rsidRDefault="00A628B7" w:rsidP="003239C1">
            <w:r w:rsidRPr="00D72855">
              <w:rPr>
                <w:lang w:val="en"/>
              </w:rPr>
              <w:t>15 i.v.</w:t>
            </w:r>
          </w:p>
        </w:tc>
        <w:tc>
          <w:tcPr>
            <w:tcW w:w="703" w:type="dxa"/>
          </w:tcPr>
          <w:p w:rsidR="00A628B7" w:rsidRPr="00D72855" w:rsidRDefault="00A628B7" w:rsidP="003239C1">
            <w:r w:rsidRPr="00D72855">
              <w:rPr>
                <w:lang w:val="en"/>
              </w:rPr>
              <w:t>1</w:t>
            </w:r>
          </w:p>
        </w:tc>
      </w:tr>
      <w:tr w:rsidR="00A628B7" w:rsidRPr="00D72855" w:rsidTr="00A628B7">
        <w:trPr>
          <w:jc w:val="center"/>
        </w:trPr>
        <w:tc>
          <w:tcPr>
            <w:tcW w:w="1483" w:type="dxa"/>
          </w:tcPr>
          <w:p w:rsidR="00A628B7" w:rsidRPr="00D72855" w:rsidRDefault="00A628B7" w:rsidP="003239C1">
            <w:r w:rsidRPr="00D72855">
              <w:rPr>
                <w:lang w:val="en"/>
              </w:rPr>
              <w:t>1</w:t>
            </w:r>
          </w:p>
        </w:tc>
        <w:tc>
          <w:tcPr>
            <w:tcW w:w="1343" w:type="dxa"/>
          </w:tcPr>
          <w:p w:rsidR="00A628B7" w:rsidRPr="00D72855" w:rsidRDefault="00A628B7" w:rsidP="003239C1">
            <w:r w:rsidRPr="00D72855">
              <w:rPr>
                <w:lang w:val="en"/>
              </w:rPr>
              <w:t>0.75</w:t>
            </w:r>
          </w:p>
        </w:tc>
        <w:tc>
          <w:tcPr>
            <w:tcW w:w="799" w:type="dxa"/>
          </w:tcPr>
          <w:p w:rsidR="00A628B7" w:rsidRPr="00D72855" w:rsidRDefault="00A628B7" w:rsidP="003239C1"/>
        </w:tc>
        <w:tc>
          <w:tcPr>
            <w:tcW w:w="1851" w:type="dxa"/>
          </w:tcPr>
          <w:p w:rsidR="00A628B7" w:rsidRPr="00D72855" w:rsidRDefault="00A628B7" w:rsidP="003239C1">
            <w:r w:rsidRPr="00D72855">
              <w:rPr>
                <w:lang w:val="en"/>
              </w:rPr>
              <w:t>2</w:t>
            </w:r>
          </w:p>
        </w:tc>
        <w:tc>
          <w:tcPr>
            <w:tcW w:w="498" w:type="dxa"/>
          </w:tcPr>
          <w:p w:rsidR="00A628B7" w:rsidRPr="00D72855" w:rsidRDefault="00A628B7" w:rsidP="003239C1"/>
        </w:tc>
        <w:tc>
          <w:tcPr>
            <w:tcW w:w="1851" w:type="dxa"/>
          </w:tcPr>
          <w:p w:rsidR="00A628B7" w:rsidRPr="00D72855" w:rsidRDefault="00A628B7" w:rsidP="003239C1"/>
        </w:tc>
        <w:tc>
          <w:tcPr>
            <w:tcW w:w="703" w:type="dxa"/>
          </w:tcPr>
          <w:p w:rsidR="00A628B7" w:rsidRPr="00D72855" w:rsidRDefault="00A628B7" w:rsidP="003239C1"/>
        </w:tc>
      </w:tr>
      <w:tr w:rsidR="00A628B7" w:rsidRPr="00D72855" w:rsidTr="00A628B7">
        <w:trPr>
          <w:jc w:val="center"/>
        </w:trPr>
        <w:tc>
          <w:tcPr>
            <w:tcW w:w="1483" w:type="dxa"/>
          </w:tcPr>
          <w:p w:rsidR="00A628B7" w:rsidRPr="00D72855" w:rsidRDefault="00A628B7" w:rsidP="003239C1">
            <w:r w:rsidRPr="00D72855">
              <w:rPr>
                <w:lang w:val="en"/>
              </w:rPr>
              <w:t>2</w:t>
            </w:r>
          </w:p>
        </w:tc>
        <w:tc>
          <w:tcPr>
            <w:tcW w:w="1343" w:type="dxa"/>
          </w:tcPr>
          <w:p w:rsidR="00A628B7" w:rsidRPr="00D72855" w:rsidRDefault="00A628B7" w:rsidP="003239C1">
            <w:r w:rsidRPr="00D72855">
              <w:rPr>
                <w:lang w:val="en"/>
              </w:rPr>
              <w:t>0.5</w:t>
            </w:r>
          </w:p>
        </w:tc>
        <w:tc>
          <w:tcPr>
            <w:tcW w:w="799" w:type="dxa"/>
          </w:tcPr>
          <w:p w:rsidR="00A628B7" w:rsidRPr="00D72855" w:rsidRDefault="00A628B7" w:rsidP="003239C1"/>
        </w:tc>
        <w:tc>
          <w:tcPr>
            <w:tcW w:w="1851" w:type="dxa"/>
          </w:tcPr>
          <w:p w:rsidR="00A628B7" w:rsidRPr="00D72855" w:rsidRDefault="00A628B7" w:rsidP="003239C1">
            <w:r w:rsidRPr="00D72855">
              <w:rPr>
                <w:lang w:val="en"/>
              </w:rPr>
              <w:t>2</w:t>
            </w:r>
          </w:p>
        </w:tc>
        <w:tc>
          <w:tcPr>
            <w:tcW w:w="498" w:type="dxa"/>
          </w:tcPr>
          <w:p w:rsidR="00A628B7" w:rsidRPr="00D72855" w:rsidRDefault="00A628B7" w:rsidP="003239C1"/>
        </w:tc>
        <w:tc>
          <w:tcPr>
            <w:tcW w:w="1851" w:type="dxa"/>
          </w:tcPr>
          <w:p w:rsidR="00A628B7" w:rsidRPr="00D72855" w:rsidRDefault="00A628B7" w:rsidP="003239C1">
            <w:r w:rsidRPr="00D72855">
              <w:rPr>
                <w:lang w:val="en"/>
              </w:rPr>
              <w:t>15 i.v.</w:t>
            </w:r>
          </w:p>
        </w:tc>
        <w:tc>
          <w:tcPr>
            <w:tcW w:w="703" w:type="dxa"/>
          </w:tcPr>
          <w:p w:rsidR="00A628B7" w:rsidRPr="00D72855" w:rsidRDefault="00A628B7" w:rsidP="003239C1">
            <w:r w:rsidRPr="00D72855">
              <w:rPr>
                <w:lang w:val="en"/>
              </w:rPr>
              <w:t>2</w:t>
            </w:r>
          </w:p>
        </w:tc>
      </w:tr>
      <w:tr w:rsidR="00A628B7" w:rsidRPr="00D72855" w:rsidTr="00A628B7">
        <w:trPr>
          <w:jc w:val="center"/>
        </w:trPr>
        <w:tc>
          <w:tcPr>
            <w:tcW w:w="1483" w:type="dxa"/>
          </w:tcPr>
          <w:p w:rsidR="00A628B7" w:rsidRPr="00D72855" w:rsidRDefault="00A628B7" w:rsidP="003239C1">
            <w:r w:rsidRPr="00D72855">
              <w:rPr>
                <w:lang w:val="en"/>
              </w:rPr>
              <w:t>4</w:t>
            </w:r>
          </w:p>
        </w:tc>
        <w:tc>
          <w:tcPr>
            <w:tcW w:w="1343" w:type="dxa"/>
          </w:tcPr>
          <w:p w:rsidR="00A628B7" w:rsidRPr="00D72855" w:rsidRDefault="00A628B7" w:rsidP="003239C1">
            <w:r w:rsidRPr="00D72855">
              <w:rPr>
                <w:lang w:val="en"/>
              </w:rPr>
              <w:t>0.4</w:t>
            </w:r>
          </w:p>
        </w:tc>
        <w:tc>
          <w:tcPr>
            <w:tcW w:w="799" w:type="dxa"/>
          </w:tcPr>
          <w:p w:rsidR="00A628B7" w:rsidRPr="00D72855" w:rsidRDefault="00A628B7" w:rsidP="003239C1"/>
        </w:tc>
        <w:tc>
          <w:tcPr>
            <w:tcW w:w="1851" w:type="dxa"/>
          </w:tcPr>
          <w:p w:rsidR="00A628B7" w:rsidRPr="00D72855" w:rsidRDefault="00A628B7" w:rsidP="003239C1">
            <w:r w:rsidRPr="00D72855">
              <w:rPr>
                <w:lang w:val="en"/>
              </w:rPr>
              <w:t>2</w:t>
            </w:r>
          </w:p>
        </w:tc>
        <w:tc>
          <w:tcPr>
            <w:tcW w:w="498" w:type="dxa"/>
          </w:tcPr>
          <w:p w:rsidR="00A628B7" w:rsidRPr="00D72855" w:rsidRDefault="00A628B7" w:rsidP="003239C1"/>
        </w:tc>
        <w:tc>
          <w:tcPr>
            <w:tcW w:w="1851" w:type="dxa"/>
          </w:tcPr>
          <w:p w:rsidR="00A628B7" w:rsidRPr="00D72855" w:rsidRDefault="00A628B7" w:rsidP="003239C1">
            <w:r w:rsidRPr="00D72855">
              <w:rPr>
                <w:lang w:val="en"/>
              </w:rPr>
              <w:t>15 i.v.</w:t>
            </w:r>
          </w:p>
        </w:tc>
        <w:tc>
          <w:tcPr>
            <w:tcW w:w="703" w:type="dxa"/>
          </w:tcPr>
          <w:p w:rsidR="00A628B7" w:rsidRPr="00D72855" w:rsidRDefault="00A628B7" w:rsidP="003239C1">
            <w:r w:rsidRPr="00D72855">
              <w:rPr>
                <w:lang w:val="en"/>
              </w:rPr>
              <w:t>3</w:t>
            </w:r>
          </w:p>
        </w:tc>
      </w:tr>
      <w:tr w:rsidR="00A628B7" w:rsidRPr="00D72855" w:rsidTr="00A628B7">
        <w:trPr>
          <w:jc w:val="center"/>
        </w:trPr>
        <w:tc>
          <w:tcPr>
            <w:tcW w:w="1483" w:type="dxa"/>
          </w:tcPr>
          <w:p w:rsidR="00A628B7" w:rsidRPr="00D72855" w:rsidRDefault="00A628B7" w:rsidP="003239C1">
            <w:r w:rsidRPr="00D72855">
              <w:rPr>
                <w:lang w:val="en"/>
              </w:rPr>
              <w:t>7</w:t>
            </w:r>
          </w:p>
        </w:tc>
        <w:tc>
          <w:tcPr>
            <w:tcW w:w="1343" w:type="dxa"/>
          </w:tcPr>
          <w:p w:rsidR="00A628B7" w:rsidRPr="00D72855" w:rsidRDefault="00A628B7" w:rsidP="003239C1">
            <w:r w:rsidRPr="00D72855">
              <w:rPr>
                <w:lang w:val="en"/>
              </w:rPr>
              <w:t>0.3</w:t>
            </w:r>
          </w:p>
        </w:tc>
        <w:tc>
          <w:tcPr>
            <w:tcW w:w="799" w:type="dxa"/>
          </w:tcPr>
          <w:p w:rsidR="00A628B7" w:rsidRPr="00D72855" w:rsidRDefault="00A628B7" w:rsidP="003239C1"/>
        </w:tc>
        <w:tc>
          <w:tcPr>
            <w:tcW w:w="1851" w:type="dxa"/>
          </w:tcPr>
          <w:p w:rsidR="00A628B7" w:rsidRPr="00D72855" w:rsidRDefault="00A628B7" w:rsidP="003239C1">
            <w:r w:rsidRPr="00D72855">
              <w:rPr>
                <w:lang w:val="en"/>
              </w:rPr>
              <w:t>2</w:t>
            </w:r>
          </w:p>
        </w:tc>
        <w:tc>
          <w:tcPr>
            <w:tcW w:w="498" w:type="dxa"/>
          </w:tcPr>
          <w:p w:rsidR="00A628B7" w:rsidRPr="00D72855" w:rsidRDefault="00A628B7" w:rsidP="003239C1"/>
        </w:tc>
        <w:tc>
          <w:tcPr>
            <w:tcW w:w="1851" w:type="dxa"/>
          </w:tcPr>
          <w:p w:rsidR="00A628B7" w:rsidRPr="00D72855" w:rsidRDefault="00A628B7" w:rsidP="003239C1">
            <w:r w:rsidRPr="00D72855">
              <w:rPr>
                <w:lang w:val="en"/>
              </w:rPr>
              <w:t>15 i.v. or 3x5 p.o.</w:t>
            </w:r>
            <w:r w:rsidRPr="00D72855">
              <w:rPr>
                <w:vertAlign w:val="superscript"/>
                <w:lang w:val="en"/>
              </w:rPr>
              <w:t>3</w:t>
            </w:r>
          </w:p>
        </w:tc>
        <w:tc>
          <w:tcPr>
            <w:tcW w:w="703" w:type="dxa"/>
          </w:tcPr>
          <w:p w:rsidR="00A628B7" w:rsidRPr="00D72855" w:rsidRDefault="00A628B7" w:rsidP="003239C1">
            <w:r w:rsidRPr="00D72855">
              <w:rPr>
                <w:lang w:val="en"/>
              </w:rPr>
              <w:t>4</w:t>
            </w:r>
          </w:p>
        </w:tc>
      </w:tr>
      <w:tr w:rsidR="00A628B7" w:rsidRPr="00D72855" w:rsidTr="00A628B7">
        <w:trPr>
          <w:jc w:val="center"/>
        </w:trPr>
        <w:tc>
          <w:tcPr>
            <w:tcW w:w="1483" w:type="dxa"/>
          </w:tcPr>
          <w:p w:rsidR="00A628B7" w:rsidRPr="00D72855" w:rsidRDefault="00A628B7" w:rsidP="003239C1">
            <w:r w:rsidRPr="00D72855">
              <w:rPr>
                <w:lang w:val="en"/>
              </w:rPr>
              <w:t>10</w:t>
            </w:r>
          </w:p>
        </w:tc>
        <w:tc>
          <w:tcPr>
            <w:tcW w:w="1343" w:type="dxa"/>
          </w:tcPr>
          <w:p w:rsidR="00A628B7" w:rsidRPr="00D72855" w:rsidRDefault="00A628B7" w:rsidP="003239C1">
            <w:r w:rsidRPr="00D72855">
              <w:rPr>
                <w:lang w:val="en"/>
              </w:rPr>
              <w:t>0.28</w:t>
            </w:r>
          </w:p>
        </w:tc>
        <w:tc>
          <w:tcPr>
            <w:tcW w:w="799" w:type="dxa"/>
          </w:tcPr>
          <w:p w:rsidR="00A628B7" w:rsidRPr="00D72855" w:rsidRDefault="00A628B7" w:rsidP="003239C1"/>
        </w:tc>
        <w:tc>
          <w:tcPr>
            <w:tcW w:w="1851" w:type="dxa"/>
          </w:tcPr>
          <w:p w:rsidR="00A628B7" w:rsidRPr="00D72855" w:rsidRDefault="00A628B7" w:rsidP="003239C1">
            <w:r w:rsidRPr="00D72855">
              <w:rPr>
                <w:lang w:val="en"/>
              </w:rPr>
              <w:t>2</w:t>
            </w:r>
          </w:p>
        </w:tc>
        <w:tc>
          <w:tcPr>
            <w:tcW w:w="498" w:type="dxa"/>
          </w:tcPr>
          <w:p w:rsidR="00A628B7" w:rsidRPr="00D72855" w:rsidRDefault="00A628B7" w:rsidP="003239C1"/>
        </w:tc>
        <w:tc>
          <w:tcPr>
            <w:tcW w:w="1851" w:type="dxa"/>
          </w:tcPr>
          <w:p w:rsidR="00A628B7" w:rsidRPr="00D72855" w:rsidRDefault="00A628B7" w:rsidP="003239C1">
            <w:r w:rsidRPr="00D72855">
              <w:rPr>
                <w:lang w:val="en"/>
              </w:rPr>
              <w:t>15 i.v. or 3x5 p.o.</w:t>
            </w:r>
            <w:r w:rsidRPr="00D72855">
              <w:rPr>
                <w:vertAlign w:val="superscript"/>
                <w:lang w:val="en"/>
              </w:rPr>
              <w:t>3</w:t>
            </w:r>
          </w:p>
        </w:tc>
        <w:tc>
          <w:tcPr>
            <w:tcW w:w="703" w:type="dxa"/>
          </w:tcPr>
          <w:p w:rsidR="00A628B7" w:rsidRPr="00D72855" w:rsidRDefault="00A628B7" w:rsidP="003239C1">
            <w:r w:rsidRPr="00D72855">
              <w:rPr>
                <w:lang w:val="en"/>
              </w:rPr>
              <w:t>5</w:t>
            </w:r>
          </w:p>
        </w:tc>
      </w:tr>
      <w:tr w:rsidR="00A628B7" w:rsidRPr="00D72855" w:rsidTr="00A628B7">
        <w:trPr>
          <w:jc w:val="center"/>
        </w:trPr>
        <w:tc>
          <w:tcPr>
            <w:tcW w:w="1483" w:type="dxa"/>
          </w:tcPr>
          <w:p w:rsidR="00A628B7" w:rsidRPr="00D72855" w:rsidRDefault="00A628B7" w:rsidP="003239C1">
            <w:pPr>
              <w:rPr>
                <w:vertAlign w:val="superscript"/>
              </w:rPr>
            </w:pPr>
            <w:r w:rsidRPr="00D72855">
              <w:rPr>
                <w:lang w:val="en"/>
              </w:rPr>
              <w:t>13</w:t>
            </w:r>
            <w:r w:rsidRPr="00D72855">
              <w:rPr>
                <w:vertAlign w:val="superscript"/>
                <w:lang w:val="en"/>
              </w:rPr>
              <w:t>4</w:t>
            </w:r>
          </w:p>
        </w:tc>
        <w:tc>
          <w:tcPr>
            <w:tcW w:w="1343" w:type="dxa"/>
          </w:tcPr>
          <w:p w:rsidR="00A628B7" w:rsidRPr="00D72855" w:rsidRDefault="00A628B7" w:rsidP="003239C1">
            <w:r w:rsidRPr="00D72855">
              <w:rPr>
                <w:lang w:val="en"/>
              </w:rPr>
              <w:t>0.25</w:t>
            </w:r>
          </w:p>
        </w:tc>
        <w:tc>
          <w:tcPr>
            <w:tcW w:w="799" w:type="dxa"/>
          </w:tcPr>
          <w:p w:rsidR="00A628B7" w:rsidRPr="00D72855" w:rsidRDefault="00A628B7" w:rsidP="003239C1"/>
        </w:tc>
        <w:tc>
          <w:tcPr>
            <w:tcW w:w="1851" w:type="dxa"/>
          </w:tcPr>
          <w:p w:rsidR="00A628B7" w:rsidRPr="00D72855" w:rsidRDefault="00A628B7" w:rsidP="003239C1">
            <w:r w:rsidRPr="00D72855">
              <w:rPr>
                <w:lang w:val="en"/>
              </w:rPr>
              <w:t>2</w:t>
            </w:r>
          </w:p>
        </w:tc>
        <w:tc>
          <w:tcPr>
            <w:tcW w:w="498" w:type="dxa"/>
          </w:tcPr>
          <w:p w:rsidR="00A628B7" w:rsidRPr="00D72855" w:rsidRDefault="00A628B7" w:rsidP="003239C1"/>
        </w:tc>
        <w:tc>
          <w:tcPr>
            <w:tcW w:w="1851" w:type="dxa"/>
          </w:tcPr>
          <w:p w:rsidR="00A628B7" w:rsidRPr="00D72855" w:rsidRDefault="00A628B7" w:rsidP="003239C1">
            <w:r w:rsidRPr="00D72855">
              <w:rPr>
                <w:lang w:val="en"/>
              </w:rPr>
              <w:t>15 i.v. or 3x5 p.o.</w:t>
            </w:r>
            <w:r w:rsidRPr="00D72855">
              <w:rPr>
                <w:vertAlign w:val="superscript"/>
                <w:lang w:val="en"/>
              </w:rPr>
              <w:t>3</w:t>
            </w:r>
          </w:p>
        </w:tc>
        <w:tc>
          <w:tcPr>
            <w:tcW w:w="703" w:type="dxa"/>
          </w:tcPr>
          <w:p w:rsidR="00A628B7" w:rsidRPr="00D72855" w:rsidRDefault="00A628B7" w:rsidP="003239C1">
            <w:r w:rsidRPr="00D72855">
              <w:rPr>
                <w:lang w:val="en"/>
              </w:rPr>
              <w:t>6</w:t>
            </w:r>
          </w:p>
        </w:tc>
      </w:tr>
    </w:tbl>
    <w:p w:rsidR="00A628B7" w:rsidRPr="00D72855" w:rsidRDefault="00A628B7" w:rsidP="00A628B7">
      <w:pPr>
        <w:ind w:left="1080"/>
      </w:pPr>
    </w:p>
    <w:p w:rsidR="00A628B7" w:rsidRPr="00D72855" w:rsidRDefault="00A628B7" w:rsidP="00A628B7">
      <w:pPr>
        <w:ind w:left="1080" w:right="992"/>
      </w:pPr>
      <w:r w:rsidRPr="00D72855">
        <w:rPr>
          <w:lang w:val="en"/>
        </w:rPr>
        <w:t>Initial administration of an IV bolus of methylprednisolone is authorized at a dose of 15 mg/kg. If justified, this bolus may be repeated on the 2nd and 3rd days, i.e. a total of 3 boluses maximum, distributed over 3 consecutive days. This decision is left up to the clinician in charge of the patient.</w:t>
      </w:r>
    </w:p>
    <w:p w:rsidR="00A628B7" w:rsidRPr="00D72855" w:rsidRDefault="00A628B7" w:rsidP="00A628B7">
      <w:pPr>
        <w:ind w:left="1080" w:right="992"/>
      </w:pPr>
      <w:r w:rsidRPr="00D72855">
        <w:rPr>
          <w:lang w:val="en"/>
        </w:rPr>
        <w:t>The initial dose of oral prednisolone will be limited to 80 mg/day for patients who weigh more than 80 kg.</w:t>
      </w:r>
    </w:p>
    <w:p w:rsidR="00A628B7" w:rsidRPr="00D72855" w:rsidRDefault="00A628B7" w:rsidP="00A628B7">
      <w:pPr>
        <w:ind w:left="1080"/>
      </w:pPr>
    </w:p>
    <w:p w:rsidR="00A628B7" w:rsidRPr="00D72855" w:rsidRDefault="00A628B7" w:rsidP="00A628B7">
      <w:pPr>
        <w:ind w:left="1080"/>
      </w:pPr>
    </w:p>
    <w:p w:rsidR="00A628B7" w:rsidRPr="00D72855" w:rsidRDefault="00A628B7" w:rsidP="00A628B7">
      <w:pPr>
        <w:ind w:left="1080"/>
        <w:rPr>
          <w:sz w:val="24"/>
        </w:rPr>
      </w:pPr>
      <w:r w:rsidRPr="00D72855">
        <w:rPr>
          <w:sz w:val="24"/>
          <w:u w:val="single"/>
          <w:lang w:val="en"/>
        </w:rPr>
        <w:t>2. Maintenance phase:</w:t>
      </w:r>
      <w:r w:rsidRPr="00D72855">
        <w:rPr>
          <w:sz w:val="24"/>
          <w:lang w:val="en"/>
        </w:rPr>
        <w:t xml:space="preserve"> dose tapering regimen</w:t>
      </w:r>
    </w:p>
    <w:p w:rsidR="00A628B7" w:rsidRPr="00D72855" w:rsidRDefault="00A628B7" w:rsidP="00A628B7">
      <w:pPr>
        <w:ind w:left="1080"/>
      </w:pPr>
    </w:p>
    <w:tbl>
      <w:tblPr>
        <w:tblStyle w:val="TableGrid"/>
        <w:tblW w:w="0" w:type="auto"/>
        <w:tblInd w:w="1080" w:type="dxa"/>
        <w:tblLook w:val="04A0" w:firstRow="1" w:lastRow="0" w:firstColumn="1" w:lastColumn="0" w:noHBand="0" w:noVBand="1"/>
      </w:tblPr>
      <w:tblGrid>
        <w:gridCol w:w="1629"/>
        <w:gridCol w:w="2795"/>
        <w:gridCol w:w="1351"/>
      </w:tblGrid>
      <w:tr w:rsidR="00A628B7" w:rsidRPr="00D72855" w:rsidTr="003239C1">
        <w:tc>
          <w:tcPr>
            <w:tcW w:w="1629" w:type="dxa"/>
          </w:tcPr>
          <w:p w:rsidR="00A628B7" w:rsidRPr="00D72855" w:rsidRDefault="00A628B7" w:rsidP="003239C1">
            <w:r w:rsidRPr="00D72855">
              <w:rPr>
                <w:lang w:val="en"/>
              </w:rPr>
              <w:t>Time from entry</w:t>
            </w:r>
          </w:p>
          <w:p w:rsidR="00A628B7" w:rsidRPr="00D72855" w:rsidRDefault="00A628B7" w:rsidP="003239C1">
            <w:r w:rsidRPr="00D72855">
              <w:rPr>
                <w:lang w:val="en"/>
              </w:rPr>
              <w:t>(months)</w:t>
            </w:r>
          </w:p>
        </w:tc>
        <w:tc>
          <w:tcPr>
            <w:tcW w:w="2795" w:type="dxa"/>
          </w:tcPr>
          <w:p w:rsidR="00A628B7" w:rsidRPr="00D72855" w:rsidRDefault="00A628B7" w:rsidP="003239C1">
            <w:r w:rsidRPr="00D72855">
              <w:rPr>
                <w:lang w:val="en"/>
              </w:rPr>
              <w:t>Action</w:t>
            </w:r>
          </w:p>
        </w:tc>
        <w:tc>
          <w:tcPr>
            <w:tcW w:w="1351" w:type="dxa"/>
          </w:tcPr>
          <w:p w:rsidR="00A628B7" w:rsidRPr="00D72855" w:rsidRDefault="00A628B7" w:rsidP="003239C1">
            <w:r w:rsidRPr="00D72855">
              <w:rPr>
                <w:lang w:val="en"/>
              </w:rPr>
              <w:t>Prednisolone</w:t>
            </w:r>
          </w:p>
          <w:p w:rsidR="00A628B7" w:rsidRPr="00D72855" w:rsidRDefault="00A628B7" w:rsidP="003239C1">
            <w:r w:rsidRPr="00D72855">
              <w:rPr>
                <w:lang w:val="en"/>
              </w:rPr>
              <w:t>(Pred)</w:t>
            </w:r>
          </w:p>
          <w:p w:rsidR="00A628B7" w:rsidRPr="00D72855" w:rsidRDefault="00A628B7" w:rsidP="003239C1">
            <w:r w:rsidRPr="00D72855">
              <w:rPr>
                <w:lang w:val="en"/>
              </w:rPr>
              <w:t>(mg/day)</w:t>
            </w:r>
          </w:p>
        </w:tc>
      </w:tr>
      <w:tr w:rsidR="00A628B7" w:rsidRPr="00D72855" w:rsidTr="003239C1">
        <w:tc>
          <w:tcPr>
            <w:tcW w:w="1629" w:type="dxa"/>
          </w:tcPr>
          <w:p w:rsidR="00A628B7" w:rsidRPr="00D72855" w:rsidRDefault="00A628B7" w:rsidP="003239C1">
            <w:r w:rsidRPr="00D72855">
              <w:rPr>
                <w:lang w:val="en"/>
              </w:rPr>
              <w:t>3</w:t>
            </w:r>
          </w:p>
        </w:tc>
        <w:tc>
          <w:tcPr>
            <w:tcW w:w="2795" w:type="dxa"/>
          </w:tcPr>
          <w:p w:rsidR="00A628B7" w:rsidRPr="00D72855" w:rsidRDefault="00A628B7" w:rsidP="003239C1">
            <w:r w:rsidRPr="00D72855">
              <w:rPr>
                <w:lang w:val="en"/>
              </w:rPr>
              <w:t>Reduce Pred. start MMF/AZA</w:t>
            </w:r>
          </w:p>
        </w:tc>
        <w:tc>
          <w:tcPr>
            <w:tcW w:w="1351" w:type="dxa"/>
          </w:tcPr>
          <w:p w:rsidR="00A628B7" w:rsidRPr="00D72855" w:rsidRDefault="00A628B7" w:rsidP="003239C1">
            <w:r w:rsidRPr="00D72855">
              <w:rPr>
                <w:lang w:val="en"/>
              </w:rPr>
              <w:t>15</w:t>
            </w:r>
          </w:p>
        </w:tc>
      </w:tr>
      <w:tr w:rsidR="00A628B7" w:rsidRPr="00D72855" w:rsidTr="003239C1">
        <w:tc>
          <w:tcPr>
            <w:tcW w:w="1629" w:type="dxa"/>
          </w:tcPr>
          <w:p w:rsidR="00A628B7" w:rsidRPr="00D72855" w:rsidRDefault="00A628B7" w:rsidP="003239C1">
            <w:r w:rsidRPr="00D72855">
              <w:rPr>
                <w:lang w:val="en"/>
              </w:rPr>
              <w:t>4</w:t>
            </w:r>
          </w:p>
        </w:tc>
        <w:tc>
          <w:tcPr>
            <w:tcW w:w="2795" w:type="dxa"/>
          </w:tcPr>
          <w:p w:rsidR="00A628B7" w:rsidRPr="00D72855" w:rsidRDefault="00A628B7" w:rsidP="003239C1">
            <w:r w:rsidRPr="00D72855">
              <w:rPr>
                <w:lang w:val="en"/>
              </w:rPr>
              <w:t>Reduce Pred</w:t>
            </w:r>
          </w:p>
        </w:tc>
        <w:tc>
          <w:tcPr>
            <w:tcW w:w="1351" w:type="dxa"/>
          </w:tcPr>
          <w:p w:rsidR="00A628B7" w:rsidRPr="00D72855" w:rsidRDefault="00A628B7" w:rsidP="003239C1">
            <w:r w:rsidRPr="00D72855">
              <w:rPr>
                <w:lang w:val="en"/>
              </w:rPr>
              <w:t>12.5</w:t>
            </w:r>
          </w:p>
        </w:tc>
      </w:tr>
      <w:tr w:rsidR="00A628B7" w:rsidRPr="00D72855" w:rsidTr="003239C1">
        <w:tc>
          <w:tcPr>
            <w:tcW w:w="1629" w:type="dxa"/>
          </w:tcPr>
          <w:p w:rsidR="00A628B7" w:rsidRPr="00D72855" w:rsidRDefault="00A628B7" w:rsidP="003239C1">
            <w:r w:rsidRPr="00D72855">
              <w:rPr>
                <w:lang w:val="en"/>
              </w:rPr>
              <w:t>5</w:t>
            </w:r>
          </w:p>
        </w:tc>
        <w:tc>
          <w:tcPr>
            <w:tcW w:w="2795" w:type="dxa"/>
          </w:tcPr>
          <w:p w:rsidR="00A628B7" w:rsidRPr="00D72855" w:rsidRDefault="00A628B7" w:rsidP="003239C1">
            <w:r w:rsidRPr="00D72855">
              <w:rPr>
                <w:lang w:val="en"/>
              </w:rPr>
              <w:t>Reduce Pred</w:t>
            </w:r>
          </w:p>
        </w:tc>
        <w:tc>
          <w:tcPr>
            <w:tcW w:w="1351" w:type="dxa"/>
          </w:tcPr>
          <w:p w:rsidR="00A628B7" w:rsidRPr="00D72855" w:rsidRDefault="00A628B7" w:rsidP="003239C1">
            <w:r w:rsidRPr="00D72855">
              <w:rPr>
                <w:lang w:val="en"/>
              </w:rPr>
              <w:t>10</w:t>
            </w:r>
          </w:p>
        </w:tc>
      </w:tr>
      <w:tr w:rsidR="00A628B7" w:rsidRPr="00D72855" w:rsidTr="003239C1">
        <w:tc>
          <w:tcPr>
            <w:tcW w:w="1629" w:type="dxa"/>
          </w:tcPr>
          <w:p w:rsidR="00A628B7" w:rsidRPr="00D72855" w:rsidRDefault="00A628B7" w:rsidP="003239C1">
            <w:r w:rsidRPr="00D72855">
              <w:rPr>
                <w:lang w:val="en"/>
              </w:rPr>
              <w:t>6</w:t>
            </w:r>
          </w:p>
        </w:tc>
        <w:tc>
          <w:tcPr>
            <w:tcW w:w="2795" w:type="dxa"/>
          </w:tcPr>
          <w:p w:rsidR="00A628B7" w:rsidRPr="00D72855" w:rsidRDefault="00A628B7" w:rsidP="003239C1">
            <w:r w:rsidRPr="00D72855">
              <w:rPr>
                <w:lang w:val="en"/>
              </w:rPr>
              <w:t>Reduce Pred</w:t>
            </w:r>
          </w:p>
        </w:tc>
        <w:tc>
          <w:tcPr>
            <w:tcW w:w="1351" w:type="dxa"/>
          </w:tcPr>
          <w:p w:rsidR="00A628B7" w:rsidRPr="00D72855" w:rsidRDefault="00A628B7" w:rsidP="003239C1">
            <w:r w:rsidRPr="00D72855">
              <w:rPr>
                <w:lang w:val="en"/>
              </w:rPr>
              <w:t>7.5</w:t>
            </w:r>
          </w:p>
        </w:tc>
      </w:tr>
      <w:tr w:rsidR="00A628B7" w:rsidRPr="00D72855" w:rsidTr="003239C1">
        <w:tc>
          <w:tcPr>
            <w:tcW w:w="1629" w:type="dxa"/>
          </w:tcPr>
          <w:p w:rsidR="00A628B7" w:rsidRPr="00D72855" w:rsidRDefault="00A628B7" w:rsidP="003239C1">
            <w:r w:rsidRPr="00D72855">
              <w:rPr>
                <w:lang w:val="en"/>
              </w:rPr>
              <w:t>12</w:t>
            </w:r>
          </w:p>
        </w:tc>
        <w:tc>
          <w:tcPr>
            <w:tcW w:w="2795" w:type="dxa"/>
          </w:tcPr>
          <w:p w:rsidR="00A628B7" w:rsidRPr="00D72855" w:rsidRDefault="00A628B7" w:rsidP="003239C1">
            <w:r w:rsidRPr="00D72855">
              <w:rPr>
                <w:lang w:val="en"/>
              </w:rPr>
              <w:t>Reduce Pred and MMF/AZA</w:t>
            </w:r>
          </w:p>
        </w:tc>
        <w:tc>
          <w:tcPr>
            <w:tcW w:w="1351" w:type="dxa"/>
          </w:tcPr>
          <w:p w:rsidR="00A628B7" w:rsidRPr="00D72855" w:rsidRDefault="00A628B7" w:rsidP="003239C1">
            <w:r w:rsidRPr="00D72855">
              <w:rPr>
                <w:lang w:val="en"/>
              </w:rPr>
              <w:t>5</w:t>
            </w:r>
          </w:p>
        </w:tc>
      </w:tr>
      <w:tr w:rsidR="00A628B7" w:rsidRPr="00D72855" w:rsidTr="003239C1">
        <w:tc>
          <w:tcPr>
            <w:tcW w:w="1629" w:type="dxa"/>
          </w:tcPr>
          <w:p w:rsidR="00A628B7" w:rsidRPr="00D72855" w:rsidRDefault="00A628B7" w:rsidP="003239C1">
            <w:r w:rsidRPr="00D72855">
              <w:rPr>
                <w:lang w:val="en"/>
              </w:rPr>
              <w:t>18</w:t>
            </w:r>
          </w:p>
        </w:tc>
        <w:tc>
          <w:tcPr>
            <w:tcW w:w="2795" w:type="dxa"/>
          </w:tcPr>
          <w:p w:rsidR="00A628B7" w:rsidRPr="00D72855" w:rsidRDefault="00A628B7" w:rsidP="003239C1">
            <w:r w:rsidRPr="00D72855">
              <w:rPr>
                <w:lang w:val="en"/>
              </w:rPr>
              <w:t>Reduce Pred and MMF/AZA</w:t>
            </w:r>
          </w:p>
        </w:tc>
        <w:tc>
          <w:tcPr>
            <w:tcW w:w="1351" w:type="dxa"/>
          </w:tcPr>
          <w:p w:rsidR="00A628B7" w:rsidRPr="00D72855" w:rsidRDefault="00A628B7" w:rsidP="003239C1">
            <w:r w:rsidRPr="00D72855">
              <w:rPr>
                <w:lang w:val="en"/>
              </w:rPr>
              <w:t>2.5</w:t>
            </w:r>
          </w:p>
        </w:tc>
      </w:tr>
      <w:tr w:rsidR="00A628B7" w:rsidRPr="00D72855" w:rsidTr="003239C1">
        <w:tc>
          <w:tcPr>
            <w:tcW w:w="1629" w:type="dxa"/>
          </w:tcPr>
          <w:p w:rsidR="00A628B7" w:rsidRPr="00D72855" w:rsidRDefault="00A628B7" w:rsidP="003239C1">
            <w:r w:rsidRPr="00D72855">
              <w:rPr>
                <w:lang w:val="en"/>
              </w:rPr>
              <w:t>24</w:t>
            </w:r>
          </w:p>
        </w:tc>
        <w:tc>
          <w:tcPr>
            <w:tcW w:w="2795" w:type="dxa"/>
          </w:tcPr>
          <w:p w:rsidR="00A628B7" w:rsidRPr="00D72855" w:rsidRDefault="00A628B7" w:rsidP="003239C1">
            <w:r w:rsidRPr="00D72855">
              <w:rPr>
                <w:lang w:val="en"/>
              </w:rPr>
              <w:t>Stop Pred</w:t>
            </w:r>
          </w:p>
        </w:tc>
        <w:tc>
          <w:tcPr>
            <w:tcW w:w="1351" w:type="dxa"/>
          </w:tcPr>
          <w:p w:rsidR="00A628B7" w:rsidRPr="00D72855" w:rsidRDefault="00A628B7" w:rsidP="003239C1">
            <w:r w:rsidRPr="00D72855">
              <w:rPr>
                <w:lang w:val="en"/>
              </w:rPr>
              <w:t>0</w:t>
            </w:r>
          </w:p>
        </w:tc>
      </w:tr>
      <w:tr w:rsidR="00A628B7" w:rsidRPr="00D72855" w:rsidTr="003239C1">
        <w:tc>
          <w:tcPr>
            <w:tcW w:w="1629" w:type="dxa"/>
          </w:tcPr>
          <w:p w:rsidR="00A628B7" w:rsidRPr="00D72855" w:rsidRDefault="00A628B7" w:rsidP="003239C1">
            <w:r w:rsidRPr="00D72855">
              <w:rPr>
                <w:lang w:val="en"/>
              </w:rPr>
              <w:t>42</w:t>
            </w:r>
          </w:p>
        </w:tc>
        <w:tc>
          <w:tcPr>
            <w:tcW w:w="2795" w:type="dxa"/>
          </w:tcPr>
          <w:p w:rsidR="00A628B7" w:rsidRPr="00D72855" w:rsidRDefault="00A628B7" w:rsidP="003239C1">
            <w:r w:rsidRPr="00D72855">
              <w:rPr>
                <w:lang w:val="en"/>
              </w:rPr>
              <w:t>Stop MMF/AZA</w:t>
            </w:r>
          </w:p>
        </w:tc>
        <w:tc>
          <w:tcPr>
            <w:tcW w:w="1351" w:type="dxa"/>
          </w:tcPr>
          <w:p w:rsidR="00A628B7" w:rsidRPr="00D72855" w:rsidRDefault="00A628B7" w:rsidP="003239C1">
            <w:r w:rsidRPr="00D72855">
              <w:rPr>
                <w:lang w:val="en"/>
              </w:rPr>
              <w:t>0</w:t>
            </w:r>
          </w:p>
        </w:tc>
      </w:tr>
      <w:tr w:rsidR="00A628B7" w:rsidRPr="00D72855" w:rsidTr="003239C1">
        <w:tc>
          <w:tcPr>
            <w:tcW w:w="1629" w:type="dxa"/>
          </w:tcPr>
          <w:p w:rsidR="00A628B7" w:rsidRPr="00D72855" w:rsidRDefault="00A628B7" w:rsidP="003239C1">
            <w:r w:rsidRPr="00D72855">
              <w:rPr>
                <w:lang w:val="en"/>
              </w:rPr>
              <w:t>48</w:t>
            </w:r>
            <w:r w:rsidRPr="00D72855">
              <w:rPr>
                <w:vertAlign w:val="superscript"/>
                <w:lang w:val="en"/>
              </w:rPr>
              <w:t>3</w:t>
            </w:r>
          </w:p>
        </w:tc>
        <w:tc>
          <w:tcPr>
            <w:tcW w:w="2795" w:type="dxa"/>
          </w:tcPr>
          <w:p w:rsidR="00A628B7" w:rsidRPr="00D72855" w:rsidRDefault="00A628B7" w:rsidP="003239C1">
            <w:r w:rsidRPr="00D72855">
              <w:rPr>
                <w:lang w:val="en"/>
              </w:rPr>
              <w:t>Study end</w:t>
            </w:r>
          </w:p>
        </w:tc>
        <w:tc>
          <w:tcPr>
            <w:tcW w:w="1351" w:type="dxa"/>
          </w:tcPr>
          <w:p w:rsidR="00A628B7" w:rsidRPr="00D72855" w:rsidRDefault="00A628B7" w:rsidP="003239C1">
            <w:r w:rsidRPr="00D72855">
              <w:rPr>
                <w:lang w:val="en"/>
              </w:rPr>
              <w:t>0</w:t>
            </w:r>
          </w:p>
        </w:tc>
      </w:tr>
    </w:tbl>
    <w:p w:rsidR="00A628B7" w:rsidRDefault="00A628B7" w:rsidP="00A628B7"/>
    <w:p w:rsidR="00CD39A7" w:rsidRDefault="00CD39A7" w:rsidP="004D1AC1">
      <w:pPr>
        <w:pStyle w:val="Heading1"/>
        <w:spacing w:before="77" w:line="322" w:lineRule="exact"/>
        <w:ind w:left="871"/>
        <w:jc w:val="left"/>
        <w:rPr>
          <w:lang w:val="en"/>
        </w:rPr>
      </w:pPr>
    </w:p>
    <w:p w:rsidR="00A628B7" w:rsidRDefault="00A628B7" w:rsidP="004D1AC1">
      <w:pPr>
        <w:pStyle w:val="Heading1"/>
        <w:spacing w:before="77" w:line="322" w:lineRule="exact"/>
        <w:ind w:left="871"/>
        <w:jc w:val="left"/>
        <w:rPr>
          <w:b w:val="0"/>
        </w:rPr>
      </w:pPr>
    </w:p>
    <w:p w:rsidR="00CD39A7" w:rsidRDefault="00CD39A7">
      <w:pPr>
        <w:spacing w:line="322" w:lineRule="exact"/>
        <w:jc w:val="center"/>
        <w:rPr>
          <w:sz w:val="28"/>
        </w:rPr>
        <w:sectPr w:rsidR="00CD39A7">
          <w:footerReference w:type="default" r:id="rId17"/>
          <w:pgSz w:w="11910" w:h="16840"/>
          <w:pgMar w:top="1560" w:right="480" w:bottom="940" w:left="940" w:header="0" w:footer="748" w:gutter="0"/>
          <w:cols w:space="720"/>
        </w:sectPr>
      </w:pPr>
    </w:p>
    <w:p w:rsidR="00B14EF1" w:rsidRDefault="00B14EF1" w:rsidP="00B14EF1">
      <w:pPr>
        <w:jc w:val="center"/>
        <w:rPr>
          <w:sz w:val="28"/>
          <w:szCs w:val="28"/>
        </w:rPr>
      </w:pPr>
      <w:bookmarkStart w:id="180" w:name="Annexe_VI_–_Formulaire_d’engagement_scie"/>
      <w:bookmarkEnd w:id="180"/>
      <w:r>
        <w:rPr>
          <w:b/>
          <w:bCs/>
          <w:sz w:val="28"/>
          <w:szCs w:val="28"/>
          <w:lang w:val="en"/>
        </w:rPr>
        <w:lastRenderedPageBreak/>
        <w:t>Appendix VI – Scientific Agreement Form, with e-CRF</w:t>
      </w:r>
    </w:p>
    <w:p w:rsidR="00B14EF1" w:rsidRDefault="001A5673" w:rsidP="00B14EF1">
      <w:pPr>
        <w:ind w:left="4320"/>
        <w:jc w:val="center"/>
        <w:rPr>
          <w:sz w:val="28"/>
          <w:szCs w:val="28"/>
        </w:rPr>
      </w:pPr>
      <w:r>
        <w:rPr>
          <w:noProof/>
        </w:rPr>
        <w:pict>
          <v:shape id="_x0000_s1177" type="#_x0000_t202" style="position:absolute;left:0;text-align:left;margin-left:-24pt;margin-top:10.9pt;width:203.4pt;height:3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" strokeweight="1pt">
            <v:textbox>
              <w:txbxContent>
                <w:p w:rsidR="003239C1" w:rsidRDefault="003239C1" w:rsidP="00B14EF1">
                  <w:pPr>
                    <w:rPr>
                      <w:b/>
                      <w:i/>
                      <w:sz w:val="24"/>
                    </w:rPr>
                  </w:pPr>
                  <w:r>
                    <w:rPr>
                      <w:b/>
                      <w:bCs/>
                      <w:i/>
                      <w:iCs/>
                      <w:sz w:val="24"/>
                      <w:lang w:val="en"/>
                    </w:rPr>
                    <w:t>SCIENTIFIC AGREEMENT FORM</w:t>
                  </w:r>
                </w:p>
              </w:txbxContent>
            </v:textbox>
          </v:shape>
        </w:pict>
      </w:r>
      <w:r w:rsidR="00B14EF1">
        <w:rPr>
          <w:b/>
          <w:bCs/>
          <w:i/>
          <w:iCs/>
          <w:noProof/>
          <w:sz w:val="24"/>
          <w:lang w:val="en-GB" w:eastAsia="en-GB"/>
        </w:rPr>
        <w:drawing>
          <wp:inline distT="0" distB="0" distL="0" distR="0" wp14:anchorId="29A07797" wp14:editId="0C1894E1">
            <wp:extent cx="3106703" cy="655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8991" cy="657912"/>
                    </a:xfrm>
                    <a:prstGeom prst="rect">
                      <a:avLst/>
                    </a:prstGeom>
                    <a:noFill/>
                    <a:ln>
                      <a:noFill/>
                    </a:ln>
                  </pic:spPr>
                </pic:pic>
              </a:graphicData>
            </a:graphic>
          </wp:inline>
        </w:drawing>
      </w:r>
    </w:p>
    <w:p w:rsidR="00B14EF1" w:rsidRDefault="00B14EF1" w:rsidP="00B14EF1">
      <w:pPr>
        <w:rPr>
          <w:sz w:val="16"/>
          <w:szCs w:val="16"/>
        </w:rPr>
      </w:pPr>
    </w:p>
    <w:p w:rsidR="00B14EF1" w:rsidRDefault="00B14EF1" w:rsidP="00B14EF1">
      <w:pPr>
        <w:ind w:left="-450"/>
        <w:rPr>
          <w:b/>
          <w:sz w:val="24"/>
        </w:rPr>
      </w:pPr>
      <w:r>
        <w:rPr>
          <w:b/>
          <w:bCs/>
          <w:sz w:val="24"/>
          <w:lang w:val="en"/>
        </w:rPr>
        <w:t>Biomedical research study code: P............................</w:t>
      </w:r>
    </w:p>
    <w:p w:rsidR="00B14EF1" w:rsidRDefault="00B14EF1" w:rsidP="00B14EF1">
      <w:pPr>
        <w:ind w:left="-450"/>
        <w:rPr>
          <w:b/>
          <w:sz w:val="16"/>
          <w:szCs w:val="16"/>
        </w:rPr>
      </w:pPr>
    </w:p>
    <w:p w:rsidR="00B14EF1" w:rsidRDefault="00B14EF1" w:rsidP="00B14EF1">
      <w:pPr>
        <w:ind w:left="-450"/>
        <w:rPr>
          <w:b/>
          <w:sz w:val="24"/>
        </w:rPr>
      </w:pPr>
      <w:r>
        <w:rPr>
          <w:b/>
          <w:bCs/>
          <w:sz w:val="24"/>
          <w:lang w:val="en"/>
        </w:rPr>
        <w:t>Study title:………………………………………………………………………………….</w:t>
      </w:r>
      <w:r>
        <w:rPr>
          <w:sz w:val="24"/>
          <w:lang w:val="en"/>
        </w:rPr>
        <w:br/>
      </w:r>
      <w:r>
        <w:rPr>
          <w:b/>
          <w:bCs/>
          <w:sz w:val="24"/>
          <w:lang w:val="en"/>
        </w:rPr>
        <w:t>………………………………………………………………………………………………</w:t>
      </w:r>
      <w:r>
        <w:rPr>
          <w:sz w:val="24"/>
          <w:lang w:val="en"/>
        </w:rPr>
        <w:br/>
      </w:r>
      <w:r>
        <w:rPr>
          <w:b/>
          <w:bCs/>
          <w:sz w:val="24"/>
          <w:lang w:val="en"/>
        </w:rPr>
        <w:t>………………………………………………………………………………………………</w:t>
      </w:r>
    </w:p>
    <w:p w:rsidR="00B14EF1" w:rsidRDefault="001A5673" w:rsidP="00B14EF1">
      <w:pPr>
        <w:rPr>
          <w:b/>
          <w:sz w:val="24"/>
        </w:rPr>
      </w:pPr>
      <w:r>
        <w:rPr>
          <w:noProof/>
        </w:rPr>
        <w:pict>
          <v:shape id="_x0000_s1176" type="#_x0000_t202" style="position:absolute;margin-left:34.2pt;margin-top:3.4pt;width:328.2pt;height:20.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XtJQIAAEs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">
            <v:textbox>
              <w:txbxContent>
                <w:p w:rsidR="003239C1" w:rsidRDefault="003239C1" w:rsidP="00B14EF1">
                  <w:r>
                    <w:rPr>
                      <w:lang w:val="en"/>
                    </w:rPr>
                    <w:t>Protocol version number and date:</w:t>
                  </w:r>
                </w:p>
              </w:txbxContent>
            </v:textbox>
          </v:shape>
        </w:pict>
      </w:r>
    </w:p>
    <w:p w:rsidR="00B14EF1" w:rsidRDefault="00B14EF1" w:rsidP="00B14EF1">
      <w:pPr>
        <w:jc w:val="center"/>
        <w:rPr>
          <w:b/>
          <w:sz w:val="24"/>
        </w:rPr>
      </w:pPr>
    </w:p>
    <w:p w:rsidR="00B14EF1" w:rsidRPr="00EC6C99" w:rsidRDefault="00B14EF1" w:rsidP="00B14EF1">
      <w:pPr>
        <w:pStyle w:val="ListParagraph"/>
        <w:widowControl/>
        <w:numPr>
          <w:ilvl w:val="0"/>
          <w:numId w:val="49"/>
        </w:numPr>
        <w:autoSpaceDE/>
        <w:autoSpaceDN/>
        <w:ind w:left="360"/>
        <w:contextualSpacing/>
        <w:rPr>
          <w:sz w:val="19"/>
          <w:szCs w:val="19"/>
        </w:rPr>
      </w:pPr>
      <w:r w:rsidRPr="00EC6C99">
        <w:rPr>
          <w:sz w:val="19"/>
          <w:szCs w:val="19"/>
          <w:lang w:val="en"/>
        </w:rPr>
        <w:t>The investigator declares to direct and supervise the conduct of the above-mentioned biomedical research study at his/her research site.</w:t>
      </w:r>
    </w:p>
    <w:p w:rsidR="00B14EF1" w:rsidRPr="00EC6C99" w:rsidRDefault="00B14EF1" w:rsidP="00B14EF1">
      <w:pPr>
        <w:pStyle w:val="ListParagraph"/>
        <w:widowControl/>
        <w:numPr>
          <w:ilvl w:val="0"/>
          <w:numId w:val="49"/>
        </w:numPr>
        <w:autoSpaceDE/>
        <w:autoSpaceDN/>
        <w:ind w:left="360"/>
        <w:contextualSpacing/>
        <w:rPr>
          <w:sz w:val="19"/>
          <w:szCs w:val="19"/>
        </w:rPr>
      </w:pPr>
      <w:r w:rsidRPr="00EC6C99">
        <w:rPr>
          <w:sz w:val="19"/>
          <w:szCs w:val="19"/>
          <w:lang w:val="en"/>
        </w:rPr>
        <w:t>The investigator is qualified by his/her training and his/her professional experience to conduct this research as demonstrated by the signed and dated curriculum vitae (with his/her registration number from the Ordre des Médecins [French medical association] and his/her Adeli number [health professional registration]), which he/she has provided to the sponsor.</w:t>
      </w:r>
    </w:p>
    <w:p w:rsidR="00B14EF1" w:rsidRPr="00EC6C99" w:rsidRDefault="00B14EF1" w:rsidP="00B14EF1">
      <w:pPr>
        <w:pStyle w:val="ListParagraph"/>
        <w:widowControl/>
        <w:numPr>
          <w:ilvl w:val="0"/>
          <w:numId w:val="49"/>
        </w:numPr>
        <w:autoSpaceDE/>
        <w:autoSpaceDN/>
        <w:ind w:left="360"/>
        <w:contextualSpacing/>
        <w:rPr>
          <w:sz w:val="19"/>
          <w:szCs w:val="19"/>
        </w:rPr>
      </w:pPr>
      <w:r w:rsidRPr="00EC6C99">
        <w:rPr>
          <w:sz w:val="19"/>
          <w:szCs w:val="19"/>
          <w:lang w:val="en"/>
        </w:rPr>
        <w:t>The investigator certifies that he/she is committed to conducting this research according to Good Clinical Practices and in accordance with the Law dated 20 December 1988 amended by Law 2004-806 dated 9 August 2004, its decrees and implementing legislation.</w:t>
      </w:r>
    </w:p>
    <w:p w:rsidR="00B14EF1" w:rsidRPr="00EC6C99" w:rsidRDefault="00B14EF1" w:rsidP="00B14EF1">
      <w:pPr>
        <w:pStyle w:val="ListParagraph"/>
        <w:widowControl/>
        <w:numPr>
          <w:ilvl w:val="0"/>
          <w:numId w:val="49"/>
        </w:numPr>
        <w:autoSpaceDE/>
        <w:autoSpaceDN/>
        <w:ind w:left="360"/>
        <w:contextualSpacing/>
        <w:rPr>
          <w:sz w:val="19"/>
          <w:szCs w:val="19"/>
        </w:rPr>
      </w:pPr>
      <w:r w:rsidRPr="00EC6C99">
        <w:rPr>
          <w:sz w:val="19"/>
          <w:szCs w:val="19"/>
          <w:lang w:val="en"/>
        </w:rPr>
        <w:t>The investigator agrees to respect the laws of medical ethics defined by the World Medical Association in the Declaration of Helsinki and the rules of confidentiality.</w:t>
      </w:r>
    </w:p>
    <w:p w:rsidR="00B14EF1" w:rsidRPr="00EC6C99" w:rsidRDefault="00B14EF1" w:rsidP="00B14EF1">
      <w:pPr>
        <w:pStyle w:val="ListParagraph"/>
        <w:widowControl/>
        <w:numPr>
          <w:ilvl w:val="0"/>
          <w:numId w:val="49"/>
        </w:numPr>
        <w:autoSpaceDE/>
        <w:autoSpaceDN/>
        <w:ind w:left="360"/>
        <w:contextualSpacing/>
        <w:rPr>
          <w:sz w:val="19"/>
          <w:szCs w:val="19"/>
        </w:rPr>
      </w:pPr>
      <w:r w:rsidRPr="00EC6C99">
        <w:rPr>
          <w:sz w:val="19"/>
          <w:szCs w:val="19"/>
          <w:lang w:val="en"/>
        </w:rPr>
        <w:t>The investigator is aware of the prerequisites of this research, the protocol and its appendices. In particular, he/she agrees to follow the protocol during the research and to ensure proper management of the study products where necessary.</w:t>
      </w:r>
    </w:p>
    <w:p w:rsidR="00B14EF1" w:rsidRPr="00EC6C99" w:rsidRDefault="00B14EF1" w:rsidP="00B14EF1">
      <w:pPr>
        <w:pStyle w:val="ListParagraph"/>
        <w:widowControl/>
        <w:numPr>
          <w:ilvl w:val="0"/>
          <w:numId w:val="49"/>
        </w:numPr>
        <w:autoSpaceDE/>
        <w:autoSpaceDN/>
        <w:ind w:left="360"/>
        <w:contextualSpacing/>
        <w:rPr>
          <w:sz w:val="19"/>
          <w:szCs w:val="19"/>
        </w:rPr>
      </w:pPr>
      <w:r w:rsidRPr="00EC6C99">
        <w:rPr>
          <w:sz w:val="19"/>
          <w:szCs w:val="19"/>
          <w:lang w:val="en"/>
        </w:rPr>
        <w:t>The investigator acknowledges receipt of all necessary information for proper use of the CleanWEB™ online case report form and agrees not to disclose his/her personal login and password to a third party.</w:t>
      </w:r>
    </w:p>
    <w:p w:rsidR="00B14EF1" w:rsidRPr="00EC6C99" w:rsidRDefault="00B14EF1" w:rsidP="00B14EF1">
      <w:pPr>
        <w:pStyle w:val="ListParagraph"/>
        <w:widowControl/>
        <w:numPr>
          <w:ilvl w:val="0"/>
          <w:numId w:val="49"/>
        </w:numPr>
        <w:autoSpaceDE/>
        <w:autoSpaceDN/>
        <w:ind w:left="360"/>
        <w:contextualSpacing/>
        <w:rPr>
          <w:sz w:val="19"/>
          <w:szCs w:val="19"/>
        </w:rPr>
      </w:pPr>
      <w:r w:rsidRPr="00EC6C99">
        <w:rPr>
          <w:sz w:val="19"/>
          <w:szCs w:val="19"/>
          <w:lang w:val="en"/>
        </w:rPr>
        <w:t>The investigator certifies that he/she has the means necessary to properly conduct this research in terms of availability, staff, recruitment of individuals, technical facilities and environment.</w:t>
      </w:r>
    </w:p>
    <w:p w:rsidR="00B14EF1" w:rsidRPr="00EC6C99" w:rsidRDefault="00B14EF1" w:rsidP="00B14EF1">
      <w:pPr>
        <w:pStyle w:val="ListParagraph"/>
        <w:widowControl/>
        <w:numPr>
          <w:ilvl w:val="0"/>
          <w:numId w:val="49"/>
        </w:numPr>
        <w:autoSpaceDE/>
        <w:autoSpaceDN/>
        <w:ind w:left="360"/>
        <w:contextualSpacing/>
        <w:rPr>
          <w:sz w:val="19"/>
          <w:szCs w:val="19"/>
        </w:rPr>
      </w:pPr>
      <w:r w:rsidRPr="00EC6C99">
        <w:rPr>
          <w:sz w:val="19"/>
          <w:szCs w:val="19"/>
          <w:lang w:val="en"/>
        </w:rPr>
        <w:t>The investigator agrees to obtain the free and informed consent of any individual who may participate in the research or his/her legal representative, as applicable. This consent will be obtained by the investigator himself/herself or by his/her designated collaborating physicians, after providing the individual with objective information, the informed documents, and being notified in writing, if possible, after the individual has had time to reflect. At the end of the research, all of the original consent forms obtained will be archived by the site and an additional copy of all consent forms will be provided to the sponsor in a sealed envelope.</w:t>
      </w:r>
    </w:p>
    <w:p w:rsidR="00B14EF1" w:rsidRPr="00EC6C99" w:rsidRDefault="00B14EF1" w:rsidP="00B14EF1">
      <w:pPr>
        <w:pStyle w:val="ListParagraph"/>
        <w:widowControl/>
        <w:numPr>
          <w:ilvl w:val="0"/>
          <w:numId w:val="49"/>
        </w:numPr>
        <w:autoSpaceDE/>
        <w:autoSpaceDN/>
        <w:ind w:left="360"/>
        <w:contextualSpacing/>
        <w:rPr>
          <w:sz w:val="19"/>
          <w:szCs w:val="19"/>
        </w:rPr>
      </w:pPr>
      <w:r w:rsidRPr="00EC6C99">
        <w:rPr>
          <w:sz w:val="19"/>
          <w:szCs w:val="19"/>
          <w:lang w:val="en"/>
        </w:rPr>
        <w:t>The investigator agrees to periodic visits by representatives of the sponsor, if applicable. He/she will make available all source documents and materials related to the research to ensure quality control of the data recorded in the electronic case report form. The investigator agrees to periodically notify the sponsor of the number of enrolled subjects at his/her research site.</w:t>
      </w:r>
    </w:p>
    <w:p w:rsidR="00B14EF1" w:rsidRPr="00EC6C99" w:rsidRDefault="00B14EF1" w:rsidP="00B14EF1">
      <w:pPr>
        <w:pStyle w:val="ListParagraph"/>
        <w:widowControl/>
        <w:numPr>
          <w:ilvl w:val="0"/>
          <w:numId w:val="49"/>
        </w:numPr>
        <w:autoSpaceDE/>
        <w:autoSpaceDN/>
        <w:ind w:left="360"/>
        <w:contextualSpacing/>
        <w:rPr>
          <w:sz w:val="19"/>
          <w:szCs w:val="19"/>
        </w:rPr>
      </w:pPr>
      <w:r w:rsidRPr="00EC6C99">
        <w:rPr>
          <w:sz w:val="19"/>
          <w:szCs w:val="19"/>
          <w:lang w:val="en"/>
        </w:rPr>
        <w:t>The investigator, or his/her designated collaborating physicians, if applicable, will notify the sponsor within 48 hours, according to the instructions of the research protocol, of serious adverse events or new information that arises during the research, using the forms provided.</w:t>
      </w:r>
    </w:p>
    <w:p w:rsidR="00B14EF1" w:rsidRPr="00EC6C99" w:rsidRDefault="00B14EF1" w:rsidP="00B14EF1">
      <w:pPr>
        <w:pStyle w:val="ListParagraph"/>
        <w:widowControl/>
        <w:numPr>
          <w:ilvl w:val="0"/>
          <w:numId w:val="49"/>
        </w:numPr>
        <w:autoSpaceDE/>
        <w:autoSpaceDN/>
        <w:ind w:left="360"/>
        <w:contextualSpacing/>
        <w:rPr>
          <w:sz w:val="19"/>
          <w:szCs w:val="19"/>
        </w:rPr>
      </w:pPr>
      <w:r w:rsidRPr="00EC6C99">
        <w:rPr>
          <w:sz w:val="19"/>
          <w:szCs w:val="19"/>
          <w:lang w:val="en"/>
        </w:rPr>
        <w:t>The investigator agrees to store, for each of the patients until the end of their monitoring, a paper copy of the validated e-CRF (initially generated in PDF format by the CleanWEB software), automatically dated and signed by the investigator as well as all source documents relevant within the context of this research.</w:t>
      </w:r>
    </w:p>
    <w:p w:rsidR="00B14EF1" w:rsidRPr="00EC6C99" w:rsidRDefault="00B14EF1" w:rsidP="00B14EF1">
      <w:pPr>
        <w:pStyle w:val="ListParagraph"/>
        <w:widowControl/>
        <w:numPr>
          <w:ilvl w:val="0"/>
          <w:numId w:val="49"/>
        </w:numPr>
        <w:autoSpaceDE/>
        <w:autoSpaceDN/>
        <w:ind w:left="360"/>
        <w:contextualSpacing/>
        <w:rPr>
          <w:sz w:val="19"/>
          <w:szCs w:val="19"/>
        </w:rPr>
      </w:pPr>
      <w:r w:rsidRPr="00EC6C99">
        <w:rPr>
          <w:sz w:val="19"/>
          <w:szCs w:val="19"/>
          <w:lang w:val="en"/>
        </w:rPr>
        <w:t>The investigator agrees to the principle of control in the event of an audit by the sponsor and/or inspection by the health authorities. He/she also agrees to respond as soon as possible to any request for information or data by the sponsor.</w:t>
      </w:r>
    </w:p>
    <w:p w:rsidR="00B14EF1" w:rsidRPr="00EC6C99" w:rsidRDefault="00B14EF1" w:rsidP="00B14EF1">
      <w:pPr>
        <w:pStyle w:val="ListParagraph"/>
        <w:widowControl/>
        <w:numPr>
          <w:ilvl w:val="0"/>
          <w:numId w:val="49"/>
        </w:numPr>
        <w:autoSpaceDE/>
        <w:autoSpaceDN/>
        <w:ind w:left="360"/>
        <w:contextualSpacing/>
        <w:rPr>
          <w:sz w:val="19"/>
          <w:szCs w:val="19"/>
        </w:rPr>
      </w:pPr>
      <w:r w:rsidRPr="00EC6C99">
        <w:rPr>
          <w:sz w:val="19"/>
          <w:szCs w:val="19"/>
          <w:lang w:val="en"/>
        </w:rPr>
        <w:t>The investigator agrees to notify the AP-HP [Public Hospitals of Paris] of any publication mentioning this research and to cite the AP-HP as sponsor of the research. He/she also agrees, if necessary, to collaborate with the research coordinator in the writing of the final study report.</w:t>
      </w:r>
    </w:p>
    <w:p w:rsidR="00B14EF1" w:rsidRPr="00EC6C99" w:rsidRDefault="001A5673" w:rsidP="00B14EF1">
      <w:pPr>
        <w:pStyle w:val="ListParagraph"/>
        <w:widowControl/>
        <w:numPr>
          <w:ilvl w:val="0"/>
          <w:numId w:val="49"/>
        </w:numPr>
        <w:autoSpaceDE/>
        <w:autoSpaceDN/>
        <w:ind w:left="360"/>
        <w:contextualSpacing/>
        <w:rPr>
          <w:sz w:val="19"/>
          <w:szCs w:val="19"/>
        </w:rPr>
      </w:pPr>
      <w:r>
        <w:rPr>
          <w:noProof/>
        </w:rPr>
        <w:pict>
          <v:shape id="_x0000_s1174" type="#_x0000_t202" style="position:absolute;left:0;text-align:left;margin-left:-18.1pt;margin-top:58.7pt;width:519pt;height:110.55pt;z-index:251722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" filled="f" stroked="f">
            <v:textbox style="mso-fit-shape-to-text:t">
              <w:txbxContent>
                <w:p w:rsidR="003239C1" w:rsidRDefault="003239C1" w:rsidP="00B14EF1">
                  <w:pPr>
                    <w:rPr>
                      <w:i/>
                    </w:rPr>
                  </w:pPr>
                  <w:r>
                    <w:rPr>
                      <w:lang w:val="en"/>
                    </w:rPr>
                    <w:t>Date: …………/…………/…………</w:t>
                  </w:r>
                  <w:r>
                    <w:rPr>
                      <w:lang w:val="en"/>
                    </w:rPr>
                    <w:tab/>
                  </w:r>
                  <w:r>
                    <w:rPr>
                      <w:lang w:val="en"/>
                    </w:rPr>
                    <w:tab/>
                  </w:r>
                  <w:r>
                    <w:rPr>
                      <w:lang w:val="en"/>
                    </w:rPr>
                    <w:tab/>
                  </w:r>
                  <w:r>
                    <w:rPr>
                      <w:lang w:val="en"/>
                    </w:rPr>
                    <w:tab/>
                  </w:r>
                  <w:r>
                    <w:rPr>
                      <w:i/>
                      <w:iCs/>
                      <w:lang w:val="en"/>
                    </w:rPr>
                    <w:t>stamp of the department</w:t>
                  </w:r>
                </w:p>
              </w:txbxContent>
            </v:textbox>
          </v:shape>
        </w:pict>
      </w:r>
      <w:r w:rsidR="00B14EF1" w:rsidRPr="00EC6C99">
        <w:rPr>
          <w:sz w:val="19"/>
          <w:szCs w:val="19"/>
          <w:lang w:val="en"/>
        </w:rPr>
        <w:t>The principal investigator is the sponsor’s main contact person at each site. He/she agrees to provide training on the protocol and to supervise the work of the local team, for which he/she provided a list of names to the sponsor.</w:t>
      </w:r>
    </w:p>
    <w:p w:rsidR="00CD39A7" w:rsidRDefault="001A5673">
      <w:pPr>
        <w:pStyle w:val="BodyText"/>
        <w:spacing w:before="4"/>
        <w:rPr>
          <w:b/>
          <w:sz w:val="11"/>
        </w:rPr>
      </w:pPr>
      <w:r>
        <w:rPr>
          <w:noProof/>
          <w:sz w:val="22"/>
          <w:szCs w:val="22"/>
        </w:rPr>
        <w:pict>
          <v:shape id="_x0000_s1175" type="#_x0000_t202" style="position:absolute;margin-left:-2.75pt;margin-top:3.6pt;width:483pt;height:20.6pt;z-index:25172121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">
            <v:textbox style="mso-fit-shape-to-text:t">
              <w:txbxContent>
                <w:p w:rsidR="003239C1" w:rsidRDefault="003239C1" w:rsidP="00B14EF1">
                  <w:r>
                    <w:rPr>
                      <w:lang w:val="en"/>
                    </w:rPr>
                    <w:t>Name and signature of the principal investigator:</w:t>
                  </w:r>
                </w:p>
              </w:txbxContent>
            </v:textbox>
          </v:shape>
        </w:pict>
      </w:r>
    </w:p>
    <w:p w:rsidR="00CD39A7" w:rsidRPr="00B25E13" w:rsidRDefault="00CD39A7" w:rsidP="00B25E13">
      <w:pPr>
        <w:tabs>
          <w:tab w:val="left" w:pos="242"/>
        </w:tabs>
        <w:rPr>
          <w:rFonts w:ascii="Calibri"/>
          <w:sz w:val="20"/>
        </w:rPr>
      </w:pPr>
    </w:p>
    <w:sectPr w:rsidR="00CD39A7" w:rsidRPr="00B25E13">
      <w:footerReference w:type="default" r:id="rId19"/>
      <w:pgSz w:w="12240" w:h="15840"/>
      <w:pgMar w:top="130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9C1" w:rsidRDefault="003239C1">
      <w:r>
        <w:separator/>
      </w:r>
    </w:p>
  </w:endnote>
  <w:endnote w:type="continuationSeparator" w:id="0">
    <w:p w:rsidR="003239C1" w:rsidRDefault="0032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C1" w:rsidRDefault="001A5673">
    <w:pPr>
      <w:pStyle w:val="BodyText"/>
      <w:spacing w:line="14" w:lineRule="auto"/>
      <w:rPr>
        <w:sz w:val="20"/>
      </w:rPr>
    </w:pPr>
    <w:r>
      <w:rPr>
        <w:lang w:val="en"/>
      </w:rPr>
      <w:pict>
        <v:shapetype id="_x0000_t202" coordsize="21600,21600" o:spt="202" path="m,l,21600r21600,l21600,xe">
          <v:stroke joinstyle="miter"/>
          <v:path gradientshapeok="t" o:connecttype="rect"/>
        </v:shapetype>
        <v:shape id="_x0000_s2106" type="#_x0000_t202" style="position:absolute;margin-left:188.9pt;margin-top:791.85pt;width:281.15pt;height:26.85pt;z-index:-279856;mso-position-horizontal-relative:page;mso-position-vertical-relative:page" filled="f" stroked="f">
          <v:textbox style="mso-next-textbox:#_x0000_s2106" inset="0,0,0,0">
            <w:txbxContent>
              <w:p w:rsidR="003239C1" w:rsidRDefault="003239C1">
                <w:pPr>
                  <w:spacing w:before="10"/>
                  <w:ind w:left="20"/>
                  <w:rPr>
                    <w:sz w:val="20"/>
                  </w:rPr>
                </w:pPr>
                <w:r>
                  <w:rPr>
                    <w:sz w:val="20"/>
                    <w:lang w:val="en"/>
                  </w:rPr>
                  <w:t>Version No. 7.0 of August 30, 2012 following amendment No. 10</w:t>
                </w:r>
              </w:p>
            </w:txbxContent>
          </v:textbox>
          <w10:wrap anchorx="page" anchory="page"/>
        </v:shape>
      </w:pict>
    </w:r>
    <w:r>
      <w:rPr>
        <w:lang w:val="en"/>
      </w:rPr>
      <w:pict>
        <v:shape id="_x0000_s2107" type="#_x0000_t202" style="position:absolute;margin-left:69.8pt;margin-top:791.85pt;width:64.65pt;height:13.05pt;z-index:-279880;mso-position-horizontal-relative:page;mso-position-vertical-relative:page" filled="f" stroked="f">
          <v:textbox style="mso-next-textbox:#_x0000_s2107" inset="0,0,0,0">
            <w:txbxContent>
              <w:p w:rsidR="003239C1" w:rsidRDefault="003239C1">
                <w:pPr>
                  <w:spacing w:before="10"/>
                  <w:ind w:left="20"/>
                  <w:rPr>
                    <w:sz w:val="20"/>
                  </w:rPr>
                </w:pPr>
                <w:r>
                  <w:rPr>
                    <w:sz w:val="20"/>
                    <w:lang w:val="en"/>
                  </w:rPr>
                  <w:t>MAINRITSAN</w:t>
                </w:r>
              </w:p>
            </w:txbxContent>
          </v:textbox>
          <w10:wrap anchorx="page" anchory="page"/>
        </v:shape>
      </w:pict>
    </w:r>
    <w:r>
      <w:rPr>
        <w:lang w:val="en"/>
      </w:rPr>
      <w:pict>
        <v:shape id="_x0000_s2105" type="#_x0000_t202" style="position:absolute;margin-left:495.05pt;margin-top:791.85pt;width:30.4pt;height:15.3pt;z-index:-279832;mso-position-horizontal-relative:page;mso-position-vertical-relative:page" filled="f" stroked="f">
          <v:textbox style="mso-next-textbox:#_x0000_s2105" inset="0,0,0,0">
            <w:txbxContent>
              <w:p w:rsidR="003239C1" w:rsidRDefault="003239C1">
                <w:pPr>
                  <w:pStyle w:val="BodyText"/>
                  <w:spacing w:before="10"/>
                  <w:ind w:left="40"/>
                </w:pPr>
                <w:r>
                  <w:rPr>
                    <w:lang w:val="en"/>
                  </w:rPr>
                  <w:fldChar w:fldCharType="begin"/>
                </w:r>
                <w:r>
                  <w:rPr>
                    <w:lang w:val="en"/>
                  </w:rPr>
                  <w:instrText xml:space="preserve"> PAGE </w:instrText>
                </w:r>
                <w:r>
                  <w:rPr>
                    <w:lang w:val="en"/>
                  </w:rPr>
                  <w:fldChar w:fldCharType="separate"/>
                </w:r>
                <w:r w:rsidR="001A5673">
                  <w:rPr>
                    <w:noProof/>
                    <w:lang w:val="en"/>
                  </w:rPr>
                  <w:t>1</w:t>
                </w:r>
                <w:r>
                  <w:rPr>
                    <w:lang w:val="en"/>
                  </w:rPr>
                  <w:fldChar w:fldCharType="end"/>
                </w:r>
                <w:r>
                  <w:rPr>
                    <w:lang w:val="en"/>
                  </w:rPr>
                  <w:t>/72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C1" w:rsidRDefault="001A5673">
    <w:pPr>
      <w:pStyle w:val="BodyText"/>
      <w:spacing w:line="14" w:lineRule="auto"/>
      <w:rPr>
        <w:sz w:val="20"/>
      </w:rPr>
    </w:pPr>
    <w:r>
      <w:rPr>
        <w:lang w:val="en"/>
      </w:rPr>
      <w:pict>
        <v:shapetype id="_x0000_t202" coordsize="21600,21600" o:spt="202" path="m,l,21600r21600,l21600,xe">
          <v:stroke joinstyle="miter"/>
          <v:path gradientshapeok="t" o:connecttype="rect"/>
        </v:shapetype>
        <v:shape id="_x0000_s2102" type="#_x0000_t202" style="position:absolute;margin-left:230.35pt;margin-top:546.9pt;width:332.9pt;height:14.6pt;z-index:-279760;mso-position-horizontal-relative:page;mso-position-vertical-relative:page" filled="f" stroked="f">
          <v:textbox style="mso-next-textbox:#_x0000_s2102" inset="0,0,0,0">
            <w:txbxContent>
              <w:p w:rsidR="003239C1" w:rsidRDefault="003239C1">
                <w:pPr>
                  <w:spacing w:before="10"/>
                  <w:ind w:left="20"/>
                  <w:rPr>
                    <w:sz w:val="20"/>
                  </w:rPr>
                </w:pPr>
                <w:r>
                  <w:rPr>
                    <w:sz w:val="20"/>
                    <w:lang w:val="en"/>
                  </w:rPr>
                  <w:t>Version No. 6.1 of August 8, 2011 following amendment No. 8</w:t>
                </w:r>
              </w:p>
            </w:txbxContent>
          </v:textbox>
          <w10:wrap anchorx="page" anchory="page"/>
        </v:shape>
      </w:pict>
    </w:r>
    <w:r>
      <w:rPr>
        <w:lang w:val="en"/>
      </w:rPr>
      <w:pict>
        <v:shape id="_x0000_s2104" type="#_x0000_t202" style="position:absolute;margin-left:636.3pt;margin-top:545.1pt;width:29.4pt;height:15.3pt;z-index:-279808;mso-position-horizontal-relative:page;mso-position-vertical-relative:page" filled="f" stroked="f">
          <v:textbox style="mso-next-textbox:#_x0000_s2104" inset="0,0,0,0">
            <w:txbxContent>
              <w:p w:rsidR="003239C1" w:rsidRDefault="003239C1">
                <w:pPr>
                  <w:pStyle w:val="BodyText"/>
                  <w:spacing w:before="10"/>
                  <w:ind w:left="20"/>
                </w:pPr>
                <w:r>
                  <w:rPr>
                    <w:lang w:val="en"/>
                  </w:rPr>
                  <w:t>70/72</w:t>
                </w:r>
              </w:p>
            </w:txbxContent>
          </v:textbox>
          <w10:wrap anchorx="page" anchory="page"/>
        </v:shape>
      </w:pict>
    </w:r>
    <w:r>
      <w:rPr>
        <w:lang w:val="en"/>
      </w:rPr>
      <w:pict>
        <v:shape id="_x0000_s2103" type="#_x0000_t202" style="position:absolute;margin-left:69.9pt;margin-top:546.9pt;width:64.65pt;height:13.05pt;z-index:-279784;mso-position-horizontal-relative:page;mso-position-vertical-relative:page" filled="f" stroked="f">
          <v:textbox style="mso-next-textbox:#_x0000_s2103" inset="0,0,0,0">
            <w:txbxContent>
              <w:p w:rsidR="003239C1" w:rsidRDefault="003239C1">
                <w:pPr>
                  <w:spacing w:before="10"/>
                  <w:ind w:left="20"/>
                  <w:rPr>
                    <w:sz w:val="20"/>
                  </w:rPr>
                </w:pPr>
                <w:r>
                  <w:rPr>
                    <w:sz w:val="20"/>
                    <w:lang w:val="en"/>
                  </w:rPr>
                  <w:t>MAINRITSAN</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C1" w:rsidRDefault="001A5673">
    <w:pPr>
      <w:pStyle w:val="BodyText"/>
      <w:spacing w:line="14" w:lineRule="auto"/>
      <w:rPr>
        <w:sz w:val="20"/>
      </w:rPr>
    </w:pPr>
    <w:r>
      <w:rPr>
        <w:lang w:val="en"/>
      </w:rPr>
      <w:pict>
        <v:shapetype id="_x0000_t202" coordsize="21600,21600" o:spt="202" path="m,l,21600r21600,l21600,xe">
          <v:stroke joinstyle="miter"/>
          <v:path gradientshapeok="t" o:connecttype="rect"/>
        </v:shapetype>
        <v:shape id="_x0000_s2100" type="#_x0000_t202" style="position:absolute;margin-left:172.75pt;margin-top:793.5pt;width:391.65pt;height:30.75pt;z-index:-279712;mso-position-horizontal-relative:page;mso-position-vertical-relative:page" filled="f" stroked="f">
          <v:textbox inset="0,0,0,0">
            <w:txbxContent>
              <w:p w:rsidR="003239C1" w:rsidRPr="00B14EF1" w:rsidRDefault="003239C1">
                <w:pPr>
                  <w:spacing w:before="10"/>
                  <w:ind w:left="20"/>
                  <w:rPr>
                    <w:sz w:val="24"/>
                    <w:szCs w:val="24"/>
                  </w:rPr>
                </w:pPr>
                <w:r>
                  <w:rPr>
                    <w:sz w:val="20"/>
                    <w:lang w:val="en"/>
                  </w:rPr>
                  <w:t>Version No. 6.1 of August 8, 2011 following amendment No. 8</w:t>
                </w:r>
                <w:r>
                  <w:rPr>
                    <w:sz w:val="20"/>
                    <w:lang w:val="en"/>
                  </w:rPr>
                  <w:tab/>
                </w:r>
                <w:r w:rsidRPr="00B14EF1">
                  <w:rPr>
                    <w:sz w:val="24"/>
                    <w:szCs w:val="24"/>
                    <w:lang w:val="en"/>
                  </w:rPr>
                  <w:t>71/72</w:t>
                </w:r>
              </w:p>
            </w:txbxContent>
          </v:textbox>
          <w10:wrap anchorx="page" anchory="page"/>
        </v:shape>
      </w:pict>
    </w:r>
    <w:r>
      <w:rPr>
        <w:lang w:val="en"/>
      </w:rPr>
      <w:pict>
        <v:shape id="_x0000_s2101" type="#_x0000_t202" style="position:absolute;margin-left:69.9pt;margin-top:793.5pt;width:64.65pt;height:13.05pt;z-index:-279736;mso-position-horizontal-relative:page;mso-position-vertical-relative:page" filled="f" stroked="f">
          <v:textbox inset="0,0,0,0">
            <w:txbxContent>
              <w:p w:rsidR="003239C1" w:rsidRDefault="003239C1">
                <w:pPr>
                  <w:spacing w:before="10"/>
                  <w:ind w:left="20"/>
                  <w:rPr>
                    <w:sz w:val="20"/>
                  </w:rPr>
                </w:pPr>
                <w:r>
                  <w:rPr>
                    <w:sz w:val="20"/>
                    <w:lang w:val="en"/>
                  </w:rPr>
                  <w:t>MAINRITSAN</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C1" w:rsidRDefault="003239C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9C1" w:rsidRDefault="003239C1">
      <w:r>
        <w:separator/>
      </w:r>
    </w:p>
  </w:footnote>
  <w:footnote w:type="continuationSeparator" w:id="0">
    <w:p w:rsidR="003239C1" w:rsidRDefault="00323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091"/>
    <w:multiLevelType w:val="hybridMultilevel"/>
    <w:tmpl w:val="8A22A1A6"/>
    <w:lvl w:ilvl="0" w:tplc="F7F078CE">
      <w:numFmt w:val="bullet"/>
      <w:lvlText w:val="-"/>
      <w:lvlJc w:val="left"/>
      <w:pPr>
        <w:ind w:left="836" w:hanging="360"/>
      </w:pPr>
      <w:rPr>
        <w:rFonts w:ascii="Times New Roman" w:eastAsia="Times New Roman" w:hAnsi="Times New Roman" w:cs="Times New Roman" w:hint="default"/>
        <w:spacing w:val="-1"/>
        <w:w w:val="99"/>
        <w:sz w:val="24"/>
        <w:szCs w:val="24"/>
      </w:rPr>
    </w:lvl>
    <w:lvl w:ilvl="1" w:tplc="D39C967E">
      <w:numFmt w:val="bullet"/>
      <w:lvlText w:val="•"/>
      <w:lvlJc w:val="left"/>
      <w:pPr>
        <w:ind w:left="1686" w:hanging="360"/>
      </w:pPr>
      <w:rPr>
        <w:rFonts w:hint="default"/>
      </w:rPr>
    </w:lvl>
    <w:lvl w:ilvl="2" w:tplc="DE00391E">
      <w:numFmt w:val="bullet"/>
      <w:lvlText w:val="•"/>
      <w:lvlJc w:val="left"/>
      <w:pPr>
        <w:ind w:left="2533" w:hanging="360"/>
      </w:pPr>
      <w:rPr>
        <w:rFonts w:hint="default"/>
      </w:rPr>
    </w:lvl>
    <w:lvl w:ilvl="3" w:tplc="ADA290BA">
      <w:numFmt w:val="bullet"/>
      <w:lvlText w:val="•"/>
      <w:lvlJc w:val="left"/>
      <w:pPr>
        <w:ind w:left="3379" w:hanging="360"/>
      </w:pPr>
      <w:rPr>
        <w:rFonts w:hint="default"/>
      </w:rPr>
    </w:lvl>
    <w:lvl w:ilvl="4" w:tplc="A6D02B26">
      <w:numFmt w:val="bullet"/>
      <w:lvlText w:val="•"/>
      <w:lvlJc w:val="left"/>
      <w:pPr>
        <w:ind w:left="4226" w:hanging="360"/>
      </w:pPr>
      <w:rPr>
        <w:rFonts w:hint="default"/>
      </w:rPr>
    </w:lvl>
    <w:lvl w:ilvl="5" w:tplc="BF5E0660">
      <w:numFmt w:val="bullet"/>
      <w:lvlText w:val="•"/>
      <w:lvlJc w:val="left"/>
      <w:pPr>
        <w:ind w:left="5073" w:hanging="360"/>
      </w:pPr>
      <w:rPr>
        <w:rFonts w:hint="default"/>
      </w:rPr>
    </w:lvl>
    <w:lvl w:ilvl="6" w:tplc="0ADAA2D6">
      <w:numFmt w:val="bullet"/>
      <w:lvlText w:val="•"/>
      <w:lvlJc w:val="left"/>
      <w:pPr>
        <w:ind w:left="5919" w:hanging="360"/>
      </w:pPr>
      <w:rPr>
        <w:rFonts w:hint="default"/>
      </w:rPr>
    </w:lvl>
    <w:lvl w:ilvl="7" w:tplc="7E5C1E02">
      <w:numFmt w:val="bullet"/>
      <w:lvlText w:val="•"/>
      <w:lvlJc w:val="left"/>
      <w:pPr>
        <w:ind w:left="6766" w:hanging="360"/>
      </w:pPr>
      <w:rPr>
        <w:rFonts w:hint="default"/>
      </w:rPr>
    </w:lvl>
    <w:lvl w:ilvl="8" w:tplc="82384148">
      <w:numFmt w:val="bullet"/>
      <w:lvlText w:val="•"/>
      <w:lvlJc w:val="left"/>
      <w:pPr>
        <w:ind w:left="7613" w:hanging="360"/>
      </w:pPr>
      <w:rPr>
        <w:rFonts w:hint="default"/>
      </w:rPr>
    </w:lvl>
  </w:abstractNum>
  <w:abstractNum w:abstractNumId="1" w15:restartNumberingAfterBreak="0">
    <w:nsid w:val="044F03CE"/>
    <w:multiLevelType w:val="hybridMultilevel"/>
    <w:tmpl w:val="5358C1FA"/>
    <w:lvl w:ilvl="0" w:tplc="453A504C">
      <w:start w:val="1"/>
      <w:numFmt w:val="lowerLetter"/>
      <w:lvlText w:val="%1)"/>
      <w:lvlJc w:val="left"/>
      <w:pPr>
        <w:ind w:left="836" w:hanging="360"/>
      </w:pPr>
      <w:rPr>
        <w:rFonts w:ascii="Times New Roman" w:eastAsia="Times New Roman" w:hAnsi="Times New Roman" w:cs="Times New Roman" w:hint="default"/>
        <w:spacing w:val="-1"/>
        <w:w w:val="100"/>
        <w:sz w:val="24"/>
        <w:szCs w:val="24"/>
      </w:rPr>
    </w:lvl>
    <w:lvl w:ilvl="1" w:tplc="D95EAC60">
      <w:numFmt w:val="bullet"/>
      <w:lvlText w:val="•"/>
      <w:lvlJc w:val="left"/>
      <w:pPr>
        <w:ind w:left="1686" w:hanging="360"/>
      </w:pPr>
      <w:rPr>
        <w:rFonts w:hint="default"/>
      </w:rPr>
    </w:lvl>
    <w:lvl w:ilvl="2" w:tplc="64822F7A">
      <w:numFmt w:val="bullet"/>
      <w:lvlText w:val="•"/>
      <w:lvlJc w:val="left"/>
      <w:pPr>
        <w:ind w:left="2533" w:hanging="360"/>
      </w:pPr>
      <w:rPr>
        <w:rFonts w:hint="default"/>
      </w:rPr>
    </w:lvl>
    <w:lvl w:ilvl="3" w:tplc="CD70BC4A">
      <w:numFmt w:val="bullet"/>
      <w:lvlText w:val="•"/>
      <w:lvlJc w:val="left"/>
      <w:pPr>
        <w:ind w:left="3379" w:hanging="360"/>
      </w:pPr>
      <w:rPr>
        <w:rFonts w:hint="default"/>
      </w:rPr>
    </w:lvl>
    <w:lvl w:ilvl="4" w:tplc="0A34D5EC">
      <w:numFmt w:val="bullet"/>
      <w:lvlText w:val="•"/>
      <w:lvlJc w:val="left"/>
      <w:pPr>
        <w:ind w:left="4226" w:hanging="360"/>
      </w:pPr>
      <w:rPr>
        <w:rFonts w:hint="default"/>
      </w:rPr>
    </w:lvl>
    <w:lvl w:ilvl="5" w:tplc="6F0A538E">
      <w:numFmt w:val="bullet"/>
      <w:lvlText w:val="•"/>
      <w:lvlJc w:val="left"/>
      <w:pPr>
        <w:ind w:left="5073" w:hanging="360"/>
      </w:pPr>
      <w:rPr>
        <w:rFonts w:hint="default"/>
      </w:rPr>
    </w:lvl>
    <w:lvl w:ilvl="6" w:tplc="EA9633BA">
      <w:numFmt w:val="bullet"/>
      <w:lvlText w:val="•"/>
      <w:lvlJc w:val="left"/>
      <w:pPr>
        <w:ind w:left="5919" w:hanging="360"/>
      </w:pPr>
      <w:rPr>
        <w:rFonts w:hint="default"/>
      </w:rPr>
    </w:lvl>
    <w:lvl w:ilvl="7" w:tplc="B7BC3F6C">
      <w:numFmt w:val="bullet"/>
      <w:lvlText w:val="•"/>
      <w:lvlJc w:val="left"/>
      <w:pPr>
        <w:ind w:left="6766" w:hanging="360"/>
      </w:pPr>
      <w:rPr>
        <w:rFonts w:hint="default"/>
      </w:rPr>
    </w:lvl>
    <w:lvl w:ilvl="8" w:tplc="601EB2E2">
      <w:numFmt w:val="bullet"/>
      <w:lvlText w:val="•"/>
      <w:lvlJc w:val="left"/>
      <w:pPr>
        <w:ind w:left="7613" w:hanging="360"/>
      </w:pPr>
      <w:rPr>
        <w:rFonts w:hint="default"/>
      </w:rPr>
    </w:lvl>
  </w:abstractNum>
  <w:abstractNum w:abstractNumId="2" w15:restartNumberingAfterBreak="0">
    <w:nsid w:val="07AD1844"/>
    <w:multiLevelType w:val="hybridMultilevel"/>
    <w:tmpl w:val="1FE2A784"/>
    <w:lvl w:ilvl="0" w:tplc="E86623AC">
      <w:numFmt w:val="bullet"/>
      <w:lvlText w:val=""/>
      <w:lvlJc w:val="left"/>
      <w:pPr>
        <w:ind w:left="476" w:hanging="360"/>
      </w:pPr>
      <w:rPr>
        <w:rFonts w:ascii="Symbol" w:eastAsia="Symbol" w:hAnsi="Symbol" w:cs="Symbol" w:hint="default"/>
        <w:w w:val="100"/>
        <w:sz w:val="24"/>
        <w:szCs w:val="24"/>
      </w:rPr>
    </w:lvl>
    <w:lvl w:ilvl="1" w:tplc="031CAC5A">
      <w:numFmt w:val="bullet"/>
      <w:lvlText w:val="o"/>
      <w:lvlJc w:val="left"/>
      <w:pPr>
        <w:ind w:left="1196" w:hanging="360"/>
      </w:pPr>
      <w:rPr>
        <w:rFonts w:ascii="Courier New" w:eastAsia="Courier New" w:hAnsi="Courier New" w:cs="Courier New" w:hint="default"/>
        <w:w w:val="99"/>
        <w:sz w:val="24"/>
        <w:szCs w:val="24"/>
      </w:rPr>
    </w:lvl>
    <w:lvl w:ilvl="2" w:tplc="8A460A3E">
      <w:numFmt w:val="bullet"/>
      <w:lvlText w:val="•"/>
      <w:lvlJc w:val="left"/>
      <w:pPr>
        <w:ind w:left="2100" w:hanging="360"/>
      </w:pPr>
      <w:rPr>
        <w:rFonts w:hint="default"/>
      </w:rPr>
    </w:lvl>
    <w:lvl w:ilvl="3" w:tplc="25E66B46">
      <w:numFmt w:val="bullet"/>
      <w:lvlText w:val="•"/>
      <w:lvlJc w:val="left"/>
      <w:pPr>
        <w:ind w:left="3001" w:hanging="360"/>
      </w:pPr>
      <w:rPr>
        <w:rFonts w:hint="default"/>
      </w:rPr>
    </w:lvl>
    <w:lvl w:ilvl="4" w:tplc="E4C87030">
      <w:numFmt w:val="bullet"/>
      <w:lvlText w:val="•"/>
      <w:lvlJc w:val="left"/>
      <w:pPr>
        <w:ind w:left="3902" w:hanging="360"/>
      </w:pPr>
      <w:rPr>
        <w:rFonts w:hint="default"/>
      </w:rPr>
    </w:lvl>
    <w:lvl w:ilvl="5" w:tplc="640EF986">
      <w:numFmt w:val="bullet"/>
      <w:lvlText w:val="•"/>
      <w:lvlJc w:val="left"/>
      <w:pPr>
        <w:ind w:left="4802" w:hanging="360"/>
      </w:pPr>
      <w:rPr>
        <w:rFonts w:hint="default"/>
      </w:rPr>
    </w:lvl>
    <w:lvl w:ilvl="6" w:tplc="0E3A1044">
      <w:numFmt w:val="bullet"/>
      <w:lvlText w:val="•"/>
      <w:lvlJc w:val="left"/>
      <w:pPr>
        <w:ind w:left="5703" w:hanging="360"/>
      </w:pPr>
      <w:rPr>
        <w:rFonts w:hint="default"/>
      </w:rPr>
    </w:lvl>
    <w:lvl w:ilvl="7" w:tplc="80CEC428">
      <w:numFmt w:val="bullet"/>
      <w:lvlText w:val="•"/>
      <w:lvlJc w:val="left"/>
      <w:pPr>
        <w:ind w:left="6604" w:hanging="360"/>
      </w:pPr>
      <w:rPr>
        <w:rFonts w:hint="default"/>
      </w:rPr>
    </w:lvl>
    <w:lvl w:ilvl="8" w:tplc="DF602438">
      <w:numFmt w:val="bullet"/>
      <w:lvlText w:val="•"/>
      <w:lvlJc w:val="left"/>
      <w:pPr>
        <w:ind w:left="7504" w:hanging="360"/>
      </w:pPr>
      <w:rPr>
        <w:rFonts w:hint="default"/>
      </w:rPr>
    </w:lvl>
  </w:abstractNum>
  <w:abstractNum w:abstractNumId="3" w15:restartNumberingAfterBreak="0">
    <w:nsid w:val="086E0601"/>
    <w:multiLevelType w:val="hybridMultilevel"/>
    <w:tmpl w:val="2B6C4FC2"/>
    <w:lvl w:ilvl="0" w:tplc="48EA94A6">
      <w:numFmt w:val="bullet"/>
      <w:lvlText w:val="•"/>
      <w:lvlJc w:val="left"/>
      <w:pPr>
        <w:ind w:left="476" w:hanging="195"/>
      </w:pPr>
      <w:rPr>
        <w:rFonts w:ascii="Times New Roman" w:eastAsia="Times New Roman" w:hAnsi="Times New Roman" w:cs="Times New Roman" w:hint="default"/>
        <w:w w:val="99"/>
        <w:sz w:val="24"/>
        <w:szCs w:val="24"/>
      </w:rPr>
    </w:lvl>
    <w:lvl w:ilvl="1" w:tplc="0B90DAA2">
      <w:numFmt w:val="bullet"/>
      <w:lvlText w:val="•"/>
      <w:lvlJc w:val="left"/>
      <w:pPr>
        <w:ind w:left="1362" w:hanging="195"/>
      </w:pPr>
      <w:rPr>
        <w:rFonts w:hint="default"/>
      </w:rPr>
    </w:lvl>
    <w:lvl w:ilvl="2" w:tplc="2304C2A4">
      <w:numFmt w:val="bullet"/>
      <w:lvlText w:val="•"/>
      <w:lvlJc w:val="left"/>
      <w:pPr>
        <w:ind w:left="2245" w:hanging="195"/>
      </w:pPr>
      <w:rPr>
        <w:rFonts w:hint="default"/>
      </w:rPr>
    </w:lvl>
    <w:lvl w:ilvl="3" w:tplc="86CE0D92">
      <w:numFmt w:val="bullet"/>
      <w:lvlText w:val="•"/>
      <w:lvlJc w:val="left"/>
      <w:pPr>
        <w:ind w:left="3127" w:hanging="195"/>
      </w:pPr>
      <w:rPr>
        <w:rFonts w:hint="default"/>
      </w:rPr>
    </w:lvl>
    <w:lvl w:ilvl="4" w:tplc="E7B25F7E">
      <w:numFmt w:val="bullet"/>
      <w:lvlText w:val="•"/>
      <w:lvlJc w:val="left"/>
      <w:pPr>
        <w:ind w:left="4010" w:hanging="195"/>
      </w:pPr>
      <w:rPr>
        <w:rFonts w:hint="default"/>
      </w:rPr>
    </w:lvl>
    <w:lvl w:ilvl="5" w:tplc="013229E0">
      <w:numFmt w:val="bullet"/>
      <w:lvlText w:val="•"/>
      <w:lvlJc w:val="left"/>
      <w:pPr>
        <w:ind w:left="4893" w:hanging="195"/>
      </w:pPr>
      <w:rPr>
        <w:rFonts w:hint="default"/>
      </w:rPr>
    </w:lvl>
    <w:lvl w:ilvl="6" w:tplc="BBB49254">
      <w:numFmt w:val="bullet"/>
      <w:lvlText w:val="•"/>
      <w:lvlJc w:val="left"/>
      <w:pPr>
        <w:ind w:left="5775" w:hanging="195"/>
      </w:pPr>
      <w:rPr>
        <w:rFonts w:hint="default"/>
      </w:rPr>
    </w:lvl>
    <w:lvl w:ilvl="7" w:tplc="3D30E990">
      <w:numFmt w:val="bullet"/>
      <w:lvlText w:val="•"/>
      <w:lvlJc w:val="left"/>
      <w:pPr>
        <w:ind w:left="6658" w:hanging="195"/>
      </w:pPr>
      <w:rPr>
        <w:rFonts w:hint="default"/>
      </w:rPr>
    </w:lvl>
    <w:lvl w:ilvl="8" w:tplc="E3D62A6A">
      <w:numFmt w:val="bullet"/>
      <w:lvlText w:val="•"/>
      <w:lvlJc w:val="left"/>
      <w:pPr>
        <w:ind w:left="7541" w:hanging="195"/>
      </w:pPr>
      <w:rPr>
        <w:rFonts w:hint="default"/>
      </w:rPr>
    </w:lvl>
  </w:abstractNum>
  <w:abstractNum w:abstractNumId="4" w15:restartNumberingAfterBreak="0">
    <w:nsid w:val="08FB3EA9"/>
    <w:multiLevelType w:val="hybridMultilevel"/>
    <w:tmpl w:val="4E4AEA44"/>
    <w:lvl w:ilvl="0" w:tplc="F41ED57A">
      <w:numFmt w:val="bullet"/>
      <w:lvlText w:val="-"/>
      <w:lvlJc w:val="left"/>
      <w:pPr>
        <w:ind w:left="116" w:hanging="720"/>
      </w:pPr>
      <w:rPr>
        <w:rFonts w:ascii="Comic Sans MS" w:eastAsia="Comic Sans MS" w:hAnsi="Comic Sans MS" w:cs="Comic Sans MS" w:hint="default"/>
        <w:i/>
        <w:spacing w:val="-26"/>
        <w:w w:val="99"/>
        <w:sz w:val="24"/>
        <w:szCs w:val="24"/>
      </w:rPr>
    </w:lvl>
    <w:lvl w:ilvl="1" w:tplc="34EA83D4">
      <w:numFmt w:val="bullet"/>
      <w:lvlText w:val="•"/>
      <w:lvlJc w:val="left"/>
      <w:pPr>
        <w:ind w:left="1038" w:hanging="720"/>
      </w:pPr>
      <w:rPr>
        <w:rFonts w:hint="default"/>
      </w:rPr>
    </w:lvl>
    <w:lvl w:ilvl="2" w:tplc="F5DCBC44">
      <w:numFmt w:val="bullet"/>
      <w:lvlText w:val="•"/>
      <w:lvlJc w:val="left"/>
      <w:pPr>
        <w:ind w:left="1957" w:hanging="720"/>
      </w:pPr>
      <w:rPr>
        <w:rFonts w:hint="default"/>
      </w:rPr>
    </w:lvl>
    <w:lvl w:ilvl="3" w:tplc="31A29F86">
      <w:numFmt w:val="bullet"/>
      <w:lvlText w:val="•"/>
      <w:lvlJc w:val="left"/>
      <w:pPr>
        <w:ind w:left="2875" w:hanging="720"/>
      </w:pPr>
      <w:rPr>
        <w:rFonts w:hint="default"/>
      </w:rPr>
    </w:lvl>
    <w:lvl w:ilvl="4" w:tplc="3E1AF3F2">
      <w:numFmt w:val="bullet"/>
      <w:lvlText w:val="•"/>
      <w:lvlJc w:val="left"/>
      <w:pPr>
        <w:ind w:left="3794" w:hanging="720"/>
      </w:pPr>
      <w:rPr>
        <w:rFonts w:hint="default"/>
      </w:rPr>
    </w:lvl>
    <w:lvl w:ilvl="5" w:tplc="0C0EF626">
      <w:numFmt w:val="bullet"/>
      <w:lvlText w:val="•"/>
      <w:lvlJc w:val="left"/>
      <w:pPr>
        <w:ind w:left="4713" w:hanging="720"/>
      </w:pPr>
      <w:rPr>
        <w:rFonts w:hint="default"/>
      </w:rPr>
    </w:lvl>
    <w:lvl w:ilvl="6" w:tplc="91FE2B16">
      <w:numFmt w:val="bullet"/>
      <w:lvlText w:val="•"/>
      <w:lvlJc w:val="left"/>
      <w:pPr>
        <w:ind w:left="5631" w:hanging="720"/>
      </w:pPr>
      <w:rPr>
        <w:rFonts w:hint="default"/>
      </w:rPr>
    </w:lvl>
    <w:lvl w:ilvl="7" w:tplc="35846B9C">
      <w:numFmt w:val="bullet"/>
      <w:lvlText w:val="•"/>
      <w:lvlJc w:val="left"/>
      <w:pPr>
        <w:ind w:left="6550" w:hanging="720"/>
      </w:pPr>
      <w:rPr>
        <w:rFonts w:hint="default"/>
      </w:rPr>
    </w:lvl>
    <w:lvl w:ilvl="8" w:tplc="C13EDC0E">
      <w:numFmt w:val="bullet"/>
      <w:lvlText w:val="•"/>
      <w:lvlJc w:val="left"/>
      <w:pPr>
        <w:ind w:left="7469" w:hanging="720"/>
      </w:pPr>
      <w:rPr>
        <w:rFonts w:hint="default"/>
      </w:rPr>
    </w:lvl>
  </w:abstractNum>
  <w:abstractNum w:abstractNumId="5" w15:restartNumberingAfterBreak="0">
    <w:nsid w:val="097632FB"/>
    <w:multiLevelType w:val="multilevel"/>
    <w:tmpl w:val="08AE6280"/>
    <w:lvl w:ilvl="0">
      <w:start w:val="9"/>
      <w:numFmt w:val="decimal"/>
      <w:lvlText w:val="%1."/>
      <w:lvlJc w:val="left"/>
      <w:pPr>
        <w:ind w:left="116"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476" w:hanging="360"/>
      </w:pPr>
      <w:rPr>
        <w:rFonts w:ascii="Times New Roman" w:eastAsia="Times New Roman" w:hAnsi="Times New Roman" w:cs="Times New Roman" w:hint="default"/>
        <w:b/>
        <w:bCs/>
        <w:spacing w:val="-1"/>
        <w:w w:val="99"/>
        <w:sz w:val="24"/>
        <w:szCs w:val="24"/>
      </w:rPr>
    </w:lvl>
    <w:lvl w:ilvl="2">
      <w:numFmt w:val="bullet"/>
      <w:lvlText w:val="-"/>
      <w:lvlJc w:val="left"/>
      <w:pPr>
        <w:ind w:left="836" w:hanging="360"/>
      </w:pPr>
      <w:rPr>
        <w:rFonts w:ascii="Comic Sans MS" w:eastAsia="Comic Sans MS" w:hAnsi="Comic Sans MS" w:cs="Comic Sans MS" w:hint="default"/>
        <w:i/>
        <w:spacing w:val="-1"/>
        <w:w w:val="99"/>
        <w:sz w:val="24"/>
        <w:szCs w:val="24"/>
      </w:rPr>
    </w:lvl>
    <w:lvl w:ilvl="3">
      <w:numFmt w:val="bullet"/>
      <w:lvlText w:val="•"/>
      <w:lvlJc w:val="left"/>
      <w:pPr>
        <w:ind w:left="840" w:hanging="360"/>
      </w:pPr>
      <w:rPr>
        <w:rFonts w:hint="default"/>
      </w:rPr>
    </w:lvl>
    <w:lvl w:ilvl="4">
      <w:numFmt w:val="bullet"/>
      <w:lvlText w:val="•"/>
      <w:lvlJc w:val="left"/>
      <w:pPr>
        <w:ind w:left="2049" w:hanging="360"/>
      </w:pPr>
      <w:rPr>
        <w:rFonts w:hint="default"/>
      </w:rPr>
    </w:lvl>
    <w:lvl w:ilvl="5">
      <w:numFmt w:val="bullet"/>
      <w:lvlText w:val="•"/>
      <w:lvlJc w:val="left"/>
      <w:pPr>
        <w:ind w:left="3258" w:hanging="360"/>
      </w:pPr>
      <w:rPr>
        <w:rFonts w:hint="default"/>
      </w:rPr>
    </w:lvl>
    <w:lvl w:ilvl="6">
      <w:numFmt w:val="bullet"/>
      <w:lvlText w:val="•"/>
      <w:lvlJc w:val="left"/>
      <w:pPr>
        <w:ind w:left="4468" w:hanging="360"/>
      </w:pPr>
      <w:rPr>
        <w:rFonts w:hint="default"/>
      </w:rPr>
    </w:lvl>
    <w:lvl w:ilvl="7">
      <w:numFmt w:val="bullet"/>
      <w:lvlText w:val="•"/>
      <w:lvlJc w:val="left"/>
      <w:pPr>
        <w:ind w:left="5677" w:hanging="360"/>
      </w:pPr>
      <w:rPr>
        <w:rFonts w:hint="default"/>
      </w:rPr>
    </w:lvl>
    <w:lvl w:ilvl="8">
      <w:numFmt w:val="bullet"/>
      <w:lvlText w:val="•"/>
      <w:lvlJc w:val="left"/>
      <w:pPr>
        <w:ind w:left="6887" w:hanging="360"/>
      </w:pPr>
      <w:rPr>
        <w:rFonts w:hint="default"/>
      </w:rPr>
    </w:lvl>
  </w:abstractNum>
  <w:abstractNum w:abstractNumId="6" w15:restartNumberingAfterBreak="0">
    <w:nsid w:val="0DD30A6B"/>
    <w:multiLevelType w:val="multilevel"/>
    <w:tmpl w:val="126ADD36"/>
    <w:lvl w:ilvl="0">
      <w:start w:val="8"/>
      <w:numFmt w:val="decimal"/>
      <w:lvlText w:val="%1"/>
      <w:lvlJc w:val="left"/>
      <w:pPr>
        <w:ind w:left="296" w:hanging="18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116" w:hanging="348"/>
      </w:pPr>
      <w:rPr>
        <w:rFonts w:ascii="Times New Roman" w:eastAsia="Times New Roman" w:hAnsi="Times New Roman" w:cs="Times New Roman" w:hint="default"/>
        <w:b/>
        <w:bCs/>
        <w:w w:val="100"/>
        <w:sz w:val="24"/>
        <w:szCs w:val="24"/>
      </w:rPr>
    </w:lvl>
    <w:lvl w:ilvl="2">
      <w:numFmt w:val="bullet"/>
      <w:lvlText w:val="•"/>
      <w:lvlJc w:val="left"/>
      <w:pPr>
        <w:ind w:left="1300" w:hanging="348"/>
      </w:pPr>
      <w:rPr>
        <w:rFonts w:hint="default"/>
      </w:rPr>
    </w:lvl>
    <w:lvl w:ilvl="3">
      <w:numFmt w:val="bullet"/>
      <w:lvlText w:val="•"/>
      <w:lvlJc w:val="left"/>
      <w:pPr>
        <w:ind w:left="2301" w:hanging="348"/>
      </w:pPr>
      <w:rPr>
        <w:rFonts w:hint="default"/>
      </w:rPr>
    </w:lvl>
    <w:lvl w:ilvl="4">
      <w:numFmt w:val="bullet"/>
      <w:lvlText w:val="•"/>
      <w:lvlJc w:val="left"/>
      <w:pPr>
        <w:ind w:left="3302" w:hanging="348"/>
      </w:pPr>
      <w:rPr>
        <w:rFonts w:hint="default"/>
      </w:rPr>
    </w:lvl>
    <w:lvl w:ilvl="5">
      <w:numFmt w:val="bullet"/>
      <w:lvlText w:val="•"/>
      <w:lvlJc w:val="left"/>
      <w:pPr>
        <w:ind w:left="4302" w:hanging="348"/>
      </w:pPr>
      <w:rPr>
        <w:rFonts w:hint="default"/>
      </w:rPr>
    </w:lvl>
    <w:lvl w:ilvl="6">
      <w:numFmt w:val="bullet"/>
      <w:lvlText w:val="•"/>
      <w:lvlJc w:val="left"/>
      <w:pPr>
        <w:ind w:left="5303" w:hanging="348"/>
      </w:pPr>
      <w:rPr>
        <w:rFonts w:hint="default"/>
      </w:rPr>
    </w:lvl>
    <w:lvl w:ilvl="7">
      <w:numFmt w:val="bullet"/>
      <w:lvlText w:val="•"/>
      <w:lvlJc w:val="left"/>
      <w:pPr>
        <w:ind w:left="6304" w:hanging="348"/>
      </w:pPr>
      <w:rPr>
        <w:rFonts w:hint="default"/>
      </w:rPr>
    </w:lvl>
    <w:lvl w:ilvl="8">
      <w:numFmt w:val="bullet"/>
      <w:lvlText w:val="•"/>
      <w:lvlJc w:val="left"/>
      <w:pPr>
        <w:ind w:left="7304" w:hanging="348"/>
      </w:pPr>
      <w:rPr>
        <w:rFonts w:hint="default"/>
      </w:rPr>
    </w:lvl>
  </w:abstractNum>
  <w:abstractNum w:abstractNumId="7" w15:restartNumberingAfterBreak="0">
    <w:nsid w:val="126273D5"/>
    <w:multiLevelType w:val="hybridMultilevel"/>
    <w:tmpl w:val="17CC5F40"/>
    <w:lvl w:ilvl="0" w:tplc="A838E496">
      <w:start w:val="1"/>
      <w:numFmt w:val="upperLetter"/>
      <w:lvlText w:val="%1)"/>
      <w:lvlJc w:val="left"/>
      <w:pPr>
        <w:ind w:left="836" w:hanging="720"/>
      </w:pPr>
      <w:rPr>
        <w:rFonts w:ascii="Times New Roman" w:eastAsia="Times New Roman" w:hAnsi="Times New Roman" w:cs="Times New Roman" w:hint="default"/>
        <w:b/>
        <w:bCs/>
        <w:spacing w:val="-2"/>
        <w:w w:val="99"/>
        <w:sz w:val="19"/>
        <w:szCs w:val="19"/>
      </w:rPr>
    </w:lvl>
    <w:lvl w:ilvl="1" w:tplc="CFD225FE">
      <w:numFmt w:val="bullet"/>
      <w:lvlText w:val="•"/>
      <w:lvlJc w:val="left"/>
      <w:pPr>
        <w:ind w:left="1686" w:hanging="720"/>
      </w:pPr>
      <w:rPr>
        <w:rFonts w:hint="default"/>
      </w:rPr>
    </w:lvl>
    <w:lvl w:ilvl="2" w:tplc="D12040B6">
      <w:numFmt w:val="bullet"/>
      <w:lvlText w:val="•"/>
      <w:lvlJc w:val="left"/>
      <w:pPr>
        <w:ind w:left="2533" w:hanging="720"/>
      </w:pPr>
      <w:rPr>
        <w:rFonts w:hint="default"/>
      </w:rPr>
    </w:lvl>
    <w:lvl w:ilvl="3" w:tplc="E390D1DA">
      <w:numFmt w:val="bullet"/>
      <w:lvlText w:val="•"/>
      <w:lvlJc w:val="left"/>
      <w:pPr>
        <w:ind w:left="3379" w:hanging="720"/>
      </w:pPr>
      <w:rPr>
        <w:rFonts w:hint="default"/>
      </w:rPr>
    </w:lvl>
    <w:lvl w:ilvl="4" w:tplc="4B0C9642">
      <w:numFmt w:val="bullet"/>
      <w:lvlText w:val="•"/>
      <w:lvlJc w:val="left"/>
      <w:pPr>
        <w:ind w:left="4226" w:hanging="720"/>
      </w:pPr>
      <w:rPr>
        <w:rFonts w:hint="default"/>
      </w:rPr>
    </w:lvl>
    <w:lvl w:ilvl="5" w:tplc="E5B6233A">
      <w:numFmt w:val="bullet"/>
      <w:lvlText w:val="•"/>
      <w:lvlJc w:val="left"/>
      <w:pPr>
        <w:ind w:left="5073" w:hanging="720"/>
      </w:pPr>
      <w:rPr>
        <w:rFonts w:hint="default"/>
      </w:rPr>
    </w:lvl>
    <w:lvl w:ilvl="6" w:tplc="C3F8823E">
      <w:numFmt w:val="bullet"/>
      <w:lvlText w:val="•"/>
      <w:lvlJc w:val="left"/>
      <w:pPr>
        <w:ind w:left="5919" w:hanging="720"/>
      </w:pPr>
      <w:rPr>
        <w:rFonts w:hint="default"/>
      </w:rPr>
    </w:lvl>
    <w:lvl w:ilvl="7" w:tplc="0BE25FD4">
      <w:numFmt w:val="bullet"/>
      <w:lvlText w:val="•"/>
      <w:lvlJc w:val="left"/>
      <w:pPr>
        <w:ind w:left="6766" w:hanging="720"/>
      </w:pPr>
      <w:rPr>
        <w:rFonts w:hint="default"/>
      </w:rPr>
    </w:lvl>
    <w:lvl w:ilvl="8" w:tplc="CF929E04">
      <w:numFmt w:val="bullet"/>
      <w:lvlText w:val="•"/>
      <w:lvlJc w:val="left"/>
      <w:pPr>
        <w:ind w:left="7613" w:hanging="720"/>
      </w:pPr>
      <w:rPr>
        <w:rFonts w:hint="default"/>
      </w:rPr>
    </w:lvl>
  </w:abstractNum>
  <w:abstractNum w:abstractNumId="8" w15:restartNumberingAfterBreak="0">
    <w:nsid w:val="129E6231"/>
    <w:multiLevelType w:val="hybridMultilevel"/>
    <w:tmpl w:val="6D721B96"/>
    <w:lvl w:ilvl="0" w:tplc="BD5C033A">
      <w:numFmt w:val="bullet"/>
      <w:lvlText w:val="o"/>
      <w:lvlJc w:val="left"/>
      <w:pPr>
        <w:ind w:left="1545" w:hanging="360"/>
      </w:pPr>
      <w:rPr>
        <w:rFonts w:ascii="Courier New" w:eastAsia="Courier New" w:hAnsi="Courier New" w:cs="Courier New" w:hint="default"/>
        <w:w w:val="99"/>
        <w:sz w:val="24"/>
        <w:szCs w:val="24"/>
      </w:rPr>
    </w:lvl>
    <w:lvl w:ilvl="1" w:tplc="493CD52C">
      <w:numFmt w:val="bullet"/>
      <w:lvlText w:val=""/>
      <w:lvlJc w:val="left"/>
      <w:pPr>
        <w:ind w:left="2265" w:hanging="360"/>
      </w:pPr>
      <w:rPr>
        <w:rFonts w:ascii="Wingdings" w:eastAsia="Wingdings" w:hAnsi="Wingdings" w:cs="Wingdings" w:hint="default"/>
        <w:w w:val="100"/>
        <w:sz w:val="24"/>
        <w:szCs w:val="24"/>
      </w:rPr>
    </w:lvl>
    <w:lvl w:ilvl="2" w:tplc="A14C4D4A">
      <w:numFmt w:val="bullet"/>
      <w:lvlText w:val="•"/>
      <w:lvlJc w:val="left"/>
      <w:pPr>
        <w:ind w:left="2867" w:hanging="360"/>
      </w:pPr>
      <w:rPr>
        <w:rFonts w:hint="default"/>
      </w:rPr>
    </w:lvl>
    <w:lvl w:ilvl="3" w:tplc="927AEF20">
      <w:numFmt w:val="bullet"/>
      <w:lvlText w:val="•"/>
      <w:lvlJc w:val="left"/>
      <w:pPr>
        <w:ind w:left="3474" w:hanging="360"/>
      </w:pPr>
      <w:rPr>
        <w:rFonts w:hint="default"/>
      </w:rPr>
    </w:lvl>
    <w:lvl w:ilvl="4" w:tplc="1E2AB618">
      <w:numFmt w:val="bullet"/>
      <w:lvlText w:val="•"/>
      <w:lvlJc w:val="left"/>
      <w:pPr>
        <w:ind w:left="4081" w:hanging="360"/>
      </w:pPr>
      <w:rPr>
        <w:rFonts w:hint="default"/>
      </w:rPr>
    </w:lvl>
    <w:lvl w:ilvl="5" w:tplc="420658AA">
      <w:numFmt w:val="bullet"/>
      <w:lvlText w:val="•"/>
      <w:lvlJc w:val="left"/>
      <w:pPr>
        <w:ind w:left="4689" w:hanging="360"/>
      </w:pPr>
      <w:rPr>
        <w:rFonts w:hint="default"/>
      </w:rPr>
    </w:lvl>
    <w:lvl w:ilvl="6" w:tplc="E46ED052">
      <w:numFmt w:val="bullet"/>
      <w:lvlText w:val="•"/>
      <w:lvlJc w:val="left"/>
      <w:pPr>
        <w:ind w:left="5296" w:hanging="360"/>
      </w:pPr>
      <w:rPr>
        <w:rFonts w:hint="default"/>
      </w:rPr>
    </w:lvl>
    <w:lvl w:ilvl="7" w:tplc="7D42C1C6">
      <w:numFmt w:val="bullet"/>
      <w:lvlText w:val="•"/>
      <w:lvlJc w:val="left"/>
      <w:pPr>
        <w:ind w:left="5903" w:hanging="360"/>
      </w:pPr>
      <w:rPr>
        <w:rFonts w:hint="default"/>
      </w:rPr>
    </w:lvl>
    <w:lvl w:ilvl="8" w:tplc="84D2E4CE">
      <w:numFmt w:val="bullet"/>
      <w:lvlText w:val="•"/>
      <w:lvlJc w:val="left"/>
      <w:pPr>
        <w:ind w:left="6511" w:hanging="360"/>
      </w:pPr>
      <w:rPr>
        <w:rFonts w:hint="default"/>
      </w:rPr>
    </w:lvl>
  </w:abstractNum>
  <w:abstractNum w:abstractNumId="9" w15:restartNumberingAfterBreak="0">
    <w:nsid w:val="13AB428B"/>
    <w:multiLevelType w:val="hybridMultilevel"/>
    <w:tmpl w:val="30A234B6"/>
    <w:lvl w:ilvl="0" w:tplc="AF5CE442">
      <w:numFmt w:val="bullet"/>
      <w:lvlText w:val="o"/>
      <w:lvlJc w:val="left"/>
      <w:pPr>
        <w:ind w:left="1556" w:hanging="360"/>
      </w:pPr>
      <w:rPr>
        <w:rFonts w:ascii="Courier New" w:eastAsia="Courier New" w:hAnsi="Courier New" w:cs="Courier New" w:hint="default"/>
        <w:w w:val="99"/>
        <w:sz w:val="24"/>
        <w:szCs w:val="24"/>
      </w:rPr>
    </w:lvl>
    <w:lvl w:ilvl="1" w:tplc="6642652A">
      <w:numFmt w:val="bullet"/>
      <w:lvlText w:val=""/>
      <w:lvlJc w:val="left"/>
      <w:pPr>
        <w:ind w:left="2276" w:hanging="360"/>
      </w:pPr>
      <w:rPr>
        <w:rFonts w:ascii="Wingdings" w:eastAsia="Wingdings" w:hAnsi="Wingdings" w:cs="Wingdings" w:hint="default"/>
        <w:w w:val="100"/>
        <w:sz w:val="24"/>
        <w:szCs w:val="24"/>
      </w:rPr>
    </w:lvl>
    <w:lvl w:ilvl="2" w:tplc="88DE37DC">
      <w:numFmt w:val="bullet"/>
      <w:lvlText w:val="•"/>
      <w:lvlJc w:val="left"/>
      <w:pPr>
        <w:ind w:left="3060" w:hanging="360"/>
      </w:pPr>
      <w:rPr>
        <w:rFonts w:hint="default"/>
      </w:rPr>
    </w:lvl>
    <w:lvl w:ilvl="3" w:tplc="45F40EE8">
      <w:numFmt w:val="bullet"/>
      <w:lvlText w:val="•"/>
      <w:lvlJc w:val="left"/>
      <w:pPr>
        <w:ind w:left="3841" w:hanging="360"/>
      </w:pPr>
      <w:rPr>
        <w:rFonts w:hint="default"/>
      </w:rPr>
    </w:lvl>
    <w:lvl w:ilvl="4" w:tplc="2E049462">
      <w:numFmt w:val="bullet"/>
      <w:lvlText w:val="•"/>
      <w:lvlJc w:val="left"/>
      <w:pPr>
        <w:ind w:left="4622" w:hanging="360"/>
      </w:pPr>
      <w:rPr>
        <w:rFonts w:hint="default"/>
      </w:rPr>
    </w:lvl>
    <w:lvl w:ilvl="5" w:tplc="DFB4B596">
      <w:numFmt w:val="bullet"/>
      <w:lvlText w:val="•"/>
      <w:lvlJc w:val="left"/>
      <w:pPr>
        <w:ind w:left="5402" w:hanging="360"/>
      </w:pPr>
      <w:rPr>
        <w:rFonts w:hint="default"/>
      </w:rPr>
    </w:lvl>
    <w:lvl w:ilvl="6" w:tplc="E188990E">
      <w:numFmt w:val="bullet"/>
      <w:lvlText w:val="•"/>
      <w:lvlJc w:val="left"/>
      <w:pPr>
        <w:ind w:left="6183" w:hanging="360"/>
      </w:pPr>
      <w:rPr>
        <w:rFonts w:hint="default"/>
      </w:rPr>
    </w:lvl>
    <w:lvl w:ilvl="7" w:tplc="58042764">
      <w:numFmt w:val="bullet"/>
      <w:lvlText w:val="•"/>
      <w:lvlJc w:val="left"/>
      <w:pPr>
        <w:ind w:left="6964" w:hanging="360"/>
      </w:pPr>
      <w:rPr>
        <w:rFonts w:hint="default"/>
      </w:rPr>
    </w:lvl>
    <w:lvl w:ilvl="8" w:tplc="B1D81F46">
      <w:numFmt w:val="bullet"/>
      <w:lvlText w:val="•"/>
      <w:lvlJc w:val="left"/>
      <w:pPr>
        <w:ind w:left="7744" w:hanging="360"/>
      </w:pPr>
      <w:rPr>
        <w:rFonts w:hint="default"/>
      </w:rPr>
    </w:lvl>
  </w:abstractNum>
  <w:abstractNum w:abstractNumId="10" w15:restartNumberingAfterBreak="0">
    <w:nsid w:val="18DF4DEF"/>
    <w:multiLevelType w:val="multilevel"/>
    <w:tmpl w:val="019ADC58"/>
    <w:lvl w:ilvl="0">
      <w:start w:val="9"/>
      <w:numFmt w:val="decimal"/>
      <w:lvlText w:val="%1."/>
      <w:lvlJc w:val="left"/>
      <w:pPr>
        <w:ind w:left="524" w:hanging="240"/>
      </w:pPr>
      <w:rPr>
        <w:rFonts w:ascii="Times New Roman" w:eastAsia="Times New Roman" w:hAnsi="Times New Roman" w:cs="Times New Roman" w:hint="default"/>
        <w:b/>
        <w:bCs/>
        <w:spacing w:val="-2"/>
        <w:w w:val="99"/>
        <w:sz w:val="24"/>
        <w:szCs w:val="24"/>
      </w:rPr>
    </w:lvl>
    <w:lvl w:ilvl="1">
      <w:start w:val="1"/>
      <w:numFmt w:val="decimal"/>
      <w:lvlText w:val="%1.%2"/>
      <w:lvlJc w:val="left"/>
      <w:pPr>
        <w:ind w:left="464" w:hanging="348"/>
      </w:pPr>
      <w:rPr>
        <w:rFonts w:ascii="Times New Roman" w:eastAsia="Times New Roman" w:hAnsi="Times New Roman" w:cs="Times New Roman" w:hint="default"/>
        <w:b/>
        <w:bCs/>
        <w:w w:val="100"/>
        <w:sz w:val="24"/>
        <w:szCs w:val="24"/>
      </w:rPr>
    </w:lvl>
    <w:lvl w:ilvl="2">
      <w:numFmt w:val="bullet"/>
      <w:lvlText w:val="•"/>
      <w:lvlJc w:val="left"/>
      <w:pPr>
        <w:ind w:left="580" w:hanging="348"/>
      </w:pPr>
      <w:rPr>
        <w:rFonts w:hint="default"/>
      </w:rPr>
    </w:lvl>
    <w:lvl w:ilvl="3">
      <w:numFmt w:val="bullet"/>
      <w:lvlText w:val="•"/>
      <w:lvlJc w:val="left"/>
      <w:pPr>
        <w:ind w:left="1670" w:hanging="348"/>
      </w:pPr>
      <w:rPr>
        <w:rFonts w:hint="default"/>
      </w:rPr>
    </w:lvl>
    <w:lvl w:ilvl="4">
      <w:numFmt w:val="bullet"/>
      <w:lvlText w:val="•"/>
      <w:lvlJc w:val="left"/>
      <w:pPr>
        <w:ind w:left="2761" w:hanging="348"/>
      </w:pPr>
      <w:rPr>
        <w:rFonts w:hint="default"/>
      </w:rPr>
    </w:lvl>
    <w:lvl w:ilvl="5">
      <w:numFmt w:val="bullet"/>
      <w:lvlText w:val="•"/>
      <w:lvlJc w:val="left"/>
      <w:pPr>
        <w:ind w:left="3852" w:hanging="348"/>
      </w:pPr>
      <w:rPr>
        <w:rFonts w:hint="default"/>
      </w:rPr>
    </w:lvl>
    <w:lvl w:ilvl="6">
      <w:numFmt w:val="bullet"/>
      <w:lvlText w:val="•"/>
      <w:lvlJc w:val="left"/>
      <w:pPr>
        <w:ind w:left="4943" w:hanging="348"/>
      </w:pPr>
      <w:rPr>
        <w:rFonts w:hint="default"/>
      </w:rPr>
    </w:lvl>
    <w:lvl w:ilvl="7">
      <w:numFmt w:val="bullet"/>
      <w:lvlText w:val="•"/>
      <w:lvlJc w:val="left"/>
      <w:pPr>
        <w:ind w:left="6034" w:hanging="348"/>
      </w:pPr>
      <w:rPr>
        <w:rFonts w:hint="default"/>
      </w:rPr>
    </w:lvl>
    <w:lvl w:ilvl="8">
      <w:numFmt w:val="bullet"/>
      <w:lvlText w:val="•"/>
      <w:lvlJc w:val="left"/>
      <w:pPr>
        <w:ind w:left="7124" w:hanging="348"/>
      </w:pPr>
      <w:rPr>
        <w:rFonts w:hint="default"/>
      </w:rPr>
    </w:lvl>
  </w:abstractNum>
  <w:abstractNum w:abstractNumId="11" w15:restartNumberingAfterBreak="0">
    <w:nsid w:val="190E50BF"/>
    <w:multiLevelType w:val="hybridMultilevel"/>
    <w:tmpl w:val="C70A56B0"/>
    <w:lvl w:ilvl="0" w:tplc="259C54AC">
      <w:numFmt w:val="bullet"/>
      <w:lvlText w:val="-"/>
      <w:lvlJc w:val="left"/>
      <w:pPr>
        <w:ind w:left="836" w:hanging="360"/>
      </w:pPr>
      <w:rPr>
        <w:rFonts w:ascii="Times New Roman" w:eastAsia="Times New Roman" w:hAnsi="Times New Roman" w:cs="Times New Roman" w:hint="default"/>
        <w:spacing w:val="-6"/>
        <w:w w:val="99"/>
        <w:sz w:val="24"/>
        <w:szCs w:val="24"/>
      </w:rPr>
    </w:lvl>
    <w:lvl w:ilvl="1" w:tplc="A82892FE">
      <w:numFmt w:val="bullet"/>
      <w:lvlText w:val="•"/>
      <w:lvlJc w:val="left"/>
      <w:pPr>
        <w:ind w:left="1686" w:hanging="360"/>
      </w:pPr>
      <w:rPr>
        <w:rFonts w:hint="default"/>
      </w:rPr>
    </w:lvl>
    <w:lvl w:ilvl="2" w:tplc="9D62302A">
      <w:numFmt w:val="bullet"/>
      <w:lvlText w:val="•"/>
      <w:lvlJc w:val="left"/>
      <w:pPr>
        <w:ind w:left="2533" w:hanging="360"/>
      </w:pPr>
      <w:rPr>
        <w:rFonts w:hint="default"/>
      </w:rPr>
    </w:lvl>
    <w:lvl w:ilvl="3" w:tplc="04E08320">
      <w:numFmt w:val="bullet"/>
      <w:lvlText w:val="•"/>
      <w:lvlJc w:val="left"/>
      <w:pPr>
        <w:ind w:left="3379" w:hanging="360"/>
      </w:pPr>
      <w:rPr>
        <w:rFonts w:hint="default"/>
      </w:rPr>
    </w:lvl>
    <w:lvl w:ilvl="4" w:tplc="09184264">
      <w:numFmt w:val="bullet"/>
      <w:lvlText w:val="•"/>
      <w:lvlJc w:val="left"/>
      <w:pPr>
        <w:ind w:left="4226" w:hanging="360"/>
      </w:pPr>
      <w:rPr>
        <w:rFonts w:hint="default"/>
      </w:rPr>
    </w:lvl>
    <w:lvl w:ilvl="5" w:tplc="4C38958A">
      <w:numFmt w:val="bullet"/>
      <w:lvlText w:val="•"/>
      <w:lvlJc w:val="left"/>
      <w:pPr>
        <w:ind w:left="5073" w:hanging="360"/>
      </w:pPr>
      <w:rPr>
        <w:rFonts w:hint="default"/>
      </w:rPr>
    </w:lvl>
    <w:lvl w:ilvl="6" w:tplc="53C4F83A">
      <w:numFmt w:val="bullet"/>
      <w:lvlText w:val="•"/>
      <w:lvlJc w:val="left"/>
      <w:pPr>
        <w:ind w:left="5919" w:hanging="360"/>
      </w:pPr>
      <w:rPr>
        <w:rFonts w:hint="default"/>
      </w:rPr>
    </w:lvl>
    <w:lvl w:ilvl="7" w:tplc="939A1BAA">
      <w:numFmt w:val="bullet"/>
      <w:lvlText w:val="•"/>
      <w:lvlJc w:val="left"/>
      <w:pPr>
        <w:ind w:left="6766" w:hanging="360"/>
      </w:pPr>
      <w:rPr>
        <w:rFonts w:hint="default"/>
      </w:rPr>
    </w:lvl>
    <w:lvl w:ilvl="8" w:tplc="8AB49978">
      <w:numFmt w:val="bullet"/>
      <w:lvlText w:val="•"/>
      <w:lvlJc w:val="left"/>
      <w:pPr>
        <w:ind w:left="7613" w:hanging="360"/>
      </w:pPr>
      <w:rPr>
        <w:rFonts w:hint="default"/>
      </w:rPr>
    </w:lvl>
  </w:abstractNum>
  <w:abstractNum w:abstractNumId="12" w15:restartNumberingAfterBreak="0">
    <w:nsid w:val="1A39337C"/>
    <w:multiLevelType w:val="hybridMultilevel"/>
    <w:tmpl w:val="AD64546C"/>
    <w:lvl w:ilvl="0" w:tplc="079E9B2C">
      <w:numFmt w:val="bullet"/>
      <w:lvlText w:val="-"/>
      <w:lvlJc w:val="left"/>
      <w:pPr>
        <w:ind w:left="116" w:hanging="140"/>
      </w:pPr>
      <w:rPr>
        <w:rFonts w:ascii="Times New Roman" w:eastAsia="Times New Roman" w:hAnsi="Times New Roman" w:cs="Times New Roman" w:hint="default"/>
        <w:w w:val="99"/>
        <w:sz w:val="24"/>
        <w:szCs w:val="24"/>
      </w:rPr>
    </w:lvl>
    <w:lvl w:ilvl="1" w:tplc="887C9938">
      <w:numFmt w:val="bullet"/>
      <w:lvlText w:val=""/>
      <w:lvlJc w:val="left"/>
      <w:pPr>
        <w:ind w:left="836" w:hanging="360"/>
      </w:pPr>
      <w:rPr>
        <w:rFonts w:ascii="Symbol" w:eastAsia="Symbol" w:hAnsi="Symbol" w:cs="Symbol" w:hint="default"/>
        <w:w w:val="100"/>
        <w:sz w:val="24"/>
        <w:szCs w:val="24"/>
      </w:rPr>
    </w:lvl>
    <w:lvl w:ilvl="2" w:tplc="A70CF3EC">
      <w:numFmt w:val="bullet"/>
      <w:lvlText w:val="•"/>
      <w:lvlJc w:val="left"/>
      <w:pPr>
        <w:ind w:left="1780" w:hanging="360"/>
      </w:pPr>
      <w:rPr>
        <w:rFonts w:hint="default"/>
      </w:rPr>
    </w:lvl>
    <w:lvl w:ilvl="3" w:tplc="28BC35DC">
      <w:numFmt w:val="bullet"/>
      <w:lvlText w:val="•"/>
      <w:lvlJc w:val="left"/>
      <w:pPr>
        <w:ind w:left="2721" w:hanging="360"/>
      </w:pPr>
      <w:rPr>
        <w:rFonts w:hint="default"/>
      </w:rPr>
    </w:lvl>
    <w:lvl w:ilvl="4" w:tplc="BCFC9014">
      <w:numFmt w:val="bullet"/>
      <w:lvlText w:val="•"/>
      <w:lvlJc w:val="left"/>
      <w:pPr>
        <w:ind w:left="3662" w:hanging="360"/>
      </w:pPr>
      <w:rPr>
        <w:rFonts w:hint="default"/>
      </w:rPr>
    </w:lvl>
    <w:lvl w:ilvl="5" w:tplc="ED682EEA">
      <w:numFmt w:val="bullet"/>
      <w:lvlText w:val="•"/>
      <w:lvlJc w:val="left"/>
      <w:pPr>
        <w:ind w:left="4602" w:hanging="360"/>
      </w:pPr>
      <w:rPr>
        <w:rFonts w:hint="default"/>
      </w:rPr>
    </w:lvl>
    <w:lvl w:ilvl="6" w:tplc="3618AA28">
      <w:numFmt w:val="bullet"/>
      <w:lvlText w:val="•"/>
      <w:lvlJc w:val="left"/>
      <w:pPr>
        <w:ind w:left="5543" w:hanging="360"/>
      </w:pPr>
      <w:rPr>
        <w:rFonts w:hint="default"/>
      </w:rPr>
    </w:lvl>
    <w:lvl w:ilvl="7" w:tplc="5C243A34">
      <w:numFmt w:val="bullet"/>
      <w:lvlText w:val="•"/>
      <w:lvlJc w:val="left"/>
      <w:pPr>
        <w:ind w:left="6484" w:hanging="360"/>
      </w:pPr>
      <w:rPr>
        <w:rFonts w:hint="default"/>
      </w:rPr>
    </w:lvl>
    <w:lvl w:ilvl="8" w:tplc="54CEC1BE">
      <w:numFmt w:val="bullet"/>
      <w:lvlText w:val="•"/>
      <w:lvlJc w:val="left"/>
      <w:pPr>
        <w:ind w:left="7424" w:hanging="360"/>
      </w:pPr>
      <w:rPr>
        <w:rFonts w:hint="default"/>
      </w:rPr>
    </w:lvl>
  </w:abstractNum>
  <w:abstractNum w:abstractNumId="13" w15:restartNumberingAfterBreak="0">
    <w:nsid w:val="1BB111A5"/>
    <w:multiLevelType w:val="hybridMultilevel"/>
    <w:tmpl w:val="20F83430"/>
    <w:lvl w:ilvl="0" w:tplc="71F0A3C8">
      <w:numFmt w:val="bullet"/>
      <w:lvlText w:val=""/>
      <w:lvlJc w:val="left"/>
      <w:pPr>
        <w:ind w:left="571" w:hanging="166"/>
      </w:pPr>
      <w:rPr>
        <w:rFonts w:ascii="Wingdings 2" w:eastAsia="Wingdings 2" w:hAnsi="Wingdings 2" w:cs="Wingdings 2" w:hint="default"/>
        <w:b/>
        <w:bCs/>
        <w:w w:val="100"/>
        <w:sz w:val="16"/>
        <w:szCs w:val="16"/>
      </w:rPr>
    </w:lvl>
    <w:lvl w:ilvl="1" w:tplc="C38EB594">
      <w:numFmt w:val="bullet"/>
      <w:lvlText w:val="•"/>
      <w:lvlJc w:val="left"/>
      <w:pPr>
        <w:ind w:left="702" w:hanging="166"/>
      </w:pPr>
      <w:rPr>
        <w:rFonts w:hint="default"/>
      </w:rPr>
    </w:lvl>
    <w:lvl w:ilvl="2" w:tplc="7BD282D0">
      <w:numFmt w:val="bullet"/>
      <w:lvlText w:val="•"/>
      <w:lvlJc w:val="left"/>
      <w:pPr>
        <w:ind w:left="824" w:hanging="166"/>
      </w:pPr>
      <w:rPr>
        <w:rFonts w:hint="default"/>
      </w:rPr>
    </w:lvl>
    <w:lvl w:ilvl="3" w:tplc="F7308ED0">
      <w:numFmt w:val="bullet"/>
      <w:lvlText w:val="•"/>
      <w:lvlJc w:val="left"/>
      <w:pPr>
        <w:ind w:left="946" w:hanging="166"/>
      </w:pPr>
      <w:rPr>
        <w:rFonts w:hint="default"/>
      </w:rPr>
    </w:lvl>
    <w:lvl w:ilvl="4" w:tplc="28EA207E">
      <w:numFmt w:val="bullet"/>
      <w:lvlText w:val="•"/>
      <w:lvlJc w:val="left"/>
      <w:pPr>
        <w:ind w:left="1068" w:hanging="166"/>
      </w:pPr>
      <w:rPr>
        <w:rFonts w:hint="default"/>
      </w:rPr>
    </w:lvl>
    <w:lvl w:ilvl="5" w:tplc="D34EE7C4">
      <w:numFmt w:val="bullet"/>
      <w:lvlText w:val="•"/>
      <w:lvlJc w:val="left"/>
      <w:pPr>
        <w:ind w:left="1191" w:hanging="166"/>
      </w:pPr>
      <w:rPr>
        <w:rFonts w:hint="default"/>
      </w:rPr>
    </w:lvl>
    <w:lvl w:ilvl="6" w:tplc="FBE89C6A">
      <w:numFmt w:val="bullet"/>
      <w:lvlText w:val="•"/>
      <w:lvlJc w:val="left"/>
      <w:pPr>
        <w:ind w:left="1313" w:hanging="166"/>
      </w:pPr>
      <w:rPr>
        <w:rFonts w:hint="default"/>
      </w:rPr>
    </w:lvl>
    <w:lvl w:ilvl="7" w:tplc="0240CE08">
      <w:numFmt w:val="bullet"/>
      <w:lvlText w:val="•"/>
      <w:lvlJc w:val="left"/>
      <w:pPr>
        <w:ind w:left="1435" w:hanging="166"/>
      </w:pPr>
      <w:rPr>
        <w:rFonts w:hint="default"/>
      </w:rPr>
    </w:lvl>
    <w:lvl w:ilvl="8" w:tplc="BF1ACD4E">
      <w:numFmt w:val="bullet"/>
      <w:lvlText w:val="•"/>
      <w:lvlJc w:val="left"/>
      <w:pPr>
        <w:ind w:left="1557" w:hanging="166"/>
      </w:pPr>
      <w:rPr>
        <w:rFonts w:hint="default"/>
      </w:rPr>
    </w:lvl>
  </w:abstractNum>
  <w:abstractNum w:abstractNumId="14" w15:restartNumberingAfterBreak="0">
    <w:nsid w:val="21D35253"/>
    <w:multiLevelType w:val="hybridMultilevel"/>
    <w:tmpl w:val="24D43CD6"/>
    <w:lvl w:ilvl="0" w:tplc="69347F98">
      <w:numFmt w:val="bullet"/>
      <w:lvlText w:val="-"/>
      <w:lvlJc w:val="left"/>
      <w:pPr>
        <w:ind w:left="836" w:hanging="360"/>
      </w:pPr>
      <w:rPr>
        <w:rFonts w:ascii="Times New Roman" w:eastAsia="Times New Roman" w:hAnsi="Times New Roman" w:cs="Times New Roman" w:hint="default"/>
        <w:spacing w:val="-4"/>
        <w:w w:val="99"/>
        <w:sz w:val="24"/>
        <w:szCs w:val="24"/>
      </w:rPr>
    </w:lvl>
    <w:lvl w:ilvl="1" w:tplc="6CD49348">
      <w:numFmt w:val="bullet"/>
      <w:lvlText w:val="•"/>
      <w:lvlJc w:val="left"/>
      <w:pPr>
        <w:ind w:left="1686" w:hanging="360"/>
      </w:pPr>
      <w:rPr>
        <w:rFonts w:hint="default"/>
      </w:rPr>
    </w:lvl>
    <w:lvl w:ilvl="2" w:tplc="C69023FA">
      <w:numFmt w:val="bullet"/>
      <w:lvlText w:val="•"/>
      <w:lvlJc w:val="left"/>
      <w:pPr>
        <w:ind w:left="2533" w:hanging="360"/>
      </w:pPr>
      <w:rPr>
        <w:rFonts w:hint="default"/>
      </w:rPr>
    </w:lvl>
    <w:lvl w:ilvl="3" w:tplc="A9103E96">
      <w:numFmt w:val="bullet"/>
      <w:lvlText w:val="•"/>
      <w:lvlJc w:val="left"/>
      <w:pPr>
        <w:ind w:left="3379" w:hanging="360"/>
      </w:pPr>
      <w:rPr>
        <w:rFonts w:hint="default"/>
      </w:rPr>
    </w:lvl>
    <w:lvl w:ilvl="4" w:tplc="868636BE">
      <w:numFmt w:val="bullet"/>
      <w:lvlText w:val="•"/>
      <w:lvlJc w:val="left"/>
      <w:pPr>
        <w:ind w:left="4226" w:hanging="360"/>
      </w:pPr>
      <w:rPr>
        <w:rFonts w:hint="default"/>
      </w:rPr>
    </w:lvl>
    <w:lvl w:ilvl="5" w:tplc="A81845DE">
      <w:numFmt w:val="bullet"/>
      <w:lvlText w:val="•"/>
      <w:lvlJc w:val="left"/>
      <w:pPr>
        <w:ind w:left="5073" w:hanging="360"/>
      </w:pPr>
      <w:rPr>
        <w:rFonts w:hint="default"/>
      </w:rPr>
    </w:lvl>
    <w:lvl w:ilvl="6" w:tplc="D87C96B4">
      <w:numFmt w:val="bullet"/>
      <w:lvlText w:val="•"/>
      <w:lvlJc w:val="left"/>
      <w:pPr>
        <w:ind w:left="5919" w:hanging="360"/>
      </w:pPr>
      <w:rPr>
        <w:rFonts w:hint="default"/>
      </w:rPr>
    </w:lvl>
    <w:lvl w:ilvl="7" w:tplc="045A44A8">
      <w:numFmt w:val="bullet"/>
      <w:lvlText w:val="•"/>
      <w:lvlJc w:val="left"/>
      <w:pPr>
        <w:ind w:left="6766" w:hanging="360"/>
      </w:pPr>
      <w:rPr>
        <w:rFonts w:hint="default"/>
      </w:rPr>
    </w:lvl>
    <w:lvl w:ilvl="8" w:tplc="699C2584">
      <w:numFmt w:val="bullet"/>
      <w:lvlText w:val="•"/>
      <w:lvlJc w:val="left"/>
      <w:pPr>
        <w:ind w:left="7613" w:hanging="360"/>
      </w:pPr>
      <w:rPr>
        <w:rFonts w:hint="default"/>
      </w:rPr>
    </w:lvl>
  </w:abstractNum>
  <w:abstractNum w:abstractNumId="15" w15:restartNumberingAfterBreak="0">
    <w:nsid w:val="23854F13"/>
    <w:multiLevelType w:val="hybridMultilevel"/>
    <w:tmpl w:val="8408851E"/>
    <w:lvl w:ilvl="0" w:tplc="5D749200">
      <w:numFmt w:val="bullet"/>
      <w:lvlText w:val="o"/>
      <w:lvlJc w:val="left"/>
      <w:pPr>
        <w:ind w:left="1556" w:hanging="360"/>
      </w:pPr>
      <w:rPr>
        <w:rFonts w:ascii="Courier New" w:eastAsia="Courier New" w:hAnsi="Courier New" w:cs="Courier New" w:hint="default"/>
        <w:w w:val="99"/>
        <w:sz w:val="24"/>
        <w:szCs w:val="24"/>
      </w:rPr>
    </w:lvl>
    <w:lvl w:ilvl="1" w:tplc="6E16A950">
      <w:numFmt w:val="bullet"/>
      <w:lvlText w:val="•"/>
      <w:lvlJc w:val="left"/>
      <w:pPr>
        <w:ind w:left="2334" w:hanging="360"/>
      </w:pPr>
      <w:rPr>
        <w:rFonts w:hint="default"/>
      </w:rPr>
    </w:lvl>
    <w:lvl w:ilvl="2" w:tplc="DEE8ED2A">
      <w:numFmt w:val="bullet"/>
      <w:lvlText w:val="•"/>
      <w:lvlJc w:val="left"/>
      <w:pPr>
        <w:ind w:left="3109" w:hanging="360"/>
      </w:pPr>
      <w:rPr>
        <w:rFonts w:hint="default"/>
      </w:rPr>
    </w:lvl>
    <w:lvl w:ilvl="3" w:tplc="03B0DFCC">
      <w:numFmt w:val="bullet"/>
      <w:lvlText w:val="•"/>
      <w:lvlJc w:val="left"/>
      <w:pPr>
        <w:ind w:left="3883" w:hanging="360"/>
      </w:pPr>
      <w:rPr>
        <w:rFonts w:hint="default"/>
      </w:rPr>
    </w:lvl>
    <w:lvl w:ilvl="4" w:tplc="462433D4">
      <w:numFmt w:val="bullet"/>
      <w:lvlText w:val="•"/>
      <w:lvlJc w:val="left"/>
      <w:pPr>
        <w:ind w:left="4658" w:hanging="360"/>
      </w:pPr>
      <w:rPr>
        <w:rFonts w:hint="default"/>
      </w:rPr>
    </w:lvl>
    <w:lvl w:ilvl="5" w:tplc="9B90593C">
      <w:numFmt w:val="bullet"/>
      <w:lvlText w:val="•"/>
      <w:lvlJc w:val="left"/>
      <w:pPr>
        <w:ind w:left="5433" w:hanging="360"/>
      </w:pPr>
      <w:rPr>
        <w:rFonts w:hint="default"/>
      </w:rPr>
    </w:lvl>
    <w:lvl w:ilvl="6" w:tplc="E7AA13B4">
      <w:numFmt w:val="bullet"/>
      <w:lvlText w:val="•"/>
      <w:lvlJc w:val="left"/>
      <w:pPr>
        <w:ind w:left="6207" w:hanging="360"/>
      </w:pPr>
      <w:rPr>
        <w:rFonts w:hint="default"/>
      </w:rPr>
    </w:lvl>
    <w:lvl w:ilvl="7" w:tplc="5F14F490">
      <w:numFmt w:val="bullet"/>
      <w:lvlText w:val="•"/>
      <w:lvlJc w:val="left"/>
      <w:pPr>
        <w:ind w:left="6982" w:hanging="360"/>
      </w:pPr>
      <w:rPr>
        <w:rFonts w:hint="default"/>
      </w:rPr>
    </w:lvl>
    <w:lvl w:ilvl="8" w:tplc="BDE6D5AE">
      <w:numFmt w:val="bullet"/>
      <w:lvlText w:val="•"/>
      <w:lvlJc w:val="left"/>
      <w:pPr>
        <w:ind w:left="7757" w:hanging="360"/>
      </w:pPr>
      <w:rPr>
        <w:rFonts w:hint="default"/>
      </w:rPr>
    </w:lvl>
  </w:abstractNum>
  <w:abstractNum w:abstractNumId="16" w15:restartNumberingAfterBreak="0">
    <w:nsid w:val="239708E8"/>
    <w:multiLevelType w:val="hybridMultilevel"/>
    <w:tmpl w:val="D00A9916"/>
    <w:lvl w:ilvl="0" w:tplc="629438FE">
      <w:numFmt w:val="bullet"/>
      <w:lvlText w:val=""/>
      <w:lvlJc w:val="left"/>
      <w:pPr>
        <w:ind w:left="476" w:hanging="360"/>
      </w:pPr>
      <w:rPr>
        <w:rFonts w:ascii="Symbol" w:eastAsia="Symbol" w:hAnsi="Symbol" w:cs="Symbol" w:hint="default"/>
        <w:w w:val="100"/>
        <w:sz w:val="24"/>
        <w:szCs w:val="24"/>
      </w:rPr>
    </w:lvl>
    <w:lvl w:ilvl="1" w:tplc="DEE459B4">
      <w:numFmt w:val="bullet"/>
      <w:lvlText w:val="o"/>
      <w:lvlJc w:val="left"/>
      <w:pPr>
        <w:ind w:left="1196" w:hanging="360"/>
      </w:pPr>
      <w:rPr>
        <w:rFonts w:ascii="Courier New" w:eastAsia="Courier New" w:hAnsi="Courier New" w:cs="Courier New" w:hint="default"/>
        <w:w w:val="99"/>
        <w:sz w:val="24"/>
        <w:szCs w:val="24"/>
      </w:rPr>
    </w:lvl>
    <w:lvl w:ilvl="2" w:tplc="9FD65D82">
      <w:numFmt w:val="bullet"/>
      <w:lvlText w:val="•"/>
      <w:lvlJc w:val="left"/>
      <w:pPr>
        <w:ind w:left="2100" w:hanging="360"/>
      </w:pPr>
      <w:rPr>
        <w:rFonts w:hint="default"/>
      </w:rPr>
    </w:lvl>
    <w:lvl w:ilvl="3" w:tplc="DBB8E14C">
      <w:numFmt w:val="bullet"/>
      <w:lvlText w:val="•"/>
      <w:lvlJc w:val="left"/>
      <w:pPr>
        <w:ind w:left="3001" w:hanging="360"/>
      </w:pPr>
      <w:rPr>
        <w:rFonts w:hint="default"/>
      </w:rPr>
    </w:lvl>
    <w:lvl w:ilvl="4" w:tplc="CAF6CD9E">
      <w:numFmt w:val="bullet"/>
      <w:lvlText w:val="•"/>
      <w:lvlJc w:val="left"/>
      <w:pPr>
        <w:ind w:left="3902" w:hanging="360"/>
      </w:pPr>
      <w:rPr>
        <w:rFonts w:hint="default"/>
      </w:rPr>
    </w:lvl>
    <w:lvl w:ilvl="5" w:tplc="9B64E49C">
      <w:numFmt w:val="bullet"/>
      <w:lvlText w:val="•"/>
      <w:lvlJc w:val="left"/>
      <w:pPr>
        <w:ind w:left="4802" w:hanging="360"/>
      </w:pPr>
      <w:rPr>
        <w:rFonts w:hint="default"/>
      </w:rPr>
    </w:lvl>
    <w:lvl w:ilvl="6" w:tplc="CA3CF252">
      <w:numFmt w:val="bullet"/>
      <w:lvlText w:val="•"/>
      <w:lvlJc w:val="left"/>
      <w:pPr>
        <w:ind w:left="5703" w:hanging="360"/>
      </w:pPr>
      <w:rPr>
        <w:rFonts w:hint="default"/>
      </w:rPr>
    </w:lvl>
    <w:lvl w:ilvl="7" w:tplc="DACEBDB4">
      <w:numFmt w:val="bullet"/>
      <w:lvlText w:val="•"/>
      <w:lvlJc w:val="left"/>
      <w:pPr>
        <w:ind w:left="6604" w:hanging="360"/>
      </w:pPr>
      <w:rPr>
        <w:rFonts w:hint="default"/>
      </w:rPr>
    </w:lvl>
    <w:lvl w:ilvl="8" w:tplc="127A2D16">
      <w:numFmt w:val="bullet"/>
      <w:lvlText w:val="•"/>
      <w:lvlJc w:val="left"/>
      <w:pPr>
        <w:ind w:left="7504" w:hanging="360"/>
      </w:pPr>
      <w:rPr>
        <w:rFonts w:hint="default"/>
      </w:rPr>
    </w:lvl>
  </w:abstractNum>
  <w:abstractNum w:abstractNumId="17" w15:restartNumberingAfterBreak="0">
    <w:nsid w:val="25A30991"/>
    <w:multiLevelType w:val="hybridMultilevel"/>
    <w:tmpl w:val="65E0AB1A"/>
    <w:lvl w:ilvl="0" w:tplc="913C179A">
      <w:numFmt w:val="bullet"/>
      <w:lvlText w:val="o"/>
      <w:lvlJc w:val="left"/>
      <w:pPr>
        <w:ind w:left="1545" w:hanging="360"/>
      </w:pPr>
      <w:rPr>
        <w:rFonts w:ascii="Courier New" w:eastAsia="Courier New" w:hAnsi="Courier New" w:cs="Courier New" w:hint="default"/>
        <w:w w:val="99"/>
        <w:sz w:val="24"/>
        <w:szCs w:val="24"/>
      </w:rPr>
    </w:lvl>
    <w:lvl w:ilvl="1" w:tplc="E7449AFC">
      <w:numFmt w:val="bullet"/>
      <w:lvlText w:val="•"/>
      <w:lvlJc w:val="left"/>
      <w:pPr>
        <w:ind w:left="2158" w:hanging="360"/>
      </w:pPr>
      <w:rPr>
        <w:rFonts w:hint="default"/>
      </w:rPr>
    </w:lvl>
    <w:lvl w:ilvl="2" w:tplc="4FC82B98">
      <w:numFmt w:val="bullet"/>
      <w:lvlText w:val="•"/>
      <w:lvlJc w:val="left"/>
      <w:pPr>
        <w:ind w:left="2777" w:hanging="360"/>
      </w:pPr>
      <w:rPr>
        <w:rFonts w:hint="default"/>
      </w:rPr>
    </w:lvl>
    <w:lvl w:ilvl="3" w:tplc="B8B0F1D2">
      <w:numFmt w:val="bullet"/>
      <w:lvlText w:val="•"/>
      <w:lvlJc w:val="left"/>
      <w:pPr>
        <w:ind w:left="3395" w:hanging="360"/>
      </w:pPr>
      <w:rPr>
        <w:rFonts w:hint="default"/>
      </w:rPr>
    </w:lvl>
    <w:lvl w:ilvl="4" w:tplc="C630B776">
      <w:numFmt w:val="bullet"/>
      <w:lvlText w:val="•"/>
      <w:lvlJc w:val="left"/>
      <w:pPr>
        <w:ind w:left="4014" w:hanging="360"/>
      </w:pPr>
      <w:rPr>
        <w:rFonts w:hint="default"/>
      </w:rPr>
    </w:lvl>
    <w:lvl w:ilvl="5" w:tplc="C9A423DC">
      <w:numFmt w:val="bullet"/>
      <w:lvlText w:val="•"/>
      <w:lvlJc w:val="left"/>
      <w:pPr>
        <w:ind w:left="4632" w:hanging="360"/>
      </w:pPr>
      <w:rPr>
        <w:rFonts w:hint="default"/>
      </w:rPr>
    </w:lvl>
    <w:lvl w:ilvl="6" w:tplc="326E09AE">
      <w:numFmt w:val="bullet"/>
      <w:lvlText w:val="•"/>
      <w:lvlJc w:val="left"/>
      <w:pPr>
        <w:ind w:left="5251" w:hanging="360"/>
      </w:pPr>
      <w:rPr>
        <w:rFonts w:hint="default"/>
      </w:rPr>
    </w:lvl>
    <w:lvl w:ilvl="7" w:tplc="A5540AFA">
      <w:numFmt w:val="bullet"/>
      <w:lvlText w:val="•"/>
      <w:lvlJc w:val="left"/>
      <w:pPr>
        <w:ind w:left="5869" w:hanging="360"/>
      </w:pPr>
      <w:rPr>
        <w:rFonts w:hint="default"/>
      </w:rPr>
    </w:lvl>
    <w:lvl w:ilvl="8" w:tplc="85CC7EAE">
      <w:numFmt w:val="bullet"/>
      <w:lvlText w:val="•"/>
      <w:lvlJc w:val="left"/>
      <w:pPr>
        <w:ind w:left="6488" w:hanging="360"/>
      </w:pPr>
      <w:rPr>
        <w:rFonts w:hint="default"/>
      </w:rPr>
    </w:lvl>
  </w:abstractNum>
  <w:abstractNum w:abstractNumId="18" w15:restartNumberingAfterBreak="0">
    <w:nsid w:val="2BBB4F0E"/>
    <w:multiLevelType w:val="hybridMultilevel"/>
    <w:tmpl w:val="061000FC"/>
    <w:lvl w:ilvl="0" w:tplc="6310C8AA">
      <w:numFmt w:val="bullet"/>
      <w:lvlText w:val=""/>
      <w:lvlJc w:val="left"/>
      <w:pPr>
        <w:ind w:left="1300" w:hanging="720"/>
      </w:pPr>
      <w:rPr>
        <w:rFonts w:ascii="Symbol" w:eastAsia="Symbol" w:hAnsi="Symbol" w:cs="Symbol" w:hint="default"/>
        <w:b/>
        <w:bCs/>
        <w:w w:val="99"/>
        <w:sz w:val="24"/>
        <w:szCs w:val="24"/>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9" w15:restartNumberingAfterBreak="0">
    <w:nsid w:val="2DE15067"/>
    <w:multiLevelType w:val="hybridMultilevel"/>
    <w:tmpl w:val="86387120"/>
    <w:lvl w:ilvl="0" w:tplc="3A425C18">
      <w:numFmt w:val="bullet"/>
      <w:lvlText w:val="•"/>
      <w:lvlJc w:val="left"/>
      <w:pPr>
        <w:ind w:left="391" w:hanging="353"/>
      </w:pPr>
      <w:rPr>
        <w:rFonts w:ascii="Times New Roman" w:eastAsia="Times New Roman" w:hAnsi="Times New Roman" w:cs="Times New Roman" w:hint="default"/>
        <w:w w:val="100"/>
        <w:sz w:val="22"/>
        <w:szCs w:val="22"/>
      </w:rPr>
    </w:lvl>
    <w:lvl w:ilvl="1" w:tplc="93F2122A">
      <w:numFmt w:val="bullet"/>
      <w:lvlText w:val="•"/>
      <w:lvlJc w:val="left"/>
      <w:pPr>
        <w:ind w:left="702" w:hanging="353"/>
      </w:pPr>
      <w:rPr>
        <w:rFonts w:hint="default"/>
      </w:rPr>
    </w:lvl>
    <w:lvl w:ilvl="2" w:tplc="565C5F36">
      <w:numFmt w:val="bullet"/>
      <w:lvlText w:val="•"/>
      <w:lvlJc w:val="left"/>
      <w:pPr>
        <w:ind w:left="1004" w:hanging="353"/>
      </w:pPr>
      <w:rPr>
        <w:rFonts w:hint="default"/>
      </w:rPr>
    </w:lvl>
    <w:lvl w:ilvl="3" w:tplc="0480FB98">
      <w:numFmt w:val="bullet"/>
      <w:lvlText w:val="•"/>
      <w:lvlJc w:val="left"/>
      <w:pPr>
        <w:ind w:left="1306" w:hanging="353"/>
      </w:pPr>
      <w:rPr>
        <w:rFonts w:hint="default"/>
      </w:rPr>
    </w:lvl>
    <w:lvl w:ilvl="4" w:tplc="7D26B584">
      <w:numFmt w:val="bullet"/>
      <w:lvlText w:val="•"/>
      <w:lvlJc w:val="left"/>
      <w:pPr>
        <w:ind w:left="1609" w:hanging="353"/>
      </w:pPr>
      <w:rPr>
        <w:rFonts w:hint="default"/>
      </w:rPr>
    </w:lvl>
    <w:lvl w:ilvl="5" w:tplc="188C344A">
      <w:numFmt w:val="bullet"/>
      <w:lvlText w:val="•"/>
      <w:lvlJc w:val="left"/>
      <w:pPr>
        <w:ind w:left="1911" w:hanging="353"/>
      </w:pPr>
      <w:rPr>
        <w:rFonts w:hint="default"/>
      </w:rPr>
    </w:lvl>
    <w:lvl w:ilvl="6" w:tplc="7EFE70F4">
      <w:numFmt w:val="bullet"/>
      <w:lvlText w:val="•"/>
      <w:lvlJc w:val="left"/>
      <w:pPr>
        <w:ind w:left="2213" w:hanging="353"/>
      </w:pPr>
      <w:rPr>
        <w:rFonts w:hint="default"/>
      </w:rPr>
    </w:lvl>
    <w:lvl w:ilvl="7" w:tplc="E3105CBE">
      <w:numFmt w:val="bullet"/>
      <w:lvlText w:val="•"/>
      <w:lvlJc w:val="left"/>
      <w:pPr>
        <w:ind w:left="2516" w:hanging="353"/>
      </w:pPr>
      <w:rPr>
        <w:rFonts w:hint="default"/>
      </w:rPr>
    </w:lvl>
    <w:lvl w:ilvl="8" w:tplc="60527EA2">
      <w:numFmt w:val="bullet"/>
      <w:lvlText w:val="•"/>
      <w:lvlJc w:val="left"/>
      <w:pPr>
        <w:ind w:left="2818" w:hanging="353"/>
      </w:pPr>
      <w:rPr>
        <w:rFonts w:hint="default"/>
      </w:rPr>
    </w:lvl>
  </w:abstractNum>
  <w:abstractNum w:abstractNumId="20" w15:restartNumberingAfterBreak="0">
    <w:nsid w:val="315A0223"/>
    <w:multiLevelType w:val="hybridMultilevel"/>
    <w:tmpl w:val="4A3C5E44"/>
    <w:lvl w:ilvl="0" w:tplc="EBD2A0BA">
      <w:start w:val="1"/>
      <w:numFmt w:val="decimal"/>
      <w:lvlText w:val="%1."/>
      <w:lvlJc w:val="left"/>
      <w:pPr>
        <w:ind w:left="323" w:hanging="183"/>
      </w:pPr>
      <w:rPr>
        <w:rFonts w:ascii="Times New Roman" w:eastAsia="Times New Roman" w:hAnsi="Times New Roman" w:cs="Times New Roman" w:hint="default"/>
        <w:b/>
        <w:bCs/>
        <w:spacing w:val="0"/>
        <w:w w:val="100"/>
        <w:sz w:val="18"/>
        <w:szCs w:val="18"/>
      </w:rPr>
    </w:lvl>
    <w:lvl w:ilvl="1" w:tplc="950EC076">
      <w:numFmt w:val="bullet"/>
      <w:lvlText w:val="•"/>
      <w:lvlJc w:val="left"/>
      <w:pPr>
        <w:ind w:left="731" w:hanging="183"/>
      </w:pPr>
      <w:rPr>
        <w:rFonts w:hint="default"/>
      </w:rPr>
    </w:lvl>
    <w:lvl w:ilvl="2" w:tplc="0EDA1DF8">
      <w:numFmt w:val="bullet"/>
      <w:lvlText w:val="•"/>
      <w:lvlJc w:val="left"/>
      <w:pPr>
        <w:ind w:left="1143" w:hanging="183"/>
      </w:pPr>
      <w:rPr>
        <w:rFonts w:hint="default"/>
      </w:rPr>
    </w:lvl>
    <w:lvl w:ilvl="3" w:tplc="0262EBFC">
      <w:numFmt w:val="bullet"/>
      <w:lvlText w:val="•"/>
      <w:lvlJc w:val="left"/>
      <w:pPr>
        <w:ind w:left="1555" w:hanging="183"/>
      </w:pPr>
      <w:rPr>
        <w:rFonts w:hint="default"/>
      </w:rPr>
    </w:lvl>
    <w:lvl w:ilvl="4" w:tplc="A844E7E4">
      <w:numFmt w:val="bullet"/>
      <w:lvlText w:val="•"/>
      <w:lvlJc w:val="left"/>
      <w:pPr>
        <w:ind w:left="1967" w:hanging="183"/>
      </w:pPr>
      <w:rPr>
        <w:rFonts w:hint="default"/>
      </w:rPr>
    </w:lvl>
    <w:lvl w:ilvl="5" w:tplc="D732315A">
      <w:numFmt w:val="bullet"/>
      <w:lvlText w:val="•"/>
      <w:lvlJc w:val="left"/>
      <w:pPr>
        <w:ind w:left="2379" w:hanging="183"/>
      </w:pPr>
      <w:rPr>
        <w:rFonts w:hint="default"/>
      </w:rPr>
    </w:lvl>
    <w:lvl w:ilvl="6" w:tplc="A1769A52">
      <w:numFmt w:val="bullet"/>
      <w:lvlText w:val="•"/>
      <w:lvlJc w:val="left"/>
      <w:pPr>
        <w:ind w:left="2791" w:hanging="183"/>
      </w:pPr>
      <w:rPr>
        <w:rFonts w:hint="default"/>
      </w:rPr>
    </w:lvl>
    <w:lvl w:ilvl="7" w:tplc="D42E9F1E">
      <w:numFmt w:val="bullet"/>
      <w:lvlText w:val="•"/>
      <w:lvlJc w:val="left"/>
      <w:pPr>
        <w:ind w:left="3203" w:hanging="183"/>
      </w:pPr>
      <w:rPr>
        <w:rFonts w:hint="default"/>
      </w:rPr>
    </w:lvl>
    <w:lvl w:ilvl="8" w:tplc="C3229A90">
      <w:numFmt w:val="bullet"/>
      <w:lvlText w:val="•"/>
      <w:lvlJc w:val="left"/>
      <w:pPr>
        <w:ind w:left="3615" w:hanging="183"/>
      </w:pPr>
      <w:rPr>
        <w:rFonts w:hint="default"/>
      </w:rPr>
    </w:lvl>
  </w:abstractNum>
  <w:abstractNum w:abstractNumId="21" w15:restartNumberingAfterBreak="0">
    <w:nsid w:val="3567600E"/>
    <w:multiLevelType w:val="multilevel"/>
    <w:tmpl w:val="B3D2FC42"/>
    <w:lvl w:ilvl="0">
      <w:start w:val="8"/>
      <w:numFmt w:val="decimal"/>
      <w:lvlText w:val="%1"/>
      <w:lvlJc w:val="left"/>
      <w:pPr>
        <w:ind w:left="327" w:hanging="212"/>
      </w:pPr>
      <w:rPr>
        <w:rFonts w:ascii="Times New Roman" w:eastAsia="Times New Roman" w:hAnsi="Times New Roman" w:cs="Times New Roman" w:hint="default"/>
        <w:b/>
        <w:bCs/>
        <w:w w:val="100"/>
        <w:sz w:val="28"/>
        <w:szCs w:val="28"/>
      </w:rPr>
    </w:lvl>
    <w:lvl w:ilvl="1">
      <w:start w:val="1"/>
      <w:numFmt w:val="decimal"/>
      <w:lvlText w:val="%1.%2"/>
      <w:lvlJc w:val="left"/>
      <w:pPr>
        <w:ind w:left="116" w:hanging="360"/>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364" w:hanging="540"/>
      </w:pPr>
      <w:rPr>
        <w:rFonts w:ascii="Times New Roman" w:eastAsia="Times New Roman" w:hAnsi="Times New Roman" w:cs="Times New Roman" w:hint="default"/>
        <w:b/>
        <w:bCs/>
        <w:spacing w:val="-4"/>
        <w:w w:val="99"/>
        <w:sz w:val="24"/>
        <w:szCs w:val="24"/>
      </w:rPr>
    </w:lvl>
    <w:lvl w:ilvl="3">
      <w:numFmt w:val="bullet"/>
      <w:lvlText w:val="•"/>
      <w:lvlJc w:val="left"/>
      <w:pPr>
        <w:ind w:left="1360" w:hanging="540"/>
      </w:pPr>
      <w:rPr>
        <w:rFonts w:hint="default"/>
      </w:rPr>
    </w:lvl>
    <w:lvl w:ilvl="4">
      <w:numFmt w:val="bullet"/>
      <w:lvlText w:val="•"/>
      <w:lvlJc w:val="left"/>
      <w:pPr>
        <w:ind w:left="2495" w:hanging="540"/>
      </w:pPr>
      <w:rPr>
        <w:rFonts w:hint="default"/>
      </w:rPr>
    </w:lvl>
    <w:lvl w:ilvl="5">
      <w:numFmt w:val="bullet"/>
      <w:lvlText w:val="•"/>
      <w:lvlJc w:val="left"/>
      <w:pPr>
        <w:ind w:left="3630" w:hanging="540"/>
      </w:pPr>
      <w:rPr>
        <w:rFonts w:hint="default"/>
      </w:rPr>
    </w:lvl>
    <w:lvl w:ilvl="6">
      <w:numFmt w:val="bullet"/>
      <w:lvlText w:val="•"/>
      <w:lvlJc w:val="left"/>
      <w:pPr>
        <w:ind w:left="4765" w:hanging="540"/>
      </w:pPr>
      <w:rPr>
        <w:rFonts w:hint="default"/>
      </w:rPr>
    </w:lvl>
    <w:lvl w:ilvl="7">
      <w:numFmt w:val="bullet"/>
      <w:lvlText w:val="•"/>
      <w:lvlJc w:val="left"/>
      <w:pPr>
        <w:ind w:left="5900" w:hanging="540"/>
      </w:pPr>
      <w:rPr>
        <w:rFonts w:hint="default"/>
      </w:rPr>
    </w:lvl>
    <w:lvl w:ilvl="8">
      <w:numFmt w:val="bullet"/>
      <w:lvlText w:val="•"/>
      <w:lvlJc w:val="left"/>
      <w:pPr>
        <w:ind w:left="7036" w:hanging="540"/>
      </w:pPr>
      <w:rPr>
        <w:rFonts w:hint="default"/>
      </w:rPr>
    </w:lvl>
  </w:abstractNum>
  <w:abstractNum w:abstractNumId="22" w15:restartNumberingAfterBreak="0">
    <w:nsid w:val="3A102A90"/>
    <w:multiLevelType w:val="hybridMultilevel"/>
    <w:tmpl w:val="60760DD2"/>
    <w:lvl w:ilvl="0" w:tplc="ABA438C2">
      <w:numFmt w:val="bullet"/>
      <w:lvlText w:val=""/>
      <w:lvlJc w:val="left"/>
      <w:pPr>
        <w:ind w:left="2265" w:hanging="360"/>
      </w:pPr>
      <w:rPr>
        <w:rFonts w:ascii="Wingdings" w:eastAsia="Wingdings" w:hAnsi="Wingdings" w:cs="Wingdings" w:hint="default"/>
        <w:w w:val="100"/>
        <w:sz w:val="24"/>
        <w:szCs w:val="24"/>
      </w:rPr>
    </w:lvl>
    <w:lvl w:ilvl="1" w:tplc="CABE7D1A">
      <w:numFmt w:val="bullet"/>
      <w:lvlText w:val="•"/>
      <w:lvlJc w:val="left"/>
      <w:pPr>
        <w:ind w:left="2806" w:hanging="360"/>
      </w:pPr>
      <w:rPr>
        <w:rFonts w:hint="default"/>
      </w:rPr>
    </w:lvl>
    <w:lvl w:ilvl="2" w:tplc="E3722BC0">
      <w:numFmt w:val="bullet"/>
      <w:lvlText w:val="•"/>
      <w:lvlJc w:val="left"/>
      <w:pPr>
        <w:ind w:left="3353" w:hanging="360"/>
      </w:pPr>
      <w:rPr>
        <w:rFonts w:hint="default"/>
      </w:rPr>
    </w:lvl>
    <w:lvl w:ilvl="3" w:tplc="C76036C6">
      <w:numFmt w:val="bullet"/>
      <w:lvlText w:val="•"/>
      <w:lvlJc w:val="left"/>
      <w:pPr>
        <w:ind w:left="3899" w:hanging="360"/>
      </w:pPr>
      <w:rPr>
        <w:rFonts w:hint="default"/>
      </w:rPr>
    </w:lvl>
    <w:lvl w:ilvl="4" w:tplc="D0CEF734">
      <w:numFmt w:val="bullet"/>
      <w:lvlText w:val="•"/>
      <w:lvlJc w:val="left"/>
      <w:pPr>
        <w:ind w:left="4446" w:hanging="360"/>
      </w:pPr>
      <w:rPr>
        <w:rFonts w:hint="default"/>
      </w:rPr>
    </w:lvl>
    <w:lvl w:ilvl="5" w:tplc="17CA1EC2">
      <w:numFmt w:val="bullet"/>
      <w:lvlText w:val="•"/>
      <w:lvlJc w:val="left"/>
      <w:pPr>
        <w:ind w:left="4992" w:hanging="360"/>
      </w:pPr>
      <w:rPr>
        <w:rFonts w:hint="default"/>
      </w:rPr>
    </w:lvl>
    <w:lvl w:ilvl="6" w:tplc="6B5C1CE2">
      <w:numFmt w:val="bullet"/>
      <w:lvlText w:val="•"/>
      <w:lvlJc w:val="left"/>
      <w:pPr>
        <w:ind w:left="5539" w:hanging="360"/>
      </w:pPr>
      <w:rPr>
        <w:rFonts w:hint="default"/>
      </w:rPr>
    </w:lvl>
    <w:lvl w:ilvl="7" w:tplc="5A666168">
      <w:numFmt w:val="bullet"/>
      <w:lvlText w:val="•"/>
      <w:lvlJc w:val="left"/>
      <w:pPr>
        <w:ind w:left="6085" w:hanging="360"/>
      </w:pPr>
      <w:rPr>
        <w:rFonts w:hint="default"/>
      </w:rPr>
    </w:lvl>
    <w:lvl w:ilvl="8" w:tplc="26D0519C">
      <w:numFmt w:val="bullet"/>
      <w:lvlText w:val="•"/>
      <w:lvlJc w:val="left"/>
      <w:pPr>
        <w:ind w:left="6632" w:hanging="360"/>
      </w:pPr>
      <w:rPr>
        <w:rFonts w:hint="default"/>
      </w:rPr>
    </w:lvl>
  </w:abstractNum>
  <w:abstractNum w:abstractNumId="23" w15:restartNumberingAfterBreak="0">
    <w:nsid w:val="3F416096"/>
    <w:multiLevelType w:val="hybridMultilevel"/>
    <w:tmpl w:val="6BA064A6"/>
    <w:lvl w:ilvl="0" w:tplc="B84A77AE">
      <w:numFmt w:val="bullet"/>
      <w:lvlText w:val="•"/>
      <w:lvlJc w:val="left"/>
      <w:pPr>
        <w:ind w:left="523" w:hanging="133"/>
      </w:pPr>
      <w:rPr>
        <w:rFonts w:ascii="Times New Roman" w:eastAsia="Times New Roman" w:hAnsi="Times New Roman" w:cs="Times New Roman" w:hint="default"/>
        <w:w w:val="100"/>
        <w:sz w:val="22"/>
        <w:szCs w:val="22"/>
      </w:rPr>
    </w:lvl>
    <w:lvl w:ilvl="1" w:tplc="DEDACD8A">
      <w:numFmt w:val="bullet"/>
      <w:lvlText w:val="•"/>
      <w:lvlJc w:val="left"/>
      <w:pPr>
        <w:ind w:left="810" w:hanging="133"/>
      </w:pPr>
      <w:rPr>
        <w:rFonts w:hint="default"/>
      </w:rPr>
    </w:lvl>
    <w:lvl w:ilvl="2" w:tplc="B1768218">
      <w:numFmt w:val="bullet"/>
      <w:lvlText w:val="•"/>
      <w:lvlJc w:val="left"/>
      <w:pPr>
        <w:ind w:left="1100" w:hanging="133"/>
      </w:pPr>
      <w:rPr>
        <w:rFonts w:hint="default"/>
      </w:rPr>
    </w:lvl>
    <w:lvl w:ilvl="3" w:tplc="5D94682E">
      <w:numFmt w:val="bullet"/>
      <w:lvlText w:val="•"/>
      <w:lvlJc w:val="left"/>
      <w:pPr>
        <w:ind w:left="1390" w:hanging="133"/>
      </w:pPr>
      <w:rPr>
        <w:rFonts w:hint="default"/>
      </w:rPr>
    </w:lvl>
    <w:lvl w:ilvl="4" w:tplc="2C1A576E">
      <w:numFmt w:val="bullet"/>
      <w:lvlText w:val="•"/>
      <w:lvlJc w:val="left"/>
      <w:pPr>
        <w:ind w:left="1681" w:hanging="133"/>
      </w:pPr>
      <w:rPr>
        <w:rFonts w:hint="default"/>
      </w:rPr>
    </w:lvl>
    <w:lvl w:ilvl="5" w:tplc="68F6203E">
      <w:numFmt w:val="bullet"/>
      <w:lvlText w:val="•"/>
      <w:lvlJc w:val="left"/>
      <w:pPr>
        <w:ind w:left="1971" w:hanging="133"/>
      </w:pPr>
      <w:rPr>
        <w:rFonts w:hint="default"/>
      </w:rPr>
    </w:lvl>
    <w:lvl w:ilvl="6" w:tplc="70224C20">
      <w:numFmt w:val="bullet"/>
      <w:lvlText w:val="•"/>
      <w:lvlJc w:val="left"/>
      <w:pPr>
        <w:ind w:left="2261" w:hanging="133"/>
      </w:pPr>
      <w:rPr>
        <w:rFonts w:hint="default"/>
      </w:rPr>
    </w:lvl>
    <w:lvl w:ilvl="7" w:tplc="D0724EB2">
      <w:numFmt w:val="bullet"/>
      <w:lvlText w:val="•"/>
      <w:lvlJc w:val="left"/>
      <w:pPr>
        <w:ind w:left="2552" w:hanging="133"/>
      </w:pPr>
      <w:rPr>
        <w:rFonts w:hint="default"/>
      </w:rPr>
    </w:lvl>
    <w:lvl w:ilvl="8" w:tplc="7AC0B998">
      <w:numFmt w:val="bullet"/>
      <w:lvlText w:val="•"/>
      <w:lvlJc w:val="left"/>
      <w:pPr>
        <w:ind w:left="2842" w:hanging="133"/>
      </w:pPr>
      <w:rPr>
        <w:rFonts w:hint="default"/>
      </w:rPr>
    </w:lvl>
  </w:abstractNum>
  <w:abstractNum w:abstractNumId="24" w15:restartNumberingAfterBreak="0">
    <w:nsid w:val="3FA97968"/>
    <w:multiLevelType w:val="multilevel"/>
    <w:tmpl w:val="563A60FE"/>
    <w:lvl w:ilvl="0">
      <w:start w:val="9"/>
      <w:numFmt w:val="decimal"/>
      <w:lvlText w:val="%1."/>
      <w:lvlJc w:val="left"/>
      <w:pPr>
        <w:ind w:left="116"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476" w:hanging="360"/>
      </w:pPr>
      <w:rPr>
        <w:rFonts w:ascii="Times New Roman" w:eastAsia="Times New Roman" w:hAnsi="Times New Roman" w:cs="Times New Roman" w:hint="default"/>
        <w:b/>
        <w:bCs/>
        <w:spacing w:val="-1"/>
        <w:w w:val="99"/>
        <w:sz w:val="24"/>
        <w:szCs w:val="24"/>
      </w:rPr>
    </w:lvl>
    <w:lvl w:ilvl="2">
      <w:numFmt w:val="bullet"/>
      <w:lvlText w:val="-"/>
      <w:lvlJc w:val="left"/>
      <w:pPr>
        <w:ind w:left="836" w:hanging="360"/>
      </w:pPr>
      <w:rPr>
        <w:rFonts w:ascii="Comic Sans MS" w:eastAsia="Comic Sans MS" w:hAnsi="Comic Sans MS" w:cs="Comic Sans MS" w:hint="default"/>
        <w:i/>
        <w:spacing w:val="-1"/>
        <w:w w:val="99"/>
        <w:sz w:val="24"/>
        <w:szCs w:val="24"/>
      </w:rPr>
    </w:lvl>
    <w:lvl w:ilvl="3">
      <w:numFmt w:val="bullet"/>
      <w:lvlText w:val="•"/>
      <w:lvlJc w:val="left"/>
      <w:pPr>
        <w:ind w:left="840" w:hanging="360"/>
      </w:pPr>
      <w:rPr>
        <w:rFonts w:hint="default"/>
      </w:rPr>
    </w:lvl>
    <w:lvl w:ilvl="4">
      <w:numFmt w:val="bullet"/>
      <w:lvlText w:val="•"/>
      <w:lvlJc w:val="left"/>
      <w:pPr>
        <w:ind w:left="2049" w:hanging="360"/>
      </w:pPr>
      <w:rPr>
        <w:rFonts w:hint="default"/>
      </w:rPr>
    </w:lvl>
    <w:lvl w:ilvl="5">
      <w:numFmt w:val="bullet"/>
      <w:lvlText w:val="•"/>
      <w:lvlJc w:val="left"/>
      <w:pPr>
        <w:ind w:left="3258" w:hanging="360"/>
      </w:pPr>
      <w:rPr>
        <w:rFonts w:hint="default"/>
      </w:rPr>
    </w:lvl>
    <w:lvl w:ilvl="6">
      <w:numFmt w:val="bullet"/>
      <w:lvlText w:val="•"/>
      <w:lvlJc w:val="left"/>
      <w:pPr>
        <w:ind w:left="4468" w:hanging="360"/>
      </w:pPr>
      <w:rPr>
        <w:rFonts w:hint="default"/>
      </w:rPr>
    </w:lvl>
    <w:lvl w:ilvl="7">
      <w:numFmt w:val="bullet"/>
      <w:lvlText w:val="•"/>
      <w:lvlJc w:val="left"/>
      <w:pPr>
        <w:ind w:left="5677" w:hanging="360"/>
      </w:pPr>
      <w:rPr>
        <w:rFonts w:hint="default"/>
      </w:rPr>
    </w:lvl>
    <w:lvl w:ilvl="8">
      <w:numFmt w:val="bullet"/>
      <w:lvlText w:val="•"/>
      <w:lvlJc w:val="left"/>
      <w:pPr>
        <w:ind w:left="6887" w:hanging="360"/>
      </w:pPr>
      <w:rPr>
        <w:rFonts w:hint="default"/>
      </w:rPr>
    </w:lvl>
  </w:abstractNum>
  <w:abstractNum w:abstractNumId="25" w15:restartNumberingAfterBreak="0">
    <w:nsid w:val="42BF6E75"/>
    <w:multiLevelType w:val="hybridMultilevel"/>
    <w:tmpl w:val="B4720F04"/>
    <w:lvl w:ilvl="0" w:tplc="8E468A2E">
      <w:numFmt w:val="bullet"/>
      <w:lvlText w:val="-"/>
      <w:lvlJc w:val="left"/>
      <w:pPr>
        <w:ind w:left="116" w:hanging="140"/>
      </w:pPr>
      <w:rPr>
        <w:rFonts w:ascii="Times New Roman" w:eastAsia="Times New Roman" w:hAnsi="Times New Roman" w:cs="Times New Roman" w:hint="default"/>
        <w:w w:val="99"/>
        <w:sz w:val="24"/>
        <w:szCs w:val="24"/>
      </w:rPr>
    </w:lvl>
    <w:lvl w:ilvl="1" w:tplc="84B0BABA">
      <w:numFmt w:val="bullet"/>
      <w:lvlText w:val="•"/>
      <w:lvlJc w:val="left"/>
      <w:pPr>
        <w:ind w:left="1038" w:hanging="140"/>
      </w:pPr>
      <w:rPr>
        <w:rFonts w:hint="default"/>
      </w:rPr>
    </w:lvl>
    <w:lvl w:ilvl="2" w:tplc="067865A4">
      <w:numFmt w:val="bullet"/>
      <w:lvlText w:val="•"/>
      <w:lvlJc w:val="left"/>
      <w:pPr>
        <w:ind w:left="1957" w:hanging="140"/>
      </w:pPr>
      <w:rPr>
        <w:rFonts w:hint="default"/>
      </w:rPr>
    </w:lvl>
    <w:lvl w:ilvl="3" w:tplc="BDF28BE6">
      <w:numFmt w:val="bullet"/>
      <w:lvlText w:val="•"/>
      <w:lvlJc w:val="left"/>
      <w:pPr>
        <w:ind w:left="2875" w:hanging="140"/>
      </w:pPr>
      <w:rPr>
        <w:rFonts w:hint="default"/>
      </w:rPr>
    </w:lvl>
    <w:lvl w:ilvl="4" w:tplc="71984004">
      <w:numFmt w:val="bullet"/>
      <w:lvlText w:val="•"/>
      <w:lvlJc w:val="left"/>
      <w:pPr>
        <w:ind w:left="3794" w:hanging="140"/>
      </w:pPr>
      <w:rPr>
        <w:rFonts w:hint="default"/>
      </w:rPr>
    </w:lvl>
    <w:lvl w:ilvl="5" w:tplc="33C8FB56">
      <w:numFmt w:val="bullet"/>
      <w:lvlText w:val="•"/>
      <w:lvlJc w:val="left"/>
      <w:pPr>
        <w:ind w:left="4713" w:hanging="140"/>
      </w:pPr>
      <w:rPr>
        <w:rFonts w:hint="default"/>
      </w:rPr>
    </w:lvl>
    <w:lvl w:ilvl="6" w:tplc="C3A426EC">
      <w:numFmt w:val="bullet"/>
      <w:lvlText w:val="•"/>
      <w:lvlJc w:val="left"/>
      <w:pPr>
        <w:ind w:left="5631" w:hanging="140"/>
      </w:pPr>
      <w:rPr>
        <w:rFonts w:hint="default"/>
      </w:rPr>
    </w:lvl>
    <w:lvl w:ilvl="7" w:tplc="9666426C">
      <w:numFmt w:val="bullet"/>
      <w:lvlText w:val="•"/>
      <w:lvlJc w:val="left"/>
      <w:pPr>
        <w:ind w:left="6550" w:hanging="140"/>
      </w:pPr>
      <w:rPr>
        <w:rFonts w:hint="default"/>
      </w:rPr>
    </w:lvl>
    <w:lvl w:ilvl="8" w:tplc="8090A5C4">
      <w:numFmt w:val="bullet"/>
      <w:lvlText w:val="•"/>
      <w:lvlJc w:val="left"/>
      <w:pPr>
        <w:ind w:left="7469" w:hanging="140"/>
      </w:pPr>
      <w:rPr>
        <w:rFonts w:hint="default"/>
      </w:rPr>
    </w:lvl>
  </w:abstractNum>
  <w:abstractNum w:abstractNumId="26" w15:restartNumberingAfterBreak="0">
    <w:nsid w:val="46863A53"/>
    <w:multiLevelType w:val="hybridMultilevel"/>
    <w:tmpl w:val="7B0E4ABC"/>
    <w:lvl w:ilvl="0" w:tplc="6D0616DA">
      <w:numFmt w:val="bullet"/>
      <w:lvlText w:val="•"/>
      <w:lvlJc w:val="left"/>
      <w:pPr>
        <w:ind w:left="523" w:hanging="133"/>
      </w:pPr>
      <w:rPr>
        <w:rFonts w:ascii="Times New Roman" w:eastAsia="Times New Roman" w:hAnsi="Times New Roman" w:cs="Times New Roman" w:hint="default"/>
        <w:w w:val="100"/>
        <w:sz w:val="22"/>
        <w:szCs w:val="22"/>
      </w:rPr>
    </w:lvl>
    <w:lvl w:ilvl="1" w:tplc="F1E0E37E">
      <w:numFmt w:val="bullet"/>
      <w:lvlText w:val="•"/>
      <w:lvlJc w:val="left"/>
      <w:pPr>
        <w:ind w:left="810" w:hanging="133"/>
      </w:pPr>
      <w:rPr>
        <w:rFonts w:hint="default"/>
      </w:rPr>
    </w:lvl>
    <w:lvl w:ilvl="2" w:tplc="137E468C">
      <w:numFmt w:val="bullet"/>
      <w:lvlText w:val="•"/>
      <w:lvlJc w:val="left"/>
      <w:pPr>
        <w:ind w:left="1100" w:hanging="133"/>
      </w:pPr>
      <w:rPr>
        <w:rFonts w:hint="default"/>
      </w:rPr>
    </w:lvl>
    <w:lvl w:ilvl="3" w:tplc="D6FC09DA">
      <w:numFmt w:val="bullet"/>
      <w:lvlText w:val="•"/>
      <w:lvlJc w:val="left"/>
      <w:pPr>
        <w:ind w:left="1390" w:hanging="133"/>
      </w:pPr>
      <w:rPr>
        <w:rFonts w:hint="default"/>
      </w:rPr>
    </w:lvl>
    <w:lvl w:ilvl="4" w:tplc="3B7C8414">
      <w:numFmt w:val="bullet"/>
      <w:lvlText w:val="•"/>
      <w:lvlJc w:val="left"/>
      <w:pPr>
        <w:ind w:left="1681" w:hanging="133"/>
      </w:pPr>
      <w:rPr>
        <w:rFonts w:hint="default"/>
      </w:rPr>
    </w:lvl>
    <w:lvl w:ilvl="5" w:tplc="8D2092F2">
      <w:numFmt w:val="bullet"/>
      <w:lvlText w:val="•"/>
      <w:lvlJc w:val="left"/>
      <w:pPr>
        <w:ind w:left="1971" w:hanging="133"/>
      </w:pPr>
      <w:rPr>
        <w:rFonts w:hint="default"/>
      </w:rPr>
    </w:lvl>
    <w:lvl w:ilvl="6" w:tplc="EEF4CDF6">
      <w:numFmt w:val="bullet"/>
      <w:lvlText w:val="•"/>
      <w:lvlJc w:val="left"/>
      <w:pPr>
        <w:ind w:left="2261" w:hanging="133"/>
      </w:pPr>
      <w:rPr>
        <w:rFonts w:hint="default"/>
      </w:rPr>
    </w:lvl>
    <w:lvl w:ilvl="7" w:tplc="0CC06EF4">
      <w:numFmt w:val="bullet"/>
      <w:lvlText w:val="•"/>
      <w:lvlJc w:val="left"/>
      <w:pPr>
        <w:ind w:left="2552" w:hanging="133"/>
      </w:pPr>
      <w:rPr>
        <w:rFonts w:hint="default"/>
      </w:rPr>
    </w:lvl>
    <w:lvl w:ilvl="8" w:tplc="F6469210">
      <w:numFmt w:val="bullet"/>
      <w:lvlText w:val="•"/>
      <w:lvlJc w:val="left"/>
      <w:pPr>
        <w:ind w:left="2842" w:hanging="133"/>
      </w:pPr>
      <w:rPr>
        <w:rFonts w:hint="default"/>
      </w:rPr>
    </w:lvl>
  </w:abstractNum>
  <w:abstractNum w:abstractNumId="27" w15:restartNumberingAfterBreak="0">
    <w:nsid w:val="46A90287"/>
    <w:multiLevelType w:val="multilevel"/>
    <w:tmpl w:val="68B6650C"/>
    <w:lvl w:ilvl="0">
      <w:start w:val="6"/>
      <w:numFmt w:val="decimal"/>
      <w:lvlText w:val="%1"/>
      <w:lvlJc w:val="left"/>
      <w:pPr>
        <w:ind w:left="476" w:hanging="360"/>
      </w:pPr>
      <w:rPr>
        <w:rFonts w:hint="default"/>
      </w:rPr>
    </w:lvl>
    <w:lvl w:ilvl="1">
      <w:start w:val="2"/>
      <w:numFmt w:val="decimal"/>
      <w:lvlText w:val="%1.%2"/>
      <w:lvlJc w:val="left"/>
      <w:pPr>
        <w:ind w:left="476" w:hanging="360"/>
      </w:pPr>
      <w:rPr>
        <w:rFonts w:ascii="Times New Roman" w:eastAsia="Times New Roman" w:hAnsi="Times New Roman" w:cs="Times New Roman" w:hint="default"/>
        <w:b/>
        <w:bCs/>
        <w:spacing w:val="-4"/>
        <w:w w:val="99"/>
        <w:sz w:val="24"/>
        <w:szCs w:val="24"/>
      </w:rPr>
    </w:lvl>
    <w:lvl w:ilvl="2">
      <w:numFmt w:val="bullet"/>
      <w:lvlText w:val=""/>
      <w:lvlJc w:val="left"/>
      <w:pPr>
        <w:ind w:left="116" w:hanging="360"/>
      </w:pPr>
      <w:rPr>
        <w:rFonts w:ascii="Symbol" w:eastAsia="Symbol" w:hAnsi="Symbol" w:cs="Symbol" w:hint="default"/>
        <w:w w:val="100"/>
        <w:sz w:val="24"/>
        <w:szCs w:val="24"/>
      </w:rPr>
    </w:lvl>
    <w:lvl w:ilvl="3">
      <w:numFmt w:val="bullet"/>
      <w:lvlText w:val="•"/>
      <w:lvlJc w:val="left"/>
      <w:pPr>
        <w:ind w:left="1898" w:hanging="360"/>
      </w:pPr>
      <w:rPr>
        <w:rFonts w:hint="default"/>
      </w:rPr>
    </w:lvl>
    <w:lvl w:ilvl="4">
      <w:numFmt w:val="bullet"/>
      <w:lvlText w:val="•"/>
      <w:lvlJc w:val="left"/>
      <w:pPr>
        <w:ind w:left="2956" w:hanging="360"/>
      </w:pPr>
      <w:rPr>
        <w:rFonts w:hint="default"/>
      </w:rPr>
    </w:lvl>
    <w:lvl w:ilvl="5">
      <w:numFmt w:val="bullet"/>
      <w:lvlText w:val="•"/>
      <w:lvlJc w:val="left"/>
      <w:pPr>
        <w:ind w:left="4014" w:hanging="360"/>
      </w:pPr>
      <w:rPr>
        <w:rFonts w:hint="default"/>
      </w:rPr>
    </w:lvl>
    <w:lvl w:ilvl="6">
      <w:numFmt w:val="bullet"/>
      <w:lvlText w:val="•"/>
      <w:lvlJc w:val="left"/>
      <w:pPr>
        <w:ind w:left="5073" w:hanging="360"/>
      </w:pPr>
      <w:rPr>
        <w:rFonts w:hint="default"/>
      </w:rPr>
    </w:lvl>
    <w:lvl w:ilvl="7">
      <w:numFmt w:val="bullet"/>
      <w:lvlText w:val="•"/>
      <w:lvlJc w:val="left"/>
      <w:pPr>
        <w:ind w:left="6131" w:hanging="360"/>
      </w:pPr>
      <w:rPr>
        <w:rFonts w:hint="default"/>
      </w:rPr>
    </w:lvl>
    <w:lvl w:ilvl="8">
      <w:numFmt w:val="bullet"/>
      <w:lvlText w:val="•"/>
      <w:lvlJc w:val="left"/>
      <w:pPr>
        <w:ind w:left="7189" w:hanging="360"/>
      </w:pPr>
      <w:rPr>
        <w:rFonts w:hint="default"/>
      </w:rPr>
    </w:lvl>
  </w:abstractNum>
  <w:abstractNum w:abstractNumId="28" w15:restartNumberingAfterBreak="0">
    <w:nsid w:val="4A600CBC"/>
    <w:multiLevelType w:val="hybridMultilevel"/>
    <w:tmpl w:val="96D04C76"/>
    <w:lvl w:ilvl="0" w:tplc="DDAA710E">
      <w:numFmt w:val="bullet"/>
      <w:lvlText w:val="o"/>
      <w:lvlJc w:val="left"/>
      <w:pPr>
        <w:ind w:left="1556" w:hanging="360"/>
      </w:pPr>
      <w:rPr>
        <w:rFonts w:ascii="Courier New" w:eastAsia="Courier New" w:hAnsi="Courier New" w:cs="Courier New" w:hint="default"/>
        <w:w w:val="99"/>
        <w:sz w:val="24"/>
        <w:szCs w:val="24"/>
      </w:rPr>
    </w:lvl>
    <w:lvl w:ilvl="1" w:tplc="9D5C3EEC">
      <w:numFmt w:val="bullet"/>
      <w:lvlText w:val="•"/>
      <w:lvlJc w:val="left"/>
      <w:pPr>
        <w:ind w:left="2334" w:hanging="360"/>
      </w:pPr>
      <w:rPr>
        <w:rFonts w:hint="default"/>
      </w:rPr>
    </w:lvl>
    <w:lvl w:ilvl="2" w:tplc="4AA4D4AE">
      <w:numFmt w:val="bullet"/>
      <w:lvlText w:val="•"/>
      <w:lvlJc w:val="left"/>
      <w:pPr>
        <w:ind w:left="3109" w:hanging="360"/>
      </w:pPr>
      <w:rPr>
        <w:rFonts w:hint="default"/>
      </w:rPr>
    </w:lvl>
    <w:lvl w:ilvl="3" w:tplc="CBB6B792">
      <w:numFmt w:val="bullet"/>
      <w:lvlText w:val="•"/>
      <w:lvlJc w:val="left"/>
      <w:pPr>
        <w:ind w:left="3883" w:hanging="360"/>
      </w:pPr>
      <w:rPr>
        <w:rFonts w:hint="default"/>
      </w:rPr>
    </w:lvl>
    <w:lvl w:ilvl="4" w:tplc="DA0A30D8">
      <w:numFmt w:val="bullet"/>
      <w:lvlText w:val="•"/>
      <w:lvlJc w:val="left"/>
      <w:pPr>
        <w:ind w:left="4658" w:hanging="360"/>
      </w:pPr>
      <w:rPr>
        <w:rFonts w:hint="default"/>
      </w:rPr>
    </w:lvl>
    <w:lvl w:ilvl="5" w:tplc="21FACD5E">
      <w:numFmt w:val="bullet"/>
      <w:lvlText w:val="•"/>
      <w:lvlJc w:val="left"/>
      <w:pPr>
        <w:ind w:left="5433" w:hanging="360"/>
      </w:pPr>
      <w:rPr>
        <w:rFonts w:hint="default"/>
      </w:rPr>
    </w:lvl>
    <w:lvl w:ilvl="6" w:tplc="454AABFC">
      <w:numFmt w:val="bullet"/>
      <w:lvlText w:val="•"/>
      <w:lvlJc w:val="left"/>
      <w:pPr>
        <w:ind w:left="6207" w:hanging="360"/>
      </w:pPr>
      <w:rPr>
        <w:rFonts w:hint="default"/>
      </w:rPr>
    </w:lvl>
    <w:lvl w:ilvl="7" w:tplc="53CAE166">
      <w:numFmt w:val="bullet"/>
      <w:lvlText w:val="•"/>
      <w:lvlJc w:val="left"/>
      <w:pPr>
        <w:ind w:left="6982" w:hanging="360"/>
      </w:pPr>
      <w:rPr>
        <w:rFonts w:hint="default"/>
      </w:rPr>
    </w:lvl>
    <w:lvl w:ilvl="8" w:tplc="A88CA13A">
      <w:numFmt w:val="bullet"/>
      <w:lvlText w:val="•"/>
      <w:lvlJc w:val="left"/>
      <w:pPr>
        <w:ind w:left="7757" w:hanging="360"/>
      </w:pPr>
      <w:rPr>
        <w:rFonts w:hint="default"/>
      </w:rPr>
    </w:lvl>
  </w:abstractNum>
  <w:abstractNum w:abstractNumId="29" w15:restartNumberingAfterBreak="0">
    <w:nsid w:val="4B096C3E"/>
    <w:multiLevelType w:val="hybridMultilevel"/>
    <w:tmpl w:val="B43E3A28"/>
    <w:lvl w:ilvl="0" w:tplc="979C9F60">
      <w:numFmt w:val="bullet"/>
      <w:lvlText w:val="•"/>
      <w:lvlJc w:val="left"/>
      <w:pPr>
        <w:ind w:left="391" w:hanging="142"/>
      </w:pPr>
      <w:rPr>
        <w:rFonts w:ascii="Times New Roman" w:eastAsia="Times New Roman" w:hAnsi="Times New Roman" w:cs="Times New Roman" w:hint="default"/>
        <w:w w:val="100"/>
        <w:sz w:val="22"/>
        <w:szCs w:val="22"/>
      </w:rPr>
    </w:lvl>
    <w:lvl w:ilvl="1" w:tplc="BD701D9A">
      <w:numFmt w:val="bullet"/>
      <w:lvlText w:val="•"/>
      <w:lvlJc w:val="left"/>
      <w:pPr>
        <w:ind w:left="702" w:hanging="142"/>
      </w:pPr>
      <w:rPr>
        <w:rFonts w:hint="default"/>
      </w:rPr>
    </w:lvl>
    <w:lvl w:ilvl="2" w:tplc="FCEEC5A4">
      <w:numFmt w:val="bullet"/>
      <w:lvlText w:val="•"/>
      <w:lvlJc w:val="left"/>
      <w:pPr>
        <w:ind w:left="1004" w:hanging="142"/>
      </w:pPr>
      <w:rPr>
        <w:rFonts w:hint="default"/>
      </w:rPr>
    </w:lvl>
    <w:lvl w:ilvl="3" w:tplc="DB06059A">
      <w:numFmt w:val="bullet"/>
      <w:lvlText w:val="•"/>
      <w:lvlJc w:val="left"/>
      <w:pPr>
        <w:ind w:left="1306" w:hanging="142"/>
      </w:pPr>
      <w:rPr>
        <w:rFonts w:hint="default"/>
      </w:rPr>
    </w:lvl>
    <w:lvl w:ilvl="4" w:tplc="4F362D68">
      <w:numFmt w:val="bullet"/>
      <w:lvlText w:val="•"/>
      <w:lvlJc w:val="left"/>
      <w:pPr>
        <w:ind w:left="1609" w:hanging="142"/>
      </w:pPr>
      <w:rPr>
        <w:rFonts w:hint="default"/>
      </w:rPr>
    </w:lvl>
    <w:lvl w:ilvl="5" w:tplc="55BC92D6">
      <w:numFmt w:val="bullet"/>
      <w:lvlText w:val="•"/>
      <w:lvlJc w:val="left"/>
      <w:pPr>
        <w:ind w:left="1911" w:hanging="142"/>
      </w:pPr>
      <w:rPr>
        <w:rFonts w:hint="default"/>
      </w:rPr>
    </w:lvl>
    <w:lvl w:ilvl="6" w:tplc="A28E9AF2">
      <w:numFmt w:val="bullet"/>
      <w:lvlText w:val="•"/>
      <w:lvlJc w:val="left"/>
      <w:pPr>
        <w:ind w:left="2213" w:hanging="142"/>
      </w:pPr>
      <w:rPr>
        <w:rFonts w:hint="default"/>
      </w:rPr>
    </w:lvl>
    <w:lvl w:ilvl="7" w:tplc="DC903BB2">
      <w:numFmt w:val="bullet"/>
      <w:lvlText w:val="•"/>
      <w:lvlJc w:val="left"/>
      <w:pPr>
        <w:ind w:left="2516" w:hanging="142"/>
      </w:pPr>
      <w:rPr>
        <w:rFonts w:hint="default"/>
      </w:rPr>
    </w:lvl>
    <w:lvl w:ilvl="8" w:tplc="68DC4B72">
      <w:numFmt w:val="bullet"/>
      <w:lvlText w:val="•"/>
      <w:lvlJc w:val="left"/>
      <w:pPr>
        <w:ind w:left="2818" w:hanging="142"/>
      </w:pPr>
      <w:rPr>
        <w:rFonts w:hint="default"/>
      </w:rPr>
    </w:lvl>
  </w:abstractNum>
  <w:abstractNum w:abstractNumId="30" w15:restartNumberingAfterBreak="0">
    <w:nsid w:val="4D340F26"/>
    <w:multiLevelType w:val="multilevel"/>
    <w:tmpl w:val="D22C7B04"/>
    <w:lvl w:ilvl="0">
      <w:start w:val="1"/>
      <w:numFmt w:val="decimal"/>
      <w:lvlText w:val="%1."/>
      <w:lvlJc w:val="left"/>
      <w:pPr>
        <w:ind w:left="356"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836" w:hanging="720"/>
      </w:pPr>
      <w:rPr>
        <w:rFonts w:ascii="Times New Roman" w:eastAsia="Times New Roman" w:hAnsi="Times New Roman" w:cs="Times New Roman" w:hint="default"/>
        <w:b/>
        <w:bCs/>
        <w:spacing w:val="-13"/>
        <w:w w:val="99"/>
        <w:sz w:val="24"/>
        <w:szCs w:val="24"/>
      </w:rPr>
    </w:lvl>
    <w:lvl w:ilvl="2">
      <w:numFmt w:val="bullet"/>
      <w:lvlText w:val="•"/>
      <w:lvlJc w:val="left"/>
      <w:pPr>
        <w:ind w:left="460" w:hanging="720"/>
      </w:pPr>
      <w:rPr>
        <w:rFonts w:hint="default"/>
      </w:rPr>
    </w:lvl>
    <w:lvl w:ilvl="3">
      <w:numFmt w:val="bullet"/>
      <w:lvlText w:val="•"/>
      <w:lvlJc w:val="left"/>
      <w:pPr>
        <w:ind w:left="840" w:hanging="720"/>
      </w:pPr>
      <w:rPr>
        <w:rFonts w:hint="default"/>
      </w:rPr>
    </w:lvl>
    <w:lvl w:ilvl="4">
      <w:numFmt w:val="bullet"/>
      <w:lvlText w:val="•"/>
      <w:lvlJc w:val="left"/>
      <w:pPr>
        <w:ind w:left="2049" w:hanging="720"/>
      </w:pPr>
      <w:rPr>
        <w:rFonts w:hint="default"/>
      </w:rPr>
    </w:lvl>
    <w:lvl w:ilvl="5">
      <w:numFmt w:val="bullet"/>
      <w:lvlText w:val="•"/>
      <w:lvlJc w:val="left"/>
      <w:pPr>
        <w:ind w:left="3258" w:hanging="720"/>
      </w:pPr>
      <w:rPr>
        <w:rFonts w:hint="default"/>
      </w:rPr>
    </w:lvl>
    <w:lvl w:ilvl="6">
      <w:numFmt w:val="bullet"/>
      <w:lvlText w:val="•"/>
      <w:lvlJc w:val="left"/>
      <w:pPr>
        <w:ind w:left="4468" w:hanging="720"/>
      </w:pPr>
      <w:rPr>
        <w:rFonts w:hint="default"/>
      </w:rPr>
    </w:lvl>
    <w:lvl w:ilvl="7">
      <w:numFmt w:val="bullet"/>
      <w:lvlText w:val="•"/>
      <w:lvlJc w:val="left"/>
      <w:pPr>
        <w:ind w:left="5677" w:hanging="720"/>
      </w:pPr>
      <w:rPr>
        <w:rFonts w:hint="default"/>
      </w:rPr>
    </w:lvl>
    <w:lvl w:ilvl="8">
      <w:numFmt w:val="bullet"/>
      <w:lvlText w:val="•"/>
      <w:lvlJc w:val="left"/>
      <w:pPr>
        <w:ind w:left="6887" w:hanging="720"/>
      </w:pPr>
      <w:rPr>
        <w:rFonts w:hint="default"/>
      </w:rPr>
    </w:lvl>
  </w:abstractNum>
  <w:abstractNum w:abstractNumId="31" w15:restartNumberingAfterBreak="0">
    <w:nsid w:val="4D6A24C8"/>
    <w:multiLevelType w:val="hybridMultilevel"/>
    <w:tmpl w:val="7A06C0E0"/>
    <w:lvl w:ilvl="0" w:tplc="F4E48F52">
      <w:start w:val="1"/>
      <w:numFmt w:val="decimal"/>
      <w:lvlText w:val="[%1]"/>
      <w:lvlJc w:val="left"/>
      <w:pPr>
        <w:ind w:left="116" w:hanging="708"/>
      </w:pPr>
      <w:rPr>
        <w:rFonts w:ascii="Times New Roman" w:eastAsia="Times New Roman" w:hAnsi="Times New Roman" w:cs="Times New Roman" w:hint="default"/>
        <w:spacing w:val="-28"/>
        <w:w w:val="99"/>
        <w:sz w:val="24"/>
        <w:szCs w:val="24"/>
      </w:rPr>
    </w:lvl>
    <w:lvl w:ilvl="1" w:tplc="BAA275F8">
      <w:numFmt w:val="bullet"/>
      <w:lvlText w:val="•"/>
      <w:lvlJc w:val="left"/>
      <w:pPr>
        <w:ind w:left="1038" w:hanging="708"/>
      </w:pPr>
      <w:rPr>
        <w:rFonts w:hint="default"/>
      </w:rPr>
    </w:lvl>
    <w:lvl w:ilvl="2" w:tplc="3F96D7E2">
      <w:numFmt w:val="bullet"/>
      <w:lvlText w:val="•"/>
      <w:lvlJc w:val="left"/>
      <w:pPr>
        <w:ind w:left="1957" w:hanging="708"/>
      </w:pPr>
      <w:rPr>
        <w:rFonts w:hint="default"/>
      </w:rPr>
    </w:lvl>
    <w:lvl w:ilvl="3" w:tplc="83AE264E">
      <w:numFmt w:val="bullet"/>
      <w:lvlText w:val="•"/>
      <w:lvlJc w:val="left"/>
      <w:pPr>
        <w:ind w:left="2875" w:hanging="708"/>
      </w:pPr>
      <w:rPr>
        <w:rFonts w:hint="default"/>
      </w:rPr>
    </w:lvl>
    <w:lvl w:ilvl="4" w:tplc="08EC9092">
      <w:numFmt w:val="bullet"/>
      <w:lvlText w:val="•"/>
      <w:lvlJc w:val="left"/>
      <w:pPr>
        <w:ind w:left="3794" w:hanging="708"/>
      </w:pPr>
      <w:rPr>
        <w:rFonts w:hint="default"/>
      </w:rPr>
    </w:lvl>
    <w:lvl w:ilvl="5" w:tplc="95C8B156">
      <w:numFmt w:val="bullet"/>
      <w:lvlText w:val="•"/>
      <w:lvlJc w:val="left"/>
      <w:pPr>
        <w:ind w:left="4713" w:hanging="708"/>
      </w:pPr>
      <w:rPr>
        <w:rFonts w:hint="default"/>
      </w:rPr>
    </w:lvl>
    <w:lvl w:ilvl="6" w:tplc="CDF6CDB4">
      <w:numFmt w:val="bullet"/>
      <w:lvlText w:val="•"/>
      <w:lvlJc w:val="left"/>
      <w:pPr>
        <w:ind w:left="5631" w:hanging="708"/>
      </w:pPr>
      <w:rPr>
        <w:rFonts w:hint="default"/>
      </w:rPr>
    </w:lvl>
    <w:lvl w:ilvl="7" w:tplc="004A793E">
      <w:numFmt w:val="bullet"/>
      <w:lvlText w:val="•"/>
      <w:lvlJc w:val="left"/>
      <w:pPr>
        <w:ind w:left="6550" w:hanging="708"/>
      </w:pPr>
      <w:rPr>
        <w:rFonts w:hint="default"/>
      </w:rPr>
    </w:lvl>
    <w:lvl w:ilvl="8" w:tplc="9C8294EA">
      <w:numFmt w:val="bullet"/>
      <w:lvlText w:val="•"/>
      <w:lvlJc w:val="left"/>
      <w:pPr>
        <w:ind w:left="7469" w:hanging="708"/>
      </w:pPr>
      <w:rPr>
        <w:rFonts w:hint="default"/>
      </w:rPr>
    </w:lvl>
  </w:abstractNum>
  <w:abstractNum w:abstractNumId="32" w15:restartNumberingAfterBreak="0">
    <w:nsid w:val="50004E9F"/>
    <w:multiLevelType w:val="hybridMultilevel"/>
    <w:tmpl w:val="F56E0B3C"/>
    <w:lvl w:ilvl="0" w:tplc="6276ABD2">
      <w:numFmt w:val="bullet"/>
      <w:lvlText w:val="•"/>
      <w:lvlJc w:val="left"/>
      <w:pPr>
        <w:ind w:left="391" w:hanging="488"/>
      </w:pPr>
      <w:rPr>
        <w:rFonts w:ascii="Times New Roman" w:eastAsia="Times New Roman" w:hAnsi="Times New Roman" w:cs="Times New Roman" w:hint="default"/>
        <w:w w:val="100"/>
        <w:sz w:val="22"/>
        <w:szCs w:val="22"/>
      </w:rPr>
    </w:lvl>
    <w:lvl w:ilvl="1" w:tplc="4008CD0C">
      <w:numFmt w:val="bullet"/>
      <w:lvlText w:val="•"/>
      <w:lvlJc w:val="left"/>
      <w:pPr>
        <w:ind w:left="702" w:hanging="488"/>
      </w:pPr>
      <w:rPr>
        <w:rFonts w:hint="default"/>
      </w:rPr>
    </w:lvl>
    <w:lvl w:ilvl="2" w:tplc="CBC49A7E">
      <w:numFmt w:val="bullet"/>
      <w:lvlText w:val="•"/>
      <w:lvlJc w:val="left"/>
      <w:pPr>
        <w:ind w:left="1004" w:hanging="488"/>
      </w:pPr>
      <w:rPr>
        <w:rFonts w:hint="default"/>
      </w:rPr>
    </w:lvl>
    <w:lvl w:ilvl="3" w:tplc="45901908">
      <w:numFmt w:val="bullet"/>
      <w:lvlText w:val="•"/>
      <w:lvlJc w:val="left"/>
      <w:pPr>
        <w:ind w:left="1306" w:hanging="488"/>
      </w:pPr>
      <w:rPr>
        <w:rFonts w:hint="default"/>
      </w:rPr>
    </w:lvl>
    <w:lvl w:ilvl="4" w:tplc="ADC28098">
      <w:numFmt w:val="bullet"/>
      <w:lvlText w:val="•"/>
      <w:lvlJc w:val="left"/>
      <w:pPr>
        <w:ind w:left="1609" w:hanging="488"/>
      </w:pPr>
      <w:rPr>
        <w:rFonts w:hint="default"/>
      </w:rPr>
    </w:lvl>
    <w:lvl w:ilvl="5" w:tplc="C5967F82">
      <w:numFmt w:val="bullet"/>
      <w:lvlText w:val="•"/>
      <w:lvlJc w:val="left"/>
      <w:pPr>
        <w:ind w:left="1911" w:hanging="488"/>
      </w:pPr>
      <w:rPr>
        <w:rFonts w:hint="default"/>
      </w:rPr>
    </w:lvl>
    <w:lvl w:ilvl="6" w:tplc="353E11C8">
      <w:numFmt w:val="bullet"/>
      <w:lvlText w:val="•"/>
      <w:lvlJc w:val="left"/>
      <w:pPr>
        <w:ind w:left="2213" w:hanging="488"/>
      </w:pPr>
      <w:rPr>
        <w:rFonts w:hint="default"/>
      </w:rPr>
    </w:lvl>
    <w:lvl w:ilvl="7" w:tplc="627EE1C4">
      <w:numFmt w:val="bullet"/>
      <w:lvlText w:val="•"/>
      <w:lvlJc w:val="left"/>
      <w:pPr>
        <w:ind w:left="2516" w:hanging="488"/>
      </w:pPr>
      <w:rPr>
        <w:rFonts w:hint="default"/>
      </w:rPr>
    </w:lvl>
    <w:lvl w:ilvl="8" w:tplc="D6D4FE90">
      <w:numFmt w:val="bullet"/>
      <w:lvlText w:val="•"/>
      <w:lvlJc w:val="left"/>
      <w:pPr>
        <w:ind w:left="2818" w:hanging="488"/>
      </w:pPr>
      <w:rPr>
        <w:rFonts w:hint="default"/>
      </w:rPr>
    </w:lvl>
  </w:abstractNum>
  <w:abstractNum w:abstractNumId="33" w15:restartNumberingAfterBreak="0">
    <w:nsid w:val="529A153B"/>
    <w:multiLevelType w:val="hybridMultilevel"/>
    <w:tmpl w:val="4B7097CC"/>
    <w:lvl w:ilvl="0" w:tplc="D474E432">
      <w:numFmt w:val="bullet"/>
      <w:lvlText w:val="•"/>
      <w:lvlJc w:val="left"/>
      <w:pPr>
        <w:ind w:left="523" w:hanging="133"/>
      </w:pPr>
      <w:rPr>
        <w:rFonts w:ascii="Times New Roman" w:eastAsia="Times New Roman" w:hAnsi="Times New Roman" w:cs="Times New Roman" w:hint="default"/>
        <w:w w:val="100"/>
        <w:sz w:val="22"/>
        <w:szCs w:val="22"/>
      </w:rPr>
    </w:lvl>
    <w:lvl w:ilvl="1" w:tplc="1206CA7E">
      <w:numFmt w:val="bullet"/>
      <w:lvlText w:val="•"/>
      <w:lvlJc w:val="left"/>
      <w:pPr>
        <w:ind w:left="810" w:hanging="133"/>
      </w:pPr>
      <w:rPr>
        <w:rFonts w:hint="default"/>
      </w:rPr>
    </w:lvl>
    <w:lvl w:ilvl="2" w:tplc="B90460EE">
      <w:numFmt w:val="bullet"/>
      <w:lvlText w:val="•"/>
      <w:lvlJc w:val="left"/>
      <w:pPr>
        <w:ind w:left="1100" w:hanging="133"/>
      </w:pPr>
      <w:rPr>
        <w:rFonts w:hint="default"/>
      </w:rPr>
    </w:lvl>
    <w:lvl w:ilvl="3" w:tplc="F3A0C76E">
      <w:numFmt w:val="bullet"/>
      <w:lvlText w:val="•"/>
      <w:lvlJc w:val="left"/>
      <w:pPr>
        <w:ind w:left="1390" w:hanging="133"/>
      </w:pPr>
      <w:rPr>
        <w:rFonts w:hint="default"/>
      </w:rPr>
    </w:lvl>
    <w:lvl w:ilvl="4" w:tplc="4FC6EFE6">
      <w:numFmt w:val="bullet"/>
      <w:lvlText w:val="•"/>
      <w:lvlJc w:val="left"/>
      <w:pPr>
        <w:ind w:left="1681" w:hanging="133"/>
      </w:pPr>
      <w:rPr>
        <w:rFonts w:hint="default"/>
      </w:rPr>
    </w:lvl>
    <w:lvl w:ilvl="5" w:tplc="F05EFC9C">
      <w:numFmt w:val="bullet"/>
      <w:lvlText w:val="•"/>
      <w:lvlJc w:val="left"/>
      <w:pPr>
        <w:ind w:left="1971" w:hanging="133"/>
      </w:pPr>
      <w:rPr>
        <w:rFonts w:hint="default"/>
      </w:rPr>
    </w:lvl>
    <w:lvl w:ilvl="6" w:tplc="936E7718">
      <w:numFmt w:val="bullet"/>
      <w:lvlText w:val="•"/>
      <w:lvlJc w:val="left"/>
      <w:pPr>
        <w:ind w:left="2261" w:hanging="133"/>
      </w:pPr>
      <w:rPr>
        <w:rFonts w:hint="default"/>
      </w:rPr>
    </w:lvl>
    <w:lvl w:ilvl="7" w:tplc="74DCBB86">
      <w:numFmt w:val="bullet"/>
      <w:lvlText w:val="•"/>
      <w:lvlJc w:val="left"/>
      <w:pPr>
        <w:ind w:left="2552" w:hanging="133"/>
      </w:pPr>
      <w:rPr>
        <w:rFonts w:hint="default"/>
      </w:rPr>
    </w:lvl>
    <w:lvl w:ilvl="8" w:tplc="99E2D802">
      <w:numFmt w:val="bullet"/>
      <w:lvlText w:val="•"/>
      <w:lvlJc w:val="left"/>
      <w:pPr>
        <w:ind w:left="2842" w:hanging="133"/>
      </w:pPr>
      <w:rPr>
        <w:rFonts w:hint="default"/>
      </w:rPr>
    </w:lvl>
  </w:abstractNum>
  <w:abstractNum w:abstractNumId="34" w15:restartNumberingAfterBreak="0">
    <w:nsid w:val="54440423"/>
    <w:multiLevelType w:val="hybridMultilevel"/>
    <w:tmpl w:val="C46ABD72"/>
    <w:lvl w:ilvl="0" w:tplc="6310C8AA">
      <w:numFmt w:val="bullet"/>
      <w:lvlText w:val=""/>
      <w:lvlJc w:val="left"/>
      <w:pPr>
        <w:ind w:left="115" w:hanging="720"/>
      </w:pPr>
      <w:rPr>
        <w:rFonts w:ascii="Symbol" w:eastAsia="Symbol" w:hAnsi="Symbol" w:cs="Symbol" w:hint="default"/>
        <w:b/>
        <w:bCs/>
        <w:w w:val="99"/>
        <w:sz w:val="24"/>
        <w:szCs w:val="24"/>
      </w:rPr>
    </w:lvl>
    <w:lvl w:ilvl="1" w:tplc="96C22490">
      <w:numFmt w:val="bullet"/>
      <w:lvlText w:val="•"/>
      <w:lvlJc w:val="left"/>
      <w:pPr>
        <w:ind w:left="1038" w:hanging="720"/>
      </w:pPr>
      <w:rPr>
        <w:rFonts w:hint="default"/>
      </w:rPr>
    </w:lvl>
    <w:lvl w:ilvl="2" w:tplc="0590CC02">
      <w:numFmt w:val="bullet"/>
      <w:lvlText w:val="•"/>
      <w:lvlJc w:val="left"/>
      <w:pPr>
        <w:ind w:left="1957" w:hanging="720"/>
      </w:pPr>
      <w:rPr>
        <w:rFonts w:hint="default"/>
      </w:rPr>
    </w:lvl>
    <w:lvl w:ilvl="3" w:tplc="031C826C">
      <w:numFmt w:val="bullet"/>
      <w:lvlText w:val="•"/>
      <w:lvlJc w:val="left"/>
      <w:pPr>
        <w:ind w:left="2875" w:hanging="720"/>
      </w:pPr>
      <w:rPr>
        <w:rFonts w:hint="default"/>
      </w:rPr>
    </w:lvl>
    <w:lvl w:ilvl="4" w:tplc="FFAE688A">
      <w:numFmt w:val="bullet"/>
      <w:lvlText w:val="•"/>
      <w:lvlJc w:val="left"/>
      <w:pPr>
        <w:ind w:left="3794" w:hanging="720"/>
      </w:pPr>
      <w:rPr>
        <w:rFonts w:hint="default"/>
      </w:rPr>
    </w:lvl>
    <w:lvl w:ilvl="5" w:tplc="0D305A7A">
      <w:numFmt w:val="bullet"/>
      <w:lvlText w:val="•"/>
      <w:lvlJc w:val="left"/>
      <w:pPr>
        <w:ind w:left="4713" w:hanging="720"/>
      </w:pPr>
      <w:rPr>
        <w:rFonts w:hint="default"/>
      </w:rPr>
    </w:lvl>
    <w:lvl w:ilvl="6" w:tplc="8D100882">
      <w:numFmt w:val="bullet"/>
      <w:lvlText w:val="•"/>
      <w:lvlJc w:val="left"/>
      <w:pPr>
        <w:ind w:left="5631" w:hanging="720"/>
      </w:pPr>
      <w:rPr>
        <w:rFonts w:hint="default"/>
      </w:rPr>
    </w:lvl>
    <w:lvl w:ilvl="7" w:tplc="DA825A1E">
      <w:numFmt w:val="bullet"/>
      <w:lvlText w:val="•"/>
      <w:lvlJc w:val="left"/>
      <w:pPr>
        <w:ind w:left="6550" w:hanging="720"/>
      </w:pPr>
      <w:rPr>
        <w:rFonts w:hint="default"/>
      </w:rPr>
    </w:lvl>
    <w:lvl w:ilvl="8" w:tplc="B0C610E6">
      <w:numFmt w:val="bullet"/>
      <w:lvlText w:val="•"/>
      <w:lvlJc w:val="left"/>
      <w:pPr>
        <w:ind w:left="7469" w:hanging="720"/>
      </w:pPr>
      <w:rPr>
        <w:rFonts w:hint="default"/>
      </w:rPr>
    </w:lvl>
  </w:abstractNum>
  <w:abstractNum w:abstractNumId="35" w15:restartNumberingAfterBreak="0">
    <w:nsid w:val="54C26B16"/>
    <w:multiLevelType w:val="hybridMultilevel"/>
    <w:tmpl w:val="D2E05C9C"/>
    <w:lvl w:ilvl="0" w:tplc="40765152">
      <w:numFmt w:val="bullet"/>
      <w:lvlText w:val="•"/>
      <w:lvlJc w:val="left"/>
      <w:pPr>
        <w:ind w:left="391" w:hanging="279"/>
      </w:pPr>
      <w:rPr>
        <w:rFonts w:ascii="Times New Roman" w:eastAsia="Times New Roman" w:hAnsi="Times New Roman" w:cs="Times New Roman" w:hint="default"/>
        <w:w w:val="100"/>
        <w:sz w:val="22"/>
        <w:szCs w:val="22"/>
      </w:rPr>
    </w:lvl>
    <w:lvl w:ilvl="1" w:tplc="3BFED0D6">
      <w:numFmt w:val="bullet"/>
      <w:lvlText w:val="•"/>
      <w:lvlJc w:val="left"/>
      <w:pPr>
        <w:ind w:left="702" w:hanging="279"/>
      </w:pPr>
      <w:rPr>
        <w:rFonts w:hint="default"/>
      </w:rPr>
    </w:lvl>
    <w:lvl w:ilvl="2" w:tplc="1E3A12AC">
      <w:numFmt w:val="bullet"/>
      <w:lvlText w:val="•"/>
      <w:lvlJc w:val="left"/>
      <w:pPr>
        <w:ind w:left="1004" w:hanging="279"/>
      </w:pPr>
      <w:rPr>
        <w:rFonts w:hint="default"/>
      </w:rPr>
    </w:lvl>
    <w:lvl w:ilvl="3" w:tplc="CE202836">
      <w:numFmt w:val="bullet"/>
      <w:lvlText w:val="•"/>
      <w:lvlJc w:val="left"/>
      <w:pPr>
        <w:ind w:left="1306" w:hanging="279"/>
      </w:pPr>
      <w:rPr>
        <w:rFonts w:hint="default"/>
      </w:rPr>
    </w:lvl>
    <w:lvl w:ilvl="4" w:tplc="218690F2">
      <w:numFmt w:val="bullet"/>
      <w:lvlText w:val="•"/>
      <w:lvlJc w:val="left"/>
      <w:pPr>
        <w:ind w:left="1609" w:hanging="279"/>
      </w:pPr>
      <w:rPr>
        <w:rFonts w:hint="default"/>
      </w:rPr>
    </w:lvl>
    <w:lvl w:ilvl="5" w:tplc="3DCE8F66">
      <w:numFmt w:val="bullet"/>
      <w:lvlText w:val="•"/>
      <w:lvlJc w:val="left"/>
      <w:pPr>
        <w:ind w:left="1911" w:hanging="279"/>
      </w:pPr>
      <w:rPr>
        <w:rFonts w:hint="default"/>
      </w:rPr>
    </w:lvl>
    <w:lvl w:ilvl="6" w:tplc="DFC29400">
      <w:numFmt w:val="bullet"/>
      <w:lvlText w:val="•"/>
      <w:lvlJc w:val="left"/>
      <w:pPr>
        <w:ind w:left="2213" w:hanging="279"/>
      </w:pPr>
      <w:rPr>
        <w:rFonts w:hint="default"/>
      </w:rPr>
    </w:lvl>
    <w:lvl w:ilvl="7" w:tplc="633A1960">
      <w:numFmt w:val="bullet"/>
      <w:lvlText w:val="•"/>
      <w:lvlJc w:val="left"/>
      <w:pPr>
        <w:ind w:left="2516" w:hanging="279"/>
      </w:pPr>
      <w:rPr>
        <w:rFonts w:hint="default"/>
      </w:rPr>
    </w:lvl>
    <w:lvl w:ilvl="8" w:tplc="C41274BA">
      <w:numFmt w:val="bullet"/>
      <w:lvlText w:val="•"/>
      <w:lvlJc w:val="left"/>
      <w:pPr>
        <w:ind w:left="2818" w:hanging="279"/>
      </w:pPr>
      <w:rPr>
        <w:rFonts w:hint="default"/>
      </w:rPr>
    </w:lvl>
  </w:abstractNum>
  <w:abstractNum w:abstractNumId="36" w15:restartNumberingAfterBreak="0">
    <w:nsid w:val="54CC5EA5"/>
    <w:multiLevelType w:val="hybridMultilevel"/>
    <w:tmpl w:val="46105C26"/>
    <w:lvl w:ilvl="0" w:tplc="8886075C">
      <w:numFmt w:val="bullet"/>
      <w:lvlText w:val="-"/>
      <w:lvlJc w:val="left"/>
      <w:pPr>
        <w:ind w:left="963" w:hanging="140"/>
      </w:pPr>
      <w:rPr>
        <w:rFonts w:ascii="Times New Roman" w:eastAsia="Times New Roman" w:hAnsi="Times New Roman" w:cs="Times New Roman" w:hint="default"/>
        <w:w w:val="99"/>
        <w:sz w:val="24"/>
        <w:szCs w:val="24"/>
      </w:rPr>
    </w:lvl>
    <w:lvl w:ilvl="1" w:tplc="9E383D64">
      <w:numFmt w:val="bullet"/>
      <w:lvlText w:val="•"/>
      <w:lvlJc w:val="left"/>
      <w:pPr>
        <w:ind w:left="1794" w:hanging="140"/>
      </w:pPr>
      <w:rPr>
        <w:rFonts w:hint="default"/>
      </w:rPr>
    </w:lvl>
    <w:lvl w:ilvl="2" w:tplc="9F228C38">
      <w:numFmt w:val="bullet"/>
      <w:lvlText w:val="•"/>
      <w:lvlJc w:val="left"/>
      <w:pPr>
        <w:ind w:left="2629" w:hanging="140"/>
      </w:pPr>
      <w:rPr>
        <w:rFonts w:hint="default"/>
      </w:rPr>
    </w:lvl>
    <w:lvl w:ilvl="3" w:tplc="C3368BF0">
      <w:numFmt w:val="bullet"/>
      <w:lvlText w:val="•"/>
      <w:lvlJc w:val="left"/>
      <w:pPr>
        <w:ind w:left="3463" w:hanging="140"/>
      </w:pPr>
      <w:rPr>
        <w:rFonts w:hint="default"/>
      </w:rPr>
    </w:lvl>
    <w:lvl w:ilvl="4" w:tplc="FBC09C04">
      <w:numFmt w:val="bullet"/>
      <w:lvlText w:val="•"/>
      <w:lvlJc w:val="left"/>
      <w:pPr>
        <w:ind w:left="4298" w:hanging="140"/>
      </w:pPr>
      <w:rPr>
        <w:rFonts w:hint="default"/>
      </w:rPr>
    </w:lvl>
    <w:lvl w:ilvl="5" w:tplc="CF765F94">
      <w:numFmt w:val="bullet"/>
      <w:lvlText w:val="•"/>
      <w:lvlJc w:val="left"/>
      <w:pPr>
        <w:ind w:left="5133" w:hanging="140"/>
      </w:pPr>
      <w:rPr>
        <w:rFonts w:hint="default"/>
      </w:rPr>
    </w:lvl>
    <w:lvl w:ilvl="6" w:tplc="1200E9DE">
      <w:numFmt w:val="bullet"/>
      <w:lvlText w:val="•"/>
      <w:lvlJc w:val="left"/>
      <w:pPr>
        <w:ind w:left="5967" w:hanging="140"/>
      </w:pPr>
      <w:rPr>
        <w:rFonts w:hint="default"/>
      </w:rPr>
    </w:lvl>
    <w:lvl w:ilvl="7" w:tplc="68DE897C">
      <w:numFmt w:val="bullet"/>
      <w:lvlText w:val="•"/>
      <w:lvlJc w:val="left"/>
      <w:pPr>
        <w:ind w:left="6802" w:hanging="140"/>
      </w:pPr>
      <w:rPr>
        <w:rFonts w:hint="default"/>
      </w:rPr>
    </w:lvl>
    <w:lvl w:ilvl="8" w:tplc="C472CE20">
      <w:numFmt w:val="bullet"/>
      <w:lvlText w:val="•"/>
      <w:lvlJc w:val="left"/>
      <w:pPr>
        <w:ind w:left="7637" w:hanging="140"/>
      </w:pPr>
      <w:rPr>
        <w:rFonts w:hint="default"/>
      </w:rPr>
    </w:lvl>
  </w:abstractNum>
  <w:abstractNum w:abstractNumId="37" w15:restartNumberingAfterBreak="0">
    <w:nsid w:val="5A5116B0"/>
    <w:multiLevelType w:val="hybridMultilevel"/>
    <w:tmpl w:val="45A6512C"/>
    <w:lvl w:ilvl="0" w:tplc="58E25A92">
      <w:numFmt w:val="bullet"/>
      <w:lvlText w:val="-"/>
      <w:lvlJc w:val="left"/>
      <w:pPr>
        <w:ind w:left="836" w:hanging="360"/>
      </w:pPr>
      <w:rPr>
        <w:rFonts w:ascii="Times New Roman" w:eastAsia="Times New Roman" w:hAnsi="Times New Roman" w:cs="Times New Roman" w:hint="default"/>
        <w:spacing w:val="-20"/>
        <w:w w:val="99"/>
        <w:sz w:val="24"/>
        <w:szCs w:val="24"/>
      </w:rPr>
    </w:lvl>
    <w:lvl w:ilvl="1" w:tplc="04E2C654">
      <w:numFmt w:val="bullet"/>
      <w:lvlText w:val="•"/>
      <w:lvlJc w:val="left"/>
      <w:pPr>
        <w:ind w:left="1686" w:hanging="360"/>
      </w:pPr>
      <w:rPr>
        <w:rFonts w:hint="default"/>
      </w:rPr>
    </w:lvl>
    <w:lvl w:ilvl="2" w:tplc="13282F4C">
      <w:numFmt w:val="bullet"/>
      <w:lvlText w:val="•"/>
      <w:lvlJc w:val="left"/>
      <w:pPr>
        <w:ind w:left="2533" w:hanging="360"/>
      </w:pPr>
      <w:rPr>
        <w:rFonts w:hint="default"/>
      </w:rPr>
    </w:lvl>
    <w:lvl w:ilvl="3" w:tplc="F414639E">
      <w:numFmt w:val="bullet"/>
      <w:lvlText w:val="•"/>
      <w:lvlJc w:val="left"/>
      <w:pPr>
        <w:ind w:left="3379" w:hanging="360"/>
      </w:pPr>
      <w:rPr>
        <w:rFonts w:hint="default"/>
      </w:rPr>
    </w:lvl>
    <w:lvl w:ilvl="4" w:tplc="16C4D9CC">
      <w:numFmt w:val="bullet"/>
      <w:lvlText w:val="•"/>
      <w:lvlJc w:val="left"/>
      <w:pPr>
        <w:ind w:left="4226" w:hanging="360"/>
      </w:pPr>
      <w:rPr>
        <w:rFonts w:hint="default"/>
      </w:rPr>
    </w:lvl>
    <w:lvl w:ilvl="5" w:tplc="1F903F42">
      <w:numFmt w:val="bullet"/>
      <w:lvlText w:val="•"/>
      <w:lvlJc w:val="left"/>
      <w:pPr>
        <w:ind w:left="5073" w:hanging="360"/>
      </w:pPr>
      <w:rPr>
        <w:rFonts w:hint="default"/>
      </w:rPr>
    </w:lvl>
    <w:lvl w:ilvl="6" w:tplc="4A8EC118">
      <w:numFmt w:val="bullet"/>
      <w:lvlText w:val="•"/>
      <w:lvlJc w:val="left"/>
      <w:pPr>
        <w:ind w:left="5919" w:hanging="360"/>
      </w:pPr>
      <w:rPr>
        <w:rFonts w:hint="default"/>
      </w:rPr>
    </w:lvl>
    <w:lvl w:ilvl="7" w:tplc="66A42F28">
      <w:numFmt w:val="bullet"/>
      <w:lvlText w:val="•"/>
      <w:lvlJc w:val="left"/>
      <w:pPr>
        <w:ind w:left="6766" w:hanging="360"/>
      </w:pPr>
      <w:rPr>
        <w:rFonts w:hint="default"/>
      </w:rPr>
    </w:lvl>
    <w:lvl w:ilvl="8" w:tplc="8C7E34A4">
      <w:numFmt w:val="bullet"/>
      <w:lvlText w:val="•"/>
      <w:lvlJc w:val="left"/>
      <w:pPr>
        <w:ind w:left="7613" w:hanging="360"/>
      </w:pPr>
      <w:rPr>
        <w:rFonts w:hint="default"/>
      </w:rPr>
    </w:lvl>
  </w:abstractNum>
  <w:abstractNum w:abstractNumId="38" w15:restartNumberingAfterBreak="0">
    <w:nsid w:val="5C8E7AAA"/>
    <w:multiLevelType w:val="hybridMultilevel"/>
    <w:tmpl w:val="28D6FF38"/>
    <w:lvl w:ilvl="0" w:tplc="99908DD2">
      <w:numFmt w:val="bullet"/>
      <w:lvlText w:val="o"/>
      <w:lvlJc w:val="left"/>
      <w:pPr>
        <w:ind w:left="1545" w:hanging="358"/>
      </w:pPr>
      <w:rPr>
        <w:rFonts w:ascii="Courier New" w:eastAsia="Courier New" w:hAnsi="Courier New" w:cs="Courier New" w:hint="default"/>
        <w:w w:val="99"/>
        <w:sz w:val="24"/>
        <w:szCs w:val="24"/>
      </w:rPr>
    </w:lvl>
    <w:lvl w:ilvl="1" w:tplc="592A1ABC">
      <w:numFmt w:val="bullet"/>
      <w:lvlText w:val="•"/>
      <w:lvlJc w:val="left"/>
      <w:pPr>
        <w:ind w:left="2158" w:hanging="358"/>
      </w:pPr>
      <w:rPr>
        <w:rFonts w:hint="default"/>
      </w:rPr>
    </w:lvl>
    <w:lvl w:ilvl="2" w:tplc="E9DE7D40">
      <w:numFmt w:val="bullet"/>
      <w:lvlText w:val="•"/>
      <w:lvlJc w:val="left"/>
      <w:pPr>
        <w:ind w:left="2777" w:hanging="358"/>
      </w:pPr>
      <w:rPr>
        <w:rFonts w:hint="default"/>
      </w:rPr>
    </w:lvl>
    <w:lvl w:ilvl="3" w:tplc="8AB0F1E0">
      <w:numFmt w:val="bullet"/>
      <w:lvlText w:val="•"/>
      <w:lvlJc w:val="left"/>
      <w:pPr>
        <w:ind w:left="3395" w:hanging="358"/>
      </w:pPr>
      <w:rPr>
        <w:rFonts w:hint="default"/>
      </w:rPr>
    </w:lvl>
    <w:lvl w:ilvl="4" w:tplc="C31EFBA8">
      <w:numFmt w:val="bullet"/>
      <w:lvlText w:val="•"/>
      <w:lvlJc w:val="left"/>
      <w:pPr>
        <w:ind w:left="4014" w:hanging="358"/>
      </w:pPr>
      <w:rPr>
        <w:rFonts w:hint="default"/>
      </w:rPr>
    </w:lvl>
    <w:lvl w:ilvl="5" w:tplc="097AEA02">
      <w:numFmt w:val="bullet"/>
      <w:lvlText w:val="•"/>
      <w:lvlJc w:val="left"/>
      <w:pPr>
        <w:ind w:left="4632" w:hanging="358"/>
      </w:pPr>
      <w:rPr>
        <w:rFonts w:hint="default"/>
      </w:rPr>
    </w:lvl>
    <w:lvl w:ilvl="6" w:tplc="FCE8F734">
      <w:numFmt w:val="bullet"/>
      <w:lvlText w:val="•"/>
      <w:lvlJc w:val="left"/>
      <w:pPr>
        <w:ind w:left="5251" w:hanging="358"/>
      </w:pPr>
      <w:rPr>
        <w:rFonts w:hint="default"/>
      </w:rPr>
    </w:lvl>
    <w:lvl w:ilvl="7" w:tplc="2788168E">
      <w:numFmt w:val="bullet"/>
      <w:lvlText w:val="•"/>
      <w:lvlJc w:val="left"/>
      <w:pPr>
        <w:ind w:left="5869" w:hanging="358"/>
      </w:pPr>
      <w:rPr>
        <w:rFonts w:hint="default"/>
      </w:rPr>
    </w:lvl>
    <w:lvl w:ilvl="8" w:tplc="C07E15D0">
      <w:numFmt w:val="bullet"/>
      <w:lvlText w:val="•"/>
      <w:lvlJc w:val="left"/>
      <w:pPr>
        <w:ind w:left="6488" w:hanging="358"/>
      </w:pPr>
      <w:rPr>
        <w:rFonts w:hint="default"/>
      </w:rPr>
    </w:lvl>
  </w:abstractNum>
  <w:abstractNum w:abstractNumId="39" w15:restartNumberingAfterBreak="0">
    <w:nsid w:val="5E2742D6"/>
    <w:multiLevelType w:val="hybridMultilevel"/>
    <w:tmpl w:val="84FE861E"/>
    <w:lvl w:ilvl="0" w:tplc="94E0DF30">
      <w:numFmt w:val="bullet"/>
      <w:lvlText w:val="•"/>
      <w:lvlJc w:val="left"/>
      <w:pPr>
        <w:ind w:left="523" w:hanging="133"/>
      </w:pPr>
      <w:rPr>
        <w:rFonts w:ascii="Times New Roman" w:eastAsia="Times New Roman" w:hAnsi="Times New Roman" w:cs="Times New Roman" w:hint="default"/>
        <w:w w:val="100"/>
        <w:sz w:val="22"/>
        <w:szCs w:val="22"/>
      </w:rPr>
    </w:lvl>
    <w:lvl w:ilvl="1" w:tplc="C88E8BF4">
      <w:numFmt w:val="bullet"/>
      <w:lvlText w:val="•"/>
      <w:lvlJc w:val="left"/>
      <w:pPr>
        <w:ind w:left="810" w:hanging="133"/>
      </w:pPr>
      <w:rPr>
        <w:rFonts w:hint="default"/>
      </w:rPr>
    </w:lvl>
    <w:lvl w:ilvl="2" w:tplc="7A4AD100">
      <w:numFmt w:val="bullet"/>
      <w:lvlText w:val="•"/>
      <w:lvlJc w:val="left"/>
      <w:pPr>
        <w:ind w:left="1100" w:hanging="133"/>
      </w:pPr>
      <w:rPr>
        <w:rFonts w:hint="default"/>
      </w:rPr>
    </w:lvl>
    <w:lvl w:ilvl="3" w:tplc="9B66348C">
      <w:numFmt w:val="bullet"/>
      <w:lvlText w:val="•"/>
      <w:lvlJc w:val="left"/>
      <w:pPr>
        <w:ind w:left="1390" w:hanging="133"/>
      </w:pPr>
      <w:rPr>
        <w:rFonts w:hint="default"/>
      </w:rPr>
    </w:lvl>
    <w:lvl w:ilvl="4" w:tplc="2CA4D3E8">
      <w:numFmt w:val="bullet"/>
      <w:lvlText w:val="•"/>
      <w:lvlJc w:val="left"/>
      <w:pPr>
        <w:ind w:left="1681" w:hanging="133"/>
      </w:pPr>
      <w:rPr>
        <w:rFonts w:hint="default"/>
      </w:rPr>
    </w:lvl>
    <w:lvl w:ilvl="5" w:tplc="0EC63A5A">
      <w:numFmt w:val="bullet"/>
      <w:lvlText w:val="•"/>
      <w:lvlJc w:val="left"/>
      <w:pPr>
        <w:ind w:left="1971" w:hanging="133"/>
      </w:pPr>
      <w:rPr>
        <w:rFonts w:hint="default"/>
      </w:rPr>
    </w:lvl>
    <w:lvl w:ilvl="6" w:tplc="19EA6D48">
      <w:numFmt w:val="bullet"/>
      <w:lvlText w:val="•"/>
      <w:lvlJc w:val="left"/>
      <w:pPr>
        <w:ind w:left="2261" w:hanging="133"/>
      </w:pPr>
      <w:rPr>
        <w:rFonts w:hint="default"/>
      </w:rPr>
    </w:lvl>
    <w:lvl w:ilvl="7" w:tplc="C9C8830C">
      <w:numFmt w:val="bullet"/>
      <w:lvlText w:val="•"/>
      <w:lvlJc w:val="left"/>
      <w:pPr>
        <w:ind w:left="2552" w:hanging="133"/>
      </w:pPr>
      <w:rPr>
        <w:rFonts w:hint="default"/>
      </w:rPr>
    </w:lvl>
    <w:lvl w:ilvl="8" w:tplc="C3704C16">
      <w:numFmt w:val="bullet"/>
      <w:lvlText w:val="•"/>
      <w:lvlJc w:val="left"/>
      <w:pPr>
        <w:ind w:left="2842" w:hanging="133"/>
      </w:pPr>
      <w:rPr>
        <w:rFonts w:hint="default"/>
      </w:rPr>
    </w:lvl>
  </w:abstractNum>
  <w:abstractNum w:abstractNumId="40" w15:restartNumberingAfterBreak="0">
    <w:nsid w:val="64F42A2F"/>
    <w:multiLevelType w:val="hybridMultilevel"/>
    <w:tmpl w:val="15305044"/>
    <w:lvl w:ilvl="0" w:tplc="ABDC9E0E">
      <w:start w:val="9"/>
      <w:numFmt w:val="decimal"/>
      <w:lvlText w:val="%1."/>
      <w:lvlJc w:val="left"/>
      <w:pPr>
        <w:ind w:left="323" w:hanging="183"/>
      </w:pPr>
      <w:rPr>
        <w:rFonts w:ascii="Times New Roman" w:eastAsia="Times New Roman" w:hAnsi="Times New Roman" w:cs="Times New Roman" w:hint="default"/>
        <w:b/>
        <w:bCs/>
        <w:spacing w:val="0"/>
        <w:w w:val="100"/>
        <w:sz w:val="18"/>
        <w:szCs w:val="18"/>
      </w:rPr>
    </w:lvl>
    <w:lvl w:ilvl="1" w:tplc="0FC66C2C">
      <w:numFmt w:val="bullet"/>
      <w:lvlText w:val="•"/>
      <w:lvlJc w:val="left"/>
      <w:pPr>
        <w:ind w:left="771" w:hanging="183"/>
      </w:pPr>
      <w:rPr>
        <w:rFonts w:hint="default"/>
      </w:rPr>
    </w:lvl>
    <w:lvl w:ilvl="2" w:tplc="34669DAC">
      <w:numFmt w:val="bullet"/>
      <w:lvlText w:val="•"/>
      <w:lvlJc w:val="left"/>
      <w:pPr>
        <w:ind w:left="1223" w:hanging="183"/>
      </w:pPr>
      <w:rPr>
        <w:rFonts w:hint="default"/>
      </w:rPr>
    </w:lvl>
    <w:lvl w:ilvl="3" w:tplc="735AAEA0">
      <w:numFmt w:val="bullet"/>
      <w:lvlText w:val="•"/>
      <w:lvlJc w:val="left"/>
      <w:pPr>
        <w:ind w:left="1675" w:hanging="183"/>
      </w:pPr>
      <w:rPr>
        <w:rFonts w:hint="default"/>
      </w:rPr>
    </w:lvl>
    <w:lvl w:ilvl="4" w:tplc="B7F0229A">
      <w:numFmt w:val="bullet"/>
      <w:lvlText w:val="•"/>
      <w:lvlJc w:val="left"/>
      <w:pPr>
        <w:ind w:left="2127" w:hanging="183"/>
      </w:pPr>
      <w:rPr>
        <w:rFonts w:hint="default"/>
      </w:rPr>
    </w:lvl>
    <w:lvl w:ilvl="5" w:tplc="BB28A2FE">
      <w:numFmt w:val="bullet"/>
      <w:lvlText w:val="•"/>
      <w:lvlJc w:val="left"/>
      <w:pPr>
        <w:ind w:left="2578" w:hanging="183"/>
      </w:pPr>
      <w:rPr>
        <w:rFonts w:hint="default"/>
      </w:rPr>
    </w:lvl>
    <w:lvl w:ilvl="6" w:tplc="9D509298">
      <w:numFmt w:val="bullet"/>
      <w:lvlText w:val="•"/>
      <w:lvlJc w:val="left"/>
      <w:pPr>
        <w:ind w:left="3030" w:hanging="183"/>
      </w:pPr>
      <w:rPr>
        <w:rFonts w:hint="default"/>
      </w:rPr>
    </w:lvl>
    <w:lvl w:ilvl="7" w:tplc="3B360A26">
      <w:numFmt w:val="bullet"/>
      <w:lvlText w:val="•"/>
      <w:lvlJc w:val="left"/>
      <w:pPr>
        <w:ind w:left="3482" w:hanging="183"/>
      </w:pPr>
      <w:rPr>
        <w:rFonts w:hint="default"/>
      </w:rPr>
    </w:lvl>
    <w:lvl w:ilvl="8" w:tplc="BE763EAA">
      <w:numFmt w:val="bullet"/>
      <w:lvlText w:val="•"/>
      <w:lvlJc w:val="left"/>
      <w:pPr>
        <w:ind w:left="3934" w:hanging="183"/>
      </w:pPr>
      <w:rPr>
        <w:rFonts w:hint="default"/>
      </w:rPr>
    </w:lvl>
  </w:abstractNum>
  <w:abstractNum w:abstractNumId="41" w15:restartNumberingAfterBreak="0">
    <w:nsid w:val="6DDE2094"/>
    <w:multiLevelType w:val="hybridMultilevel"/>
    <w:tmpl w:val="230C0D80"/>
    <w:lvl w:ilvl="0" w:tplc="4D8ECD2C">
      <w:numFmt w:val="bullet"/>
      <w:lvlText w:val="-"/>
      <w:lvlJc w:val="left"/>
      <w:pPr>
        <w:ind w:left="116" w:hanging="140"/>
      </w:pPr>
      <w:rPr>
        <w:rFonts w:ascii="Times New Roman" w:eastAsia="Times New Roman" w:hAnsi="Times New Roman" w:cs="Times New Roman" w:hint="default"/>
        <w:w w:val="99"/>
        <w:sz w:val="24"/>
        <w:szCs w:val="24"/>
      </w:rPr>
    </w:lvl>
    <w:lvl w:ilvl="1" w:tplc="CDF2745A">
      <w:numFmt w:val="bullet"/>
      <w:lvlText w:val="•"/>
      <w:lvlJc w:val="left"/>
      <w:pPr>
        <w:ind w:left="1038" w:hanging="140"/>
      </w:pPr>
      <w:rPr>
        <w:rFonts w:hint="default"/>
      </w:rPr>
    </w:lvl>
    <w:lvl w:ilvl="2" w:tplc="02B2BB48">
      <w:numFmt w:val="bullet"/>
      <w:lvlText w:val="•"/>
      <w:lvlJc w:val="left"/>
      <w:pPr>
        <w:ind w:left="1957" w:hanging="140"/>
      </w:pPr>
      <w:rPr>
        <w:rFonts w:hint="default"/>
      </w:rPr>
    </w:lvl>
    <w:lvl w:ilvl="3" w:tplc="53A6897C">
      <w:numFmt w:val="bullet"/>
      <w:lvlText w:val="•"/>
      <w:lvlJc w:val="left"/>
      <w:pPr>
        <w:ind w:left="2875" w:hanging="140"/>
      </w:pPr>
      <w:rPr>
        <w:rFonts w:hint="default"/>
      </w:rPr>
    </w:lvl>
    <w:lvl w:ilvl="4" w:tplc="FC0863C0">
      <w:numFmt w:val="bullet"/>
      <w:lvlText w:val="•"/>
      <w:lvlJc w:val="left"/>
      <w:pPr>
        <w:ind w:left="3794" w:hanging="140"/>
      </w:pPr>
      <w:rPr>
        <w:rFonts w:hint="default"/>
      </w:rPr>
    </w:lvl>
    <w:lvl w:ilvl="5" w:tplc="1778B754">
      <w:numFmt w:val="bullet"/>
      <w:lvlText w:val="•"/>
      <w:lvlJc w:val="left"/>
      <w:pPr>
        <w:ind w:left="4713" w:hanging="140"/>
      </w:pPr>
      <w:rPr>
        <w:rFonts w:hint="default"/>
      </w:rPr>
    </w:lvl>
    <w:lvl w:ilvl="6" w:tplc="A0E4B866">
      <w:numFmt w:val="bullet"/>
      <w:lvlText w:val="•"/>
      <w:lvlJc w:val="left"/>
      <w:pPr>
        <w:ind w:left="5631" w:hanging="140"/>
      </w:pPr>
      <w:rPr>
        <w:rFonts w:hint="default"/>
      </w:rPr>
    </w:lvl>
    <w:lvl w:ilvl="7" w:tplc="C3D2E37C">
      <w:numFmt w:val="bullet"/>
      <w:lvlText w:val="•"/>
      <w:lvlJc w:val="left"/>
      <w:pPr>
        <w:ind w:left="6550" w:hanging="140"/>
      </w:pPr>
      <w:rPr>
        <w:rFonts w:hint="default"/>
      </w:rPr>
    </w:lvl>
    <w:lvl w:ilvl="8" w:tplc="ABCE6B70">
      <w:numFmt w:val="bullet"/>
      <w:lvlText w:val="•"/>
      <w:lvlJc w:val="left"/>
      <w:pPr>
        <w:ind w:left="7469" w:hanging="140"/>
      </w:pPr>
      <w:rPr>
        <w:rFonts w:hint="default"/>
      </w:rPr>
    </w:lvl>
  </w:abstractNum>
  <w:abstractNum w:abstractNumId="42" w15:restartNumberingAfterBreak="0">
    <w:nsid w:val="6E2A183B"/>
    <w:multiLevelType w:val="multilevel"/>
    <w:tmpl w:val="5D88C87C"/>
    <w:lvl w:ilvl="0">
      <w:start w:val="1"/>
      <w:numFmt w:val="decimal"/>
      <w:lvlText w:val="%1."/>
      <w:lvlJc w:val="left"/>
      <w:pPr>
        <w:ind w:left="396" w:hanging="281"/>
      </w:pPr>
      <w:rPr>
        <w:rFonts w:hint="default"/>
        <w:spacing w:val="0"/>
        <w:w w:val="100"/>
        <w:u w:val="none"/>
      </w:rPr>
    </w:lvl>
    <w:lvl w:ilvl="1">
      <w:start w:val="1"/>
      <w:numFmt w:val="decimal"/>
      <w:lvlText w:val="%1.%2"/>
      <w:lvlJc w:val="left"/>
      <w:pPr>
        <w:ind w:left="476" w:hanging="360"/>
      </w:pPr>
      <w:rPr>
        <w:rFonts w:ascii="Times New Roman" w:eastAsia="Times New Roman" w:hAnsi="Times New Roman" w:cs="Times New Roman" w:hint="default"/>
        <w:b/>
        <w:bCs/>
        <w:spacing w:val="-4"/>
        <w:w w:val="99"/>
        <w:sz w:val="24"/>
        <w:szCs w:val="24"/>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840" w:hanging="360"/>
      </w:pPr>
      <w:rPr>
        <w:rFonts w:hint="default"/>
      </w:rPr>
    </w:lvl>
    <w:lvl w:ilvl="4">
      <w:numFmt w:val="bullet"/>
      <w:lvlText w:val="•"/>
      <w:lvlJc w:val="left"/>
      <w:pPr>
        <w:ind w:left="2049" w:hanging="360"/>
      </w:pPr>
      <w:rPr>
        <w:rFonts w:hint="default"/>
      </w:rPr>
    </w:lvl>
    <w:lvl w:ilvl="5">
      <w:numFmt w:val="bullet"/>
      <w:lvlText w:val="•"/>
      <w:lvlJc w:val="left"/>
      <w:pPr>
        <w:ind w:left="3258" w:hanging="360"/>
      </w:pPr>
      <w:rPr>
        <w:rFonts w:hint="default"/>
      </w:rPr>
    </w:lvl>
    <w:lvl w:ilvl="6">
      <w:numFmt w:val="bullet"/>
      <w:lvlText w:val="•"/>
      <w:lvlJc w:val="left"/>
      <w:pPr>
        <w:ind w:left="4468" w:hanging="360"/>
      </w:pPr>
      <w:rPr>
        <w:rFonts w:hint="default"/>
      </w:rPr>
    </w:lvl>
    <w:lvl w:ilvl="7">
      <w:numFmt w:val="bullet"/>
      <w:lvlText w:val="•"/>
      <w:lvlJc w:val="left"/>
      <w:pPr>
        <w:ind w:left="5677" w:hanging="360"/>
      </w:pPr>
      <w:rPr>
        <w:rFonts w:hint="default"/>
      </w:rPr>
    </w:lvl>
    <w:lvl w:ilvl="8">
      <w:numFmt w:val="bullet"/>
      <w:lvlText w:val="•"/>
      <w:lvlJc w:val="left"/>
      <w:pPr>
        <w:ind w:left="6887" w:hanging="360"/>
      </w:pPr>
      <w:rPr>
        <w:rFonts w:hint="default"/>
      </w:rPr>
    </w:lvl>
  </w:abstractNum>
  <w:abstractNum w:abstractNumId="43" w15:restartNumberingAfterBreak="0">
    <w:nsid w:val="6F6A7BFF"/>
    <w:multiLevelType w:val="hybridMultilevel"/>
    <w:tmpl w:val="8A2077A0"/>
    <w:lvl w:ilvl="0" w:tplc="9D60037C">
      <w:numFmt w:val="bullet"/>
      <w:lvlText w:val="•"/>
      <w:lvlJc w:val="left"/>
      <w:pPr>
        <w:ind w:left="523" w:hanging="133"/>
      </w:pPr>
      <w:rPr>
        <w:rFonts w:ascii="Times New Roman" w:eastAsia="Times New Roman" w:hAnsi="Times New Roman" w:cs="Times New Roman" w:hint="default"/>
        <w:w w:val="100"/>
        <w:sz w:val="22"/>
        <w:szCs w:val="22"/>
      </w:rPr>
    </w:lvl>
    <w:lvl w:ilvl="1" w:tplc="EC26030E">
      <w:numFmt w:val="bullet"/>
      <w:lvlText w:val="•"/>
      <w:lvlJc w:val="left"/>
      <w:pPr>
        <w:ind w:left="810" w:hanging="133"/>
      </w:pPr>
      <w:rPr>
        <w:rFonts w:hint="default"/>
      </w:rPr>
    </w:lvl>
    <w:lvl w:ilvl="2" w:tplc="A55AFADA">
      <w:numFmt w:val="bullet"/>
      <w:lvlText w:val="•"/>
      <w:lvlJc w:val="left"/>
      <w:pPr>
        <w:ind w:left="1100" w:hanging="133"/>
      </w:pPr>
      <w:rPr>
        <w:rFonts w:hint="default"/>
      </w:rPr>
    </w:lvl>
    <w:lvl w:ilvl="3" w:tplc="FEA6E826">
      <w:numFmt w:val="bullet"/>
      <w:lvlText w:val="•"/>
      <w:lvlJc w:val="left"/>
      <w:pPr>
        <w:ind w:left="1390" w:hanging="133"/>
      </w:pPr>
      <w:rPr>
        <w:rFonts w:hint="default"/>
      </w:rPr>
    </w:lvl>
    <w:lvl w:ilvl="4" w:tplc="BF50F6BC">
      <w:numFmt w:val="bullet"/>
      <w:lvlText w:val="•"/>
      <w:lvlJc w:val="left"/>
      <w:pPr>
        <w:ind w:left="1681" w:hanging="133"/>
      </w:pPr>
      <w:rPr>
        <w:rFonts w:hint="default"/>
      </w:rPr>
    </w:lvl>
    <w:lvl w:ilvl="5" w:tplc="25B63E34">
      <w:numFmt w:val="bullet"/>
      <w:lvlText w:val="•"/>
      <w:lvlJc w:val="left"/>
      <w:pPr>
        <w:ind w:left="1971" w:hanging="133"/>
      </w:pPr>
      <w:rPr>
        <w:rFonts w:hint="default"/>
      </w:rPr>
    </w:lvl>
    <w:lvl w:ilvl="6" w:tplc="AA2E5BAE">
      <w:numFmt w:val="bullet"/>
      <w:lvlText w:val="•"/>
      <w:lvlJc w:val="left"/>
      <w:pPr>
        <w:ind w:left="2261" w:hanging="133"/>
      </w:pPr>
      <w:rPr>
        <w:rFonts w:hint="default"/>
      </w:rPr>
    </w:lvl>
    <w:lvl w:ilvl="7" w:tplc="A51A420E">
      <w:numFmt w:val="bullet"/>
      <w:lvlText w:val="•"/>
      <w:lvlJc w:val="left"/>
      <w:pPr>
        <w:ind w:left="2552" w:hanging="133"/>
      </w:pPr>
      <w:rPr>
        <w:rFonts w:hint="default"/>
      </w:rPr>
    </w:lvl>
    <w:lvl w:ilvl="8" w:tplc="6DB88466">
      <w:numFmt w:val="bullet"/>
      <w:lvlText w:val="•"/>
      <w:lvlJc w:val="left"/>
      <w:pPr>
        <w:ind w:left="2842" w:hanging="133"/>
      </w:pPr>
      <w:rPr>
        <w:rFonts w:hint="default"/>
      </w:rPr>
    </w:lvl>
  </w:abstractNum>
  <w:abstractNum w:abstractNumId="44" w15:restartNumberingAfterBreak="0">
    <w:nsid w:val="79A8661B"/>
    <w:multiLevelType w:val="hybridMultilevel"/>
    <w:tmpl w:val="AE9AEC44"/>
    <w:lvl w:ilvl="0" w:tplc="88A80190">
      <w:numFmt w:val="bullet"/>
      <w:lvlText w:val="-"/>
      <w:lvlJc w:val="left"/>
      <w:pPr>
        <w:ind w:left="825" w:hanging="360"/>
      </w:pPr>
      <w:rPr>
        <w:rFonts w:ascii="Times New Roman" w:eastAsia="Times New Roman" w:hAnsi="Times New Roman" w:cs="Times New Roman" w:hint="default"/>
        <w:spacing w:val="-3"/>
        <w:w w:val="99"/>
        <w:sz w:val="24"/>
        <w:szCs w:val="24"/>
      </w:rPr>
    </w:lvl>
    <w:lvl w:ilvl="1" w:tplc="54803C28">
      <w:numFmt w:val="bullet"/>
      <w:lvlText w:val="•"/>
      <w:lvlJc w:val="left"/>
      <w:pPr>
        <w:ind w:left="1510" w:hanging="360"/>
      </w:pPr>
      <w:rPr>
        <w:rFonts w:hint="default"/>
      </w:rPr>
    </w:lvl>
    <w:lvl w:ilvl="2" w:tplc="5808815C">
      <w:numFmt w:val="bullet"/>
      <w:lvlText w:val="•"/>
      <w:lvlJc w:val="left"/>
      <w:pPr>
        <w:ind w:left="2201" w:hanging="360"/>
      </w:pPr>
      <w:rPr>
        <w:rFonts w:hint="default"/>
      </w:rPr>
    </w:lvl>
    <w:lvl w:ilvl="3" w:tplc="4514914A">
      <w:numFmt w:val="bullet"/>
      <w:lvlText w:val="•"/>
      <w:lvlJc w:val="left"/>
      <w:pPr>
        <w:ind w:left="2891" w:hanging="360"/>
      </w:pPr>
      <w:rPr>
        <w:rFonts w:hint="default"/>
      </w:rPr>
    </w:lvl>
    <w:lvl w:ilvl="4" w:tplc="6310C8EA">
      <w:numFmt w:val="bullet"/>
      <w:lvlText w:val="•"/>
      <w:lvlJc w:val="left"/>
      <w:pPr>
        <w:ind w:left="3582" w:hanging="360"/>
      </w:pPr>
      <w:rPr>
        <w:rFonts w:hint="default"/>
      </w:rPr>
    </w:lvl>
    <w:lvl w:ilvl="5" w:tplc="4642DA5E">
      <w:numFmt w:val="bullet"/>
      <w:lvlText w:val="•"/>
      <w:lvlJc w:val="left"/>
      <w:pPr>
        <w:ind w:left="4272" w:hanging="360"/>
      </w:pPr>
      <w:rPr>
        <w:rFonts w:hint="default"/>
      </w:rPr>
    </w:lvl>
    <w:lvl w:ilvl="6" w:tplc="EA544372">
      <w:numFmt w:val="bullet"/>
      <w:lvlText w:val="•"/>
      <w:lvlJc w:val="left"/>
      <w:pPr>
        <w:ind w:left="4963" w:hanging="360"/>
      </w:pPr>
      <w:rPr>
        <w:rFonts w:hint="default"/>
      </w:rPr>
    </w:lvl>
    <w:lvl w:ilvl="7" w:tplc="C44E7FA0">
      <w:numFmt w:val="bullet"/>
      <w:lvlText w:val="•"/>
      <w:lvlJc w:val="left"/>
      <w:pPr>
        <w:ind w:left="5653" w:hanging="360"/>
      </w:pPr>
      <w:rPr>
        <w:rFonts w:hint="default"/>
      </w:rPr>
    </w:lvl>
    <w:lvl w:ilvl="8" w:tplc="98CA0676">
      <w:numFmt w:val="bullet"/>
      <w:lvlText w:val="•"/>
      <w:lvlJc w:val="left"/>
      <w:pPr>
        <w:ind w:left="6344" w:hanging="360"/>
      </w:pPr>
      <w:rPr>
        <w:rFonts w:hint="default"/>
      </w:rPr>
    </w:lvl>
  </w:abstractNum>
  <w:abstractNum w:abstractNumId="45" w15:restartNumberingAfterBreak="0">
    <w:nsid w:val="79EE6D55"/>
    <w:multiLevelType w:val="hybridMultilevel"/>
    <w:tmpl w:val="A8D8FE7C"/>
    <w:lvl w:ilvl="0" w:tplc="1BD86EF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B3445DD"/>
    <w:multiLevelType w:val="hybridMultilevel"/>
    <w:tmpl w:val="0532C5CC"/>
    <w:lvl w:ilvl="0" w:tplc="E37A7CF6">
      <w:start w:val="1"/>
      <w:numFmt w:val="decimal"/>
      <w:lvlText w:val="%1."/>
      <w:lvlJc w:val="left"/>
      <w:pPr>
        <w:ind w:left="144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DA20AE7"/>
    <w:multiLevelType w:val="hybridMultilevel"/>
    <w:tmpl w:val="C7C67A18"/>
    <w:lvl w:ilvl="0" w:tplc="8EAABCB0">
      <w:numFmt w:val="bullet"/>
      <w:lvlText w:val="-"/>
      <w:lvlJc w:val="left"/>
      <w:pPr>
        <w:ind w:left="279" w:hanging="164"/>
      </w:pPr>
      <w:rPr>
        <w:rFonts w:hint="default"/>
        <w:w w:val="99"/>
        <w:u w:val="thick" w:color="000000"/>
      </w:rPr>
    </w:lvl>
    <w:lvl w:ilvl="1" w:tplc="3DC29AAE">
      <w:numFmt w:val="bullet"/>
      <w:lvlText w:val="•"/>
      <w:lvlJc w:val="left"/>
      <w:pPr>
        <w:ind w:left="1182" w:hanging="164"/>
      </w:pPr>
      <w:rPr>
        <w:rFonts w:hint="default"/>
      </w:rPr>
    </w:lvl>
    <w:lvl w:ilvl="2" w:tplc="8846455A">
      <w:numFmt w:val="bullet"/>
      <w:lvlText w:val="•"/>
      <w:lvlJc w:val="left"/>
      <w:pPr>
        <w:ind w:left="2085" w:hanging="164"/>
      </w:pPr>
      <w:rPr>
        <w:rFonts w:hint="default"/>
      </w:rPr>
    </w:lvl>
    <w:lvl w:ilvl="3" w:tplc="1B6C4892">
      <w:numFmt w:val="bullet"/>
      <w:lvlText w:val="•"/>
      <w:lvlJc w:val="left"/>
      <w:pPr>
        <w:ind w:left="2987" w:hanging="164"/>
      </w:pPr>
      <w:rPr>
        <w:rFonts w:hint="default"/>
      </w:rPr>
    </w:lvl>
    <w:lvl w:ilvl="4" w:tplc="5D60C050">
      <w:numFmt w:val="bullet"/>
      <w:lvlText w:val="•"/>
      <w:lvlJc w:val="left"/>
      <w:pPr>
        <w:ind w:left="3890" w:hanging="164"/>
      </w:pPr>
      <w:rPr>
        <w:rFonts w:hint="default"/>
      </w:rPr>
    </w:lvl>
    <w:lvl w:ilvl="5" w:tplc="70E2FEFC">
      <w:numFmt w:val="bullet"/>
      <w:lvlText w:val="•"/>
      <w:lvlJc w:val="left"/>
      <w:pPr>
        <w:ind w:left="4793" w:hanging="164"/>
      </w:pPr>
      <w:rPr>
        <w:rFonts w:hint="default"/>
      </w:rPr>
    </w:lvl>
    <w:lvl w:ilvl="6" w:tplc="9206990A">
      <w:numFmt w:val="bullet"/>
      <w:lvlText w:val="•"/>
      <w:lvlJc w:val="left"/>
      <w:pPr>
        <w:ind w:left="5695" w:hanging="164"/>
      </w:pPr>
      <w:rPr>
        <w:rFonts w:hint="default"/>
      </w:rPr>
    </w:lvl>
    <w:lvl w:ilvl="7" w:tplc="B5224EAC">
      <w:numFmt w:val="bullet"/>
      <w:lvlText w:val="•"/>
      <w:lvlJc w:val="left"/>
      <w:pPr>
        <w:ind w:left="6598" w:hanging="164"/>
      </w:pPr>
      <w:rPr>
        <w:rFonts w:hint="default"/>
      </w:rPr>
    </w:lvl>
    <w:lvl w:ilvl="8" w:tplc="B15CAAA0">
      <w:numFmt w:val="bullet"/>
      <w:lvlText w:val="•"/>
      <w:lvlJc w:val="left"/>
      <w:pPr>
        <w:ind w:left="7501" w:hanging="164"/>
      </w:pPr>
      <w:rPr>
        <w:rFonts w:hint="default"/>
      </w:rPr>
    </w:lvl>
  </w:abstractNum>
  <w:abstractNum w:abstractNumId="48" w15:restartNumberingAfterBreak="0">
    <w:nsid w:val="7E184203"/>
    <w:multiLevelType w:val="hybridMultilevel"/>
    <w:tmpl w:val="3B746402"/>
    <w:lvl w:ilvl="0" w:tplc="1DDCD75C">
      <w:numFmt w:val="bullet"/>
      <w:lvlText w:val="•"/>
      <w:lvlJc w:val="left"/>
      <w:pPr>
        <w:ind w:left="391" w:hanging="617"/>
      </w:pPr>
      <w:rPr>
        <w:rFonts w:ascii="Times New Roman" w:eastAsia="Times New Roman" w:hAnsi="Times New Roman" w:cs="Times New Roman" w:hint="default"/>
        <w:w w:val="100"/>
        <w:sz w:val="22"/>
        <w:szCs w:val="22"/>
      </w:rPr>
    </w:lvl>
    <w:lvl w:ilvl="1" w:tplc="71AA26F4">
      <w:numFmt w:val="bullet"/>
      <w:lvlText w:val="•"/>
      <w:lvlJc w:val="left"/>
      <w:pPr>
        <w:ind w:left="702" w:hanging="617"/>
      </w:pPr>
      <w:rPr>
        <w:rFonts w:hint="default"/>
      </w:rPr>
    </w:lvl>
    <w:lvl w:ilvl="2" w:tplc="A5FA0DD4">
      <w:numFmt w:val="bullet"/>
      <w:lvlText w:val="•"/>
      <w:lvlJc w:val="left"/>
      <w:pPr>
        <w:ind w:left="1004" w:hanging="617"/>
      </w:pPr>
      <w:rPr>
        <w:rFonts w:hint="default"/>
      </w:rPr>
    </w:lvl>
    <w:lvl w:ilvl="3" w:tplc="D4B26AF2">
      <w:numFmt w:val="bullet"/>
      <w:lvlText w:val="•"/>
      <w:lvlJc w:val="left"/>
      <w:pPr>
        <w:ind w:left="1306" w:hanging="617"/>
      </w:pPr>
      <w:rPr>
        <w:rFonts w:hint="default"/>
      </w:rPr>
    </w:lvl>
    <w:lvl w:ilvl="4" w:tplc="3E4A0D14">
      <w:numFmt w:val="bullet"/>
      <w:lvlText w:val="•"/>
      <w:lvlJc w:val="left"/>
      <w:pPr>
        <w:ind w:left="1609" w:hanging="617"/>
      </w:pPr>
      <w:rPr>
        <w:rFonts w:hint="default"/>
      </w:rPr>
    </w:lvl>
    <w:lvl w:ilvl="5" w:tplc="F32C886E">
      <w:numFmt w:val="bullet"/>
      <w:lvlText w:val="•"/>
      <w:lvlJc w:val="left"/>
      <w:pPr>
        <w:ind w:left="1911" w:hanging="617"/>
      </w:pPr>
      <w:rPr>
        <w:rFonts w:hint="default"/>
      </w:rPr>
    </w:lvl>
    <w:lvl w:ilvl="6" w:tplc="4C62D8DE">
      <w:numFmt w:val="bullet"/>
      <w:lvlText w:val="•"/>
      <w:lvlJc w:val="left"/>
      <w:pPr>
        <w:ind w:left="2213" w:hanging="617"/>
      </w:pPr>
      <w:rPr>
        <w:rFonts w:hint="default"/>
      </w:rPr>
    </w:lvl>
    <w:lvl w:ilvl="7" w:tplc="53E27E2C">
      <w:numFmt w:val="bullet"/>
      <w:lvlText w:val="•"/>
      <w:lvlJc w:val="left"/>
      <w:pPr>
        <w:ind w:left="2516" w:hanging="617"/>
      </w:pPr>
      <w:rPr>
        <w:rFonts w:hint="default"/>
      </w:rPr>
    </w:lvl>
    <w:lvl w:ilvl="8" w:tplc="F85687B4">
      <w:numFmt w:val="bullet"/>
      <w:lvlText w:val="•"/>
      <w:lvlJc w:val="left"/>
      <w:pPr>
        <w:ind w:left="2818" w:hanging="617"/>
      </w:pPr>
      <w:rPr>
        <w:rFonts w:hint="default"/>
      </w:rPr>
    </w:lvl>
  </w:abstractNum>
  <w:num w:numId="1">
    <w:abstractNumId w:val="38"/>
  </w:num>
  <w:num w:numId="2">
    <w:abstractNumId w:val="40"/>
  </w:num>
  <w:num w:numId="3">
    <w:abstractNumId w:val="20"/>
  </w:num>
  <w:num w:numId="4">
    <w:abstractNumId w:val="48"/>
  </w:num>
  <w:num w:numId="5">
    <w:abstractNumId w:val="32"/>
  </w:num>
  <w:num w:numId="6">
    <w:abstractNumId w:val="29"/>
  </w:num>
  <w:num w:numId="7">
    <w:abstractNumId w:val="39"/>
  </w:num>
  <w:num w:numId="8">
    <w:abstractNumId w:val="19"/>
  </w:num>
  <w:num w:numId="9">
    <w:abstractNumId w:val="33"/>
  </w:num>
  <w:num w:numId="10">
    <w:abstractNumId w:val="23"/>
  </w:num>
  <w:num w:numId="11">
    <w:abstractNumId w:val="26"/>
  </w:num>
  <w:num w:numId="12">
    <w:abstractNumId w:val="43"/>
  </w:num>
  <w:num w:numId="13">
    <w:abstractNumId w:val="35"/>
  </w:num>
  <w:num w:numId="14">
    <w:abstractNumId w:val="31"/>
  </w:num>
  <w:num w:numId="15">
    <w:abstractNumId w:val="24"/>
  </w:num>
  <w:num w:numId="16">
    <w:abstractNumId w:val="12"/>
  </w:num>
  <w:num w:numId="17">
    <w:abstractNumId w:val="4"/>
  </w:num>
  <w:num w:numId="18">
    <w:abstractNumId w:val="25"/>
  </w:num>
  <w:num w:numId="19">
    <w:abstractNumId w:val="47"/>
  </w:num>
  <w:num w:numId="20">
    <w:abstractNumId w:val="21"/>
  </w:num>
  <w:num w:numId="21">
    <w:abstractNumId w:val="16"/>
  </w:num>
  <w:num w:numId="22">
    <w:abstractNumId w:val="3"/>
  </w:num>
  <w:num w:numId="23">
    <w:abstractNumId w:val="27"/>
  </w:num>
  <w:num w:numId="24">
    <w:abstractNumId w:val="15"/>
  </w:num>
  <w:num w:numId="25">
    <w:abstractNumId w:val="1"/>
  </w:num>
  <w:num w:numId="26">
    <w:abstractNumId w:val="11"/>
  </w:num>
  <w:num w:numId="27">
    <w:abstractNumId w:val="9"/>
  </w:num>
  <w:num w:numId="28">
    <w:abstractNumId w:val="13"/>
  </w:num>
  <w:num w:numId="29">
    <w:abstractNumId w:val="36"/>
  </w:num>
  <w:num w:numId="30">
    <w:abstractNumId w:val="14"/>
  </w:num>
  <w:num w:numId="31">
    <w:abstractNumId w:val="28"/>
  </w:num>
  <w:num w:numId="32">
    <w:abstractNumId w:val="41"/>
  </w:num>
  <w:num w:numId="33">
    <w:abstractNumId w:val="0"/>
  </w:num>
  <w:num w:numId="34">
    <w:abstractNumId w:val="37"/>
  </w:num>
  <w:num w:numId="35">
    <w:abstractNumId w:val="42"/>
  </w:num>
  <w:num w:numId="36">
    <w:abstractNumId w:val="44"/>
  </w:num>
  <w:num w:numId="37">
    <w:abstractNumId w:val="17"/>
  </w:num>
  <w:num w:numId="38">
    <w:abstractNumId w:val="22"/>
  </w:num>
  <w:num w:numId="39">
    <w:abstractNumId w:val="8"/>
  </w:num>
  <w:num w:numId="40">
    <w:abstractNumId w:val="10"/>
  </w:num>
  <w:num w:numId="41">
    <w:abstractNumId w:val="6"/>
  </w:num>
  <w:num w:numId="42">
    <w:abstractNumId w:val="7"/>
  </w:num>
  <w:num w:numId="43">
    <w:abstractNumId w:val="34"/>
  </w:num>
  <w:num w:numId="44">
    <w:abstractNumId w:val="30"/>
  </w:num>
  <w:num w:numId="45">
    <w:abstractNumId w:val="2"/>
  </w:num>
  <w:num w:numId="46">
    <w:abstractNumId w:val="5"/>
  </w:num>
  <w:num w:numId="47">
    <w:abstractNumId w:val="18"/>
  </w:num>
  <w:num w:numId="48">
    <w:abstractNumId w:val="45"/>
  </w:num>
  <w:num w:numId="4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D39A7"/>
    <w:rsid w:val="000029B6"/>
    <w:rsid w:val="00023292"/>
    <w:rsid w:val="00031893"/>
    <w:rsid w:val="0003542D"/>
    <w:rsid w:val="0004198F"/>
    <w:rsid w:val="00044C4F"/>
    <w:rsid w:val="000464EA"/>
    <w:rsid w:val="000512F7"/>
    <w:rsid w:val="00060458"/>
    <w:rsid w:val="000F1F9A"/>
    <w:rsid w:val="000F2CCB"/>
    <w:rsid w:val="00104946"/>
    <w:rsid w:val="001206E8"/>
    <w:rsid w:val="00140386"/>
    <w:rsid w:val="00143F04"/>
    <w:rsid w:val="001577B3"/>
    <w:rsid w:val="00161D45"/>
    <w:rsid w:val="00163F78"/>
    <w:rsid w:val="00166416"/>
    <w:rsid w:val="00183921"/>
    <w:rsid w:val="00190C1A"/>
    <w:rsid w:val="00193AAB"/>
    <w:rsid w:val="001A16B5"/>
    <w:rsid w:val="001A5673"/>
    <w:rsid w:val="001B1E31"/>
    <w:rsid w:val="001B79D2"/>
    <w:rsid w:val="001D31CF"/>
    <w:rsid w:val="0021354B"/>
    <w:rsid w:val="0026396B"/>
    <w:rsid w:val="002C0F76"/>
    <w:rsid w:val="002C40FF"/>
    <w:rsid w:val="002D605B"/>
    <w:rsid w:val="002E7FCA"/>
    <w:rsid w:val="002F41CC"/>
    <w:rsid w:val="002F77FA"/>
    <w:rsid w:val="00304B1D"/>
    <w:rsid w:val="00314A81"/>
    <w:rsid w:val="003239C1"/>
    <w:rsid w:val="00323EB6"/>
    <w:rsid w:val="00337C44"/>
    <w:rsid w:val="00343B4E"/>
    <w:rsid w:val="003446CA"/>
    <w:rsid w:val="00347A36"/>
    <w:rsid w:val="00365ECD"/>
    <w:rsid w:val="003665A2"/>
    <w:rsid w:val="00377374"/>
    <w:rsid w:val="00381FEB"/>
    <w:rsid w:val="003910F2"/>
    <w:rsid w:val="003F3E82"/>
    <w:rsid w:val="003F67AF"/>
    <w:rsid w:val="004028D6"/>
    <w:rsid w:val="00411BCD"/>
    <w:rsid w:val="0041731D"/>
    <w:rsid w:val="004235C7"/>
    <w:rsid w:val="004265C9"/>
    <w:rsid w:val="00430A86"/>
    <w:rsid w:val="0043283A"/>
    <w:rsid w:val="00441452"/>
    <w:rsid w:val="00444F9D"/>
    <w:rsid w:val="004533C6"/>
    <w:rsid w:val="00472D89"/>
    <w:rsid w:val="0047618B"/>
    <w:rsid w:val="00487D2B"/>
    <w:rsid w:val="0049110E"/>
    <w:rsid w:val="004961CE"/>
    <w:rsid w:val="004A66F0"/>
    <w:rsid w:val="004B1DC1"/>
    <w:rsid w:val="004D1AC1"/>
    <w:rsid w:val="004D4023"/>
    <w:rsid w:val="004F23CC"/>
    <w:rsid w:val="004F56F6"/>
    <w:rsid w:val="00501B44"/>
    <w:rsid w:val="00515437"/>
    <w:rsid w:val="00535AB6"/>
    <w:rsid w:val="00537444"/>
    <w:rsid w:val="0054397C"/>
    <w:rsid w:val="005534DD"/>
    <w:rsid w:val="00554405"/>
    <w:rsid w:val="00576525"/>
    <w:rsid w:val="00587DFC"/>
    <w:rsid w:val="005B3809"/>
    <w:rsid w:val="005B3B28"/>
    <w:rsid w:val="005C1646"/>
    <w:rsid w:val="005D56C5"/>
    <w:rsid w:val="005F344B"/>
    <w:rsid w:val="006074F4"/>
    <w:rsid w:val="0061183E"/>
    <w:rsid w:val="00630B9C"/>
    <w:rsid w:val="00634836"/>
    <w:rsid w:val="00640D1A"/>
    <w:rsid w:val="006470B3"/>
    <w:rsid w:val="00651EAF"/>
    <w:rsid w:val="006603BB"/>
    <w:rsid w:val="00665094"/>
    <w:rsid w:val="006711F3"/>
    <w:rsid w:val="00674DC6"/>
    <w:rsid w:val="0068438F"/>
    <w:rsid w:val="006A4AFA"/>
    <w:rsid w:val="006C5276"/>
    <w:rsid w:val="006C6354"/>
    <w:rsid w:val="006E3EFB"/>
    <w:rsid w:val="006F4388"/>
    <w:rsid w:val="006F55E6"/>
    <w:rsid w:val="00703C72"/>
    <w:rsid w:val="00724B29"/>
    <w:rsid w:val="00743929"/>
    <w:rsid w:val="00744A18"/>
    <w:rsid w:val="007468DD"/>
    <w:rsid w:val="00755D38"/>
    <w:rsid w:val="00765BBD"/>
    <w:rsid w:val="007718E5"/>
    <w:rsid w:val="0079786E"/>
    <w:rsid w:val="007B0D4B"/>
    <w:rsid w:val="007B538B"/>
    <w:rsid w:val="0080269A"/>
    <w:rsid w:val="00825B88"/>
    <w:rsid w:val="00834E12"/>
    <w:rsid w:val="0084303F"/>
    <w:rsid w:val="008430CB"/>
    <w:rsid w:val="00845E06"/>
    <w:rsid w:val="008538A6"/>
    <w:rsid w:val="00865FA3"/>
    <w:rsid w:val="00870160"/>
    <w:rsid w:val="00873C7F"/>
    <w:rsid w:val="0087428E"/>
    <w:rsid w:val="008A03B0"/>
    <w:rsid w:val="008A72C9"/>
    <w:rsid w:val="00900AF1"/>
    <w:rsid w:val="009013A9"/>
    <w:rsid w:val="009028B4"/>
    <w:rsid w:val="00916DC0"/>
    <w:rsid w:val="00917939"/>
    <w:rsid w:val="00921E51"/>
    <w:rsid w:val="00934177"/>
    <w:rsid w:val="0093671F"/>
    <w:rsid w:val="00942ECE"/>
    <w:rsid w:val="00970A58"/>
    <w:rsid w:val="0097155F"/>
    <w:rsid w:val="0097455D"/>
    <w:rsid w:val="009814C8"/>
    <w:rsid w:val="009B0A1A"/>
    <w:rsid w:val="00A004F4"/>
    <w:rsid w:val="00A00720"/>
    <w:rsid w:val="00A374C7"/>
    <w:rsid w:val="00A51DF5"/>
    <w:rsid w:val="00A555BA"/>
    <w:rsid w:val="00A574CE"/>
    <w:rsid w:val="00A628B7"/>
    <w:rsid w:val="00A63408"/>
    <w:rsid w:val="00A74F43"/>
    <w:rsid w:val="00A83416"/>
    <w:rsid w:val="00A93A31"/>
    <w:rsid w:val="00AC0B66"/>
    <w:rsid w:val="00AC41E5"/>
    <w:rsid w:val="00AC659B"/>
    <w:rsid w:val="00AC6741"/>
    <w:rsid w:val="00AD17A3"/>
    <w:rsid w:val="00AD7C53"/>
    <w:rsid w:val="00AE26C5"/>
    <w:rsid w:val="00AE4AF2"/>
    <w:rsid w:val="00AE5514"/>
    <w:rsid w:val="00B07DEE"/>
    <w:rsid w:val="00B14EF1"/>
    <w:rsid w:val="00B243D6"/>
    <w:rsid w:val="00B25E13"/>
    <w:rsid w:val="00B609FB"/>
    <w:rsid w:val="00B94536"/>
    <w:rsid w:val="00BA3D0D"/>
    <w:rsid w:val="00BC40D4"/>
    <w:rsid w:val="00BC59E4"/>
    <w:rsid w:val="00BC66D2"/>
    <w:rsid w:val="00BD15BF"/>
    <w:rsid w:val="00BD73BD"/>
    <w:rsid w:val="00C03E2E"/>
    <w:rsid w:val="00C35499"/>
    <w:rsid w:val="00C60F26"/>
    <w:rsid w:val="00C61386"/>
    <w:rsid w:val="00C62D97"/>
    <w:rsid w:val="00C71AFB"/>
    <w:rsid w:val="00C74FD2"/>
    <w:rsid w:val="00C870E4"/>
    <w:rsid w:val="00C965E5"/>
    <w:rsid w:val="00C97CAF"/>
    <w:rsid w:val="00CA0FCB"/>
    <w:rsid w:val="00CD39A7"/>
    <w:rsid w:val="00D03011"/>
    <w:rsid w:val="00D13343"/>
    <w:rsid w:val="00D14C17"/>
    <w:rsid w:val="00D16C3B"/>
    <w:rsid w:val="00D32B89"/>
    <w:rsid w:val="00D579E9"/>
    <w:rsid w:val="00D661F4"/>
    <w:rsid w:val="00D72855"/>
    <w:rsid w:val="00D81687"/>
    <w:rsid w:val="00DB0E62"/>
    <w:rsid w:val="00DC1614"/>
    <w:rsid w:val="00E0701C"/>
    <w:rsid w:val="00E1426F"/>
    <w:rsid w:val="00E153D6"/>
    <w:rsid w:val="00E331DD"/>
    <w:rsid w:val="00E375C7"/>
    <w:rsid w:val="00E44A34"/>
    <w:rsid w:val="00E45428"/>
    <w:rsid w:val="00E5122C"/>
    <w:rsid w:val="00E54455"/>
    <w:rsid w:val="00E71C5D"/>
    <w:rsid w:val="00E92975"/>
    <w:rsid w:val="00EA4C34"/>
    <w:rsid w:val="00EB3C48"/>
    <w:rsid w:val="00ED07C8"/>
    <w:rsid w:val="00ED5279"/>
    <w:rsid w:val="00EE11B9"/>
    <w:rsid w:val="00EE187A"/>
    <w:rsid w:val="00EE1CCF"/>
    <w:rsid w:val="00EE5918"/>
    <w:rsid w:val="00F07C9E"/>
    <w:rsid w:val="00F13813"/>
    <w:rsid w:val="00F22DA4"/>
    <w:rsid w:val="00F42E37"/>
    <w:rsid w:val="00F5685B"/>
    <w:rsid w:val="00FF1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4:docId w14:val="2D35DAEA"/>
  <w15:docId w15:val="{A025EB67-BE51-418C-92AB-42DAF3F1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96"/>
      <w:jc w:val="both"/>
      <w:outlineLvl w:val="0"/>
    </w:pPr>
    <w:rPr>
      <w:b/>
      <w:bCs/>
      <w:sz w:val="28"/>
      <w:szCs w:val="28"/>
    </w:rPr>
  </w:style>
  <w:style w:type="paragraph" w:styleId="Heading2">
    <w:name w:val="heading 2"/>
    <w:basedOn w:val="Normal"/>
    <w:uiPriority w:val="1"/>
    <w:qFormat/>
    <w:pPr>
      <w:spacing w:before="70"/>
      <w:ind w:left="976"/>
      <w:outlineLvl w:val="1"/>
    </w:pPr>
    <w:rPr>
      <w:sz w:val="28"/>
      <w:szCs w:val="28"/>
    </w:rPr>
  </w:style>
  <w:style w:type="paragraph" w:styleId="Heading3">
    <w:name w:val="heading 3"/>
    <w:basedOn w:val="Normal"/>
    <w:uiPriority w:val="1"/>
    <w:qFormat/>
    <w:pPr>
      <w:spacing w:line="359" w:lineRule="exact"/>
      <w:ind w:left="126" w:right="126"/>
      <w:jc w:val="center"/>
      <w:outlineLvl w:val="2"/>
    </w:pPr>
    <w:rPr>
      <w:rFonts w:ascii="Arial Unicode MS" w:eastAsia="Arial Unicode MS" w:hAnsi="Arial Unicode MS" w:cs="Arial Unicode MS"/>
      <w:sz w:val="26"/>
      <w:szCs w:val="26"/>
    </w:rPr>
  </w:style>
  <w:style w:type="paragraph" w:styleId="Heading4">
    <w:name w:val="heading 4"/>
    <w:basedOn w:val="Normal"/>
    <w:uiPriority w:val="1"/>
    <w:qFormat/>
    <w:pPr>
      <w:ind w:left="476" w:hanging="360"/>
      <w:jc w:val="both"/>
      <w:outlineLvl w:val="3"/>
    </w:pPr>
    <w:rPr>
      <w:b/>
      <w:bCs/>
      <w:sz w:val="24"/>
      <w:szCs w:val="24"/>
    </w:rPr>
  </w:style>
  <w:style w:type="paragraph" w:styleId="Heading5">
    <w:name w:val="heading 5"/>
    <w:basedOn w:val="Normal"/>
    <w:uiPriority w:val="1"/>
    <w:qFormat/>
    <w:pPr>
      <w:ind w:left="1"/>
      <w:jc w:val="center"/>
      <w:outlineLvl w:val="4"/>
    </w:pPr>
    <w:rPr>
      <w:rFonts w:ascii="Arial" w:eastAsia="Arial" w:hAnsi="Arial" w:cs="Arial"/>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left="356" w:hanging="240"/>
    </w:pPr>
    <w:rPr>
      <w:b/>
      <w:bCs/>
      <w:sz w:val="24"/>
      <w:szCs w:val="24"/>
    </w:rPr>
  </w:style>
  <w:style w:type="paragraph" w:styleId="TOC2">
    <w:name w:val="toc 2"/>
    <w:basedOn w:val="Normal"/>
    <w:uiPriority w:val="1"/>
    <w:qFormat/>
    <w:pPr>
      <w:ind w:left="464" w:hanging="348"/>
    </w:pPr>
    <w:rPr>
      <w:b/>
      <w:bCs/>
      <w:sz w:val="19"/>
      <w:szCs w:val="19"/>
    </w:rPr>
  </w:style>
  <w:style w:type="paragraph" w:styleId="TOC3">
    <w:name w:val="toc 3"/>
    <w:basedOn w:val="Normal"/>
    <w:uiPriority w:val="1"/>
    <w:qFormat/>
    <w:pPr>
      <w:ind w:left="838"/>
    </w:pPr>
    <w:rPr>
      <w:sz w:val="19"/>
      <w:szCs w:val="19"/>
    </w:rPr>
  </w:style>
  <w:style w:type="paragraph" w:styleId="TOC4">
    <w:name w:val="toc 4"/>
    <w:basedOn w:val="Normal"/>
    <w:uiPriority w:val="1"/>
    <w:qFormat/>
    <w:pPr>
      <w:ind w:left="836" w:hanging="720"/>
    </w:pPr>
    <w:rPr>
      <w:b/>
      <w:bCs/>
      <w:i/>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6" w:hanging="360"/>
    </w:pPr>
  </w:style>
  <w:style w:type="paragraph" w:customStyle="1" w:styleId="TableParagraph">
    <w:name w:val="Table Paragraph"/>
    <w:basedOn w:val="Normal"/>
    <w:uiPriority w:val="1"/>
    <w:qFormat/>
    <w:pPr>
      <w:spacing w:line="219" w:lineRule="exact"/>
    </w:pPr>
  </w:style>
  <w:style w:type="paragraph" w:styleId="BalloonText">
    <w:name w:val="Balloon Text"/>
    <w:basedOn w:val="Normal"/>
    <w:link w:val="BalloonTextChar"/>
    <w:uiPriority w:val="99"/>
    <w:semiHidden/>
    <w:unhideWhenUsed/>
    <w:rsid w:val="00B25E13"/>
    <w:rPr>
      <w:rFonts w:ascii="Tahoma" w:hAnsi="Tahoma" w:cs="Tahoma"/>
      <w:sz w:val="16"/>
      <w:szCs w:val="16"/>
    </w:rPr>
  </w:style>
  <w:style w:type="character" w:customStyle="1" w:styleId="BalloonTextChar">
    <w:name w:val="Balloon Text Char"/>
    <w:basedOn w:val="DefaultParagraphFont"/>
    <w:link w:val="BalloonText"/>
    <w:uiPriority w:val="99"/>
    <w:semiHidden/>
    <w:rsid w:val="00B25E13"/>
    <w:rPr>
      <w:rFonts w:ascii="Tahoma" w:eastAsia="Times New Roman" w:hAnsi="Tahoma" w:cs="Tahoma"/>
      <w:sz w:val="16"/>
      <w:szCs w:val="16"/>
    </w:rPr>
  </w:style>
  <w:style w:type="paragraph" w:styleId="Header">
    <w:name w:val="header"/>
    <w:basedOn w:val="Normal"/>
    <w:link w:val="HeaderChar"/>
    <w:uiPriority w:val="99"/>
    <w:unhideWhenUsed/>
    <w:qFormat/>
    <w:rsid w:val="005B3809"/>
    <w:pPr>
      <w:tabs>
        <w:tab w:val="center" w:pos="4680"/>
        <w:tab w:val="right" w:pos="9360"/>
      </w:tabs>
    </w:pPr>
  </w:style>
  <w:style w:type="character" w:customStyle="1" w:styleId="HeaderChar">
    <w:name w:val="Header Char"/>
    <w:basedOn w:val="DefaultParagraphFont"/>
    <w:link w:val="Header"/>
    <w:uiPriority w:val="99"/>
    <w:rsid w:val="005B3809"/>
    <w:rPr>
      <w:rFonts w:ascii="Times New Roman" w:eastAsia="Times New Roman" w:hAnsi="Times New Roman" w:cs="Times New Roman"/>
    </w:rPr>
  </w:style>
  <w:style w:type="paragraph" w:styleId="Footer">
    <w:name w:val="footer"/>
    <w:basedOn w:val="Normal"/>
    <w:link w:val="FooterChar"/>
    <w:uiPriority w:val="99"/>
    <w:unhideWhenUsed/>
    <w:rsid w:val="005B3809"/>
    <w:pPr>
      <w:tabs>
        <w:tab w:val="center" w:pos="4680"/>
        <w:tab w:val="right" w:pos="9360"/>
      </w:tabs>
    </w:pPr>
  </w:style>
  <w:style w:type="character" w:customStyle="1" w:styleId="FooterChar">
    <w:name w:val="Footer Char"/>
    <w:basedOn w:val="DefaultParagraphFont"/>
    <w:link w:val="Footer"/>
    <w:uiPriority w:val="99"/>
    <w:rsid w:val="005B380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B3809"/>
    <w:rPr>
      <w:rFonts w:ascii="Times New Roman" w:eastAsia="Times New Roman" w:hAnsi="Times New Roman" w:cs="Times New Roman"/>
      <w:sz w:val="24"/>
      <w:szCs w:val="24"/>
    </w:rPr>
  </w:style>
  <w:style w:type="table" w:styleId="TableGrid">
    <w:name w:val="Table Grid"/>
    <w:basedOn w:val="TableNormal"/>
    <w:uiPriority w:val="59"/>
    <w:rsid w:val="00EB3C4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ic.guillevin@cch.aphp.f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pagnoux@cch.aphp.fr"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hyperlink" Target="mailto:loic.guillevin@cch.aphp.f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ristian.pagnoux@cch.aphp.fr"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41C621D5E76E479F65E8D79FC5AF9F" ma:contentTypeVersion="7" ma:contentTypeDescription="Create a new document." ma:contentTypeScope="" ma:versionID="7ef7d73eb42850650f7c9e6e118b13ce">
  <xsd:schema xmlns:xsd="http://www.w3.org/2001/XMLSchema" xmlns:xs="http://www.w3.org/2001/XMLSchema" xmlns:p="http://schemas.microsoft.com/office/2006/metadata/properties" xmlns:ns1="http://schemas.microsoft.com/sharepoint/v3" xmlns:ns2="fb17e174-7c0b-431e-9d6d-18e6692b7977" xmlns:ns3="f191ad30-9ade-4f0c-b78e-cf30469879ae" targetNamespace="http://schemas.microsoft.com/office/2006/metadata/properties" ma:root="true" ma:fieldsID="f625e183f2cadc97619502361d132834" ns1:_="" ns2:_="" ns3:_="">
    <xsd:import namespace="http://schemas.microsoft.com/sharepoint/v3"/>
    <xsd:import namespace="fb17e174-7c0b-431e-9d6d-18e6692b7977"/>
    <xsd:import namespace="f191ad30-9ade-4f0c-b78e-cf30469879ae"/>
    <xsd:element name="properties">
      <xsd:complexType>
        <xsd:sequence>
          <xsd:element name="documentManagement">
            <xsd:complexType>
              <xsd:all>
                <xsd:element ref="ns2:TaxKeywordTaxHTField" minOccurs="0"/>
                <xsd:element ref="ns3:TaxCatchAll" minOccurs="0"/>
                <xsd:element ref="ns1:_dlc_ExpireDateSaved" minOccurs="0"/>
                <xsd:element ref="ns1:_dlc_ExpireDate" minOccurs="0"/>
                <xsd:element ref="ns1:_dlc_Exempt"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element name="_vti_ItemDeclaredRecord" ma:index="1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17e174-7c0b-431e-9d6d-18e6692b797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72f7128-7cd6-45fa-a1a2-4a4f9bd34633}" ma:internalName="TaxCatchAll" ma:showField="CatchAllData" ma:web="fb17e174-7c0b-431e-9d6d-18e6692b7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191ad30-9ade-4f0c-b78e-cf30469879ae"/>
    <_dlc_ExpireDateSaved xmlns="http://schemas.microsoft.com/sharepoint/v3" xsi:nil="true"/>
    <_dlc_ExpireDate xmlns="http://schemas.microsoft.com/sharepoint/v3">2020-12-24T05:00:00+00:00</_dlc_ExpireDate>
    <TaxKeywordTaxHTField xmlns="fb17e174-7c0b-431e-9d6d-18e6692b7977">
      <Terms xmlns="http://schemas.microsoft.com/office/infopath/2007/PartnerControls"/>
    </TaxKeywordTaxHTField>
  </documentManagement>
</p:properties>
</file>

<file path=customXml/itemProps1.xml><?xml version="1.0" encoding="utf-8"?>
<ds:datastoreItem xmlns:ds="http://schemas.openxmlformats.org/officeDocument/2006/customXml" ds:itemID="{5DFF646C-B3A9-4D82-B68B-725FDA27F4B1}"/>
</file>

<file path=customXml/itemProps2.xml><?xml version="1.0" encoding="utf-8"?>
<ds:datastoreItem xmlns:ds="http://schemas.openxmlformats.org/officeDocument/2006/customXml" ds:itemID="{E5829E07-99A2-4AE9-BCAF-8EDAD97BF93E}"/>
</file>

<file path=customXml/itemProps3.xml><?xml version="1.0" encoding="utf-8"?>
<ds:datastoreItem xmlns:ds="http://schemas.openxmlformats.org/officeDocument/2006/customXml" ds:itemID="{9201FA92-FCF2-4F46-802B-59BCA77B2610}"/>
</file>

<file path=customXml/itemProps4.xml><?xml version="1.0" encoding="utf-8"?>
<ds:datastoreItem xmlns:ds="http://schemas.openxmlformats.org/officeDocument/2006/customXml" ds:itemID="{2B9A6822-9D37-4EA2-91B6-79854E3EFF75}"/>
</file>

<file path=docProps/app.xml><?xml version="1.0" encoding="utf-8"?>
<Properties xmlns="http://schemas.openxmlformats.org/officeDocument/2006/extended-properties" xmlns:vt="http://schemas.openxmlformats.org/officeDocument/2006/docPropsVTypes">
  <Template>Normal.dotm</Template>
  <TotalTime>329</TotalTime>
  <Pages>72</Pages>
  <Words>20392</Words>
  <Characters>115425</Characters>
  <Application>Microsoft Office Word</Application>
  <DocSecurity>0</DocSecurity>
  <Lines>2623</Lines>
  <Paragraphs>1414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dc:creator>
  <cp:lastModifiedBy>José Muñoz</cp:lastModifiedBy>
  <cp:revision>209</cp:revision>
  <cp:lastPrinted>2017-06-23T13:53:00Z</cp:lastPrinted>
  <dcterms:created xsi:type="dcterms:W3CDTF">2016-11-21T09:28:00Z</dcterms:created>
  <dcterms:modified xsi:type="dcterms:W3CDTF">2017-06-29T09:19:00Z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2013-12-04T00:00:00Z</vt:filetime>
  </property>
  <property fmtid="{D5CDD505-2E9C-101B-9397-08002B2CF9AE}" pid="3" name="Creator">
    <vt:lpwstr>Adobe Acrobat Pro 10.0.0</vt:lpwstr>
  </property>
  <property fmtid="{D5CDD505-2E9C-101B-9397-08002B2CF9AE}" pid="4" name="LastSaved">
    <vt:filetime>2016-11-21T00:00:00Z</vt:filetime>
  </property>
  <property fmtid="{D5CDD505-2E9C-101B-9397-08002B2CF9AE}" pid="5" name="ContentTypeId">
    <vt:lpwstr>0x010100C441C621D5E76E479F65E8D79FC5AF9F</vt:lpwstr>
  </property>
  <property fmtid="{D5CDD505-2E9C-101B-9397-08002B2CF9AE}" pid="6" name="ItemRetentionFormula">
    <vt:lpwstr>&lt;formula id="Roche.Common.Coremap.ExpirationFormula" /&gt;</vt:lpwstr>
  </property>
  <property fmtid="{D5CDD505-2E9C-101B-9397-08002B2CF9AE}" pid="7" name="_dlc_policyId">
    <vt:lpwstr>/team/201270fb/Documents</vt:lpwstr>
  </property>
  <property fmtid="{D5CDD505-2E9C-101B-9397-08002B2CF9AE}" pid="8" name="TaxKeyword">
    <vt:lpwstr/>
  </property>
</Properties>
</file>