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2F" w:rsidRDefault="0083172F" w:rsidP="0083172F">
      <w:pPr>
        <w:spacing w:line="480" w:lineRule="auto"/>
        <w:ind w:right="708"/>
        <w:jc w:val="both"/>
        <w:rPr>
          <w:rFonts w:ascii="Calibri" w:hAnsi="Calibri" w:cs="Arial"/>
          <w:b/>
          <w:sz w:val="24"/>
          <w:szCs w:val="24"/>
          <w:lang w:val="en-GB"/>
        </w:rPr>
      </w:pPr>
      <w:r w:rsidRPr="006A00BF">
        <w:rPr>
          <w:rFonts w:ascii="Calibri" w:hAnsi="Calibri" w:cs="Arial"/>
          <w:b/>
          <w:sz w:val="24"/>
          <w:szCs w:val="24"/>
          <w:lang w:val="en-GB"/>
        </w:rPr>
        <w:t>Supplementary Table 1</w:t>
      </w:r>
      <w:r>
        <w:rPr>
          <w:rFonts w:ascii="Calibri" w:hAnsi="Calibri" w:cs="Arial"/>
          <w:b/>
          <w:sz w:val="24"/>
          <w:szCs w:val="24"/>
          <w:lang w:val="en-GB"/>
        </w:rPr>
        <w:t>: Fibromyalgia Rapid Screening Tool (FiRST)</w:t>
      </w:r>
    </w:p>
    <w:p w:rsidR="0083172F" w:rsidRDefault="0083172F" w:rsidP="0083172F">
      <w:pPr>
        <w:spacing w:line="480" w:lineRule="auto"/>
        <w:ind w:right="708"/>
        <w:jc w:val="both"/>
        <w:rPr>
          <w:rFonts w:ascii="Calibri" w:hAnsi="Calibri" w:cs="Arial"/>
          <w:b/>
          <w:sz w:val="24"/>
          <w:szCs w:val="24"/>
          <w:lang w:val="en-GB"/>
        </w:rPr>
      </w:pPr>
      <w:r>
        <w:rPr>
          <w:rFonts w:ascii="Calibri" w:hAnsi="Calibri" w:cs="Arial"/>
          <w:b/>
          <w:noProof/>
          <w:sz w:val="24"/>
          <w:szCs w:val="24"/>
          <w:lang w:eastAsia="fr-FR"/>
        </w:rPr>
        <w:drawing>
          <wp:inline distT="0" distB="0" distL="0" distR="0" wp14:anchorId="7DCA49F8" wp14:editId="5484A002">
            <wp:extent cx="4501826" cy="4203488"/>
            <wp:effectExtent l="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248" cy="42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2F" w:rsidRPr="00E45B11" w:rsidRDefault="0083172F" w:rsidP="0083172F">
      <w:pPr>
        <w:spacing w:line="480" w:lineRule="auto"/>
        <w:ind w:right="708"/>
        <w:jc w:val="both"/>
        <w:rPr>
          <w:rFonts w:ascii="Calibri" w:hAnsi="Calibri" w:cs="Arial"/>
          <w:b/>
          <w:i/>
          <w:sz w:val="24"/>
          <w:szCs w:val="24"/>
          <w:lang w:val="en-GB"/>
        </w:rPr>
      </w:pPr>
      <w:r w:rsidRPr="005F7867">
        <w:rPr>
          <w:rFonts w:ascii="Calibri"/>
          <w:i/>
          <w:szCs w:val="24"/>
          <w:lang w:val="en-US"/>
        </w:rPr>
        <w:t xml:space="preserve">With authorization, </w:t>
      </w:r>
      <w:proofErr w:type="gramStart"/>
      <w:r w:rsidRPr="005F7867">
        <w:rPr>
          <w:rFonts w:ascii="Calibri"/>
          <w:i/>
          <w:szCs w:val="24"/>
          <w:lang w:val="en-US"/>
        </w:rPr>
        <w:t>from</w:t>
      </w:r>
      <w:r w:rsidRPr="005F7867">
        <w:rPr>
          <w:rFonts w:ascii="Calibri"/>
          <w:i/>
          <w:szCs w:val="24"/>
          <w:lang w:val="en-US"/>
        </w:rPr>
        <w:t> </w:t>
      </w:r>
      <w:r w:rsidRPr="005F7867">
        <w:rPr>
          <w:rFonts w:ascii="Calibri"/>
          <w:i/>
          <w:szCs w:val="24"/>
          <w:lang w:val="en-US"/>
        </w:rPr>
        <w:t>:</w:t>
      </w:r>
      <w:proofErr w:type="gramEnd"/>
      <w:r w:rsidRPr="005F7867">
        <w:rPr>
          <w:rFonts w:ascii="Calibri"/>
          <w:i/>
          <w:szCs w:val="24"/>
          <w:lang w:val="en-US"/>
        </w:rPr>
        <w:t xml:space="preserve"> Perrot S et al. Development and validation of the Fibromyalgia Rapid Screening Tool (FiRST). </w:t>
      </w:r>
      <w:r w:rsidRPr="005F7867">
        <w:rPr>
          <w:rFonts w:ascii="Calibri"/>
          <w:i/>
          <w:iCs/>
          <w:szCs w:val="24"/>
          <w:lang w:val="en-US"/>
        </w:rPr>
        <w:t>Pain</w:t>
      </w:r>
      <w:r w:rsidRPr="005F7867">
        <w:rPr>
          <w:rFonts w:ascii="Calibri"/>
          <w:i/>
          <w:szCs w:val="24"/>
          <w:lang w:val="en-US"/>
        </w:rPr>
        <w:t xml:space="preserve"> 2010</w:t>
      </w:r>
      <w:proofErr w:type="gramStart"/>
      <w:r w:rsidRPr="005F7867">
        <w:rPr>
          <w:rFonts w:ascii="Calibri"/>
          <w:i/>
          <w:szCs w:val="24"/>
          <w:lang w:val="en-US"/>
        </w:rPr>
        <w:t>;150:250</w:t>
      </w:r>
      <w:proofErr w:type="gramEnd"/>
      <w:r w:rsidRPr="005F7867">
        <w:rPr>
          <w:rFonts w:ascii="Calibri"/>
          <w:i/>
          <w:szCs w:val="24"/>
          <w:lang w:val="en-US"/>
        </w:rPr>
        <w:t>–</w:t>
      </w:r>
      <w:r w:rsidRPr="005F7867">
        <w:rPr>
          <w:rFonts w:ascii="Calibri"/>
          <w:i/>
          <w:szCs w:val="24"/>
          <w:lang w:val="en-US"/>
        </w:rPr>
        <w:t>256.</w:t>
      </w:r>
    </w:p>
    <w:p w:rsidR="0083172F" w:rsidRDefault="0083172F" w:rsidP="0083172F">
      <w:pPr>
        <w:spacing w:line="480" w:lineRule="auto"/>
        <w:ind w:right="708"/>
        <w:jc w:val="both"/>
        <w:rPr>
          <w:rFonts w:ascii="Calibri" w:hAnsi="Calibri" w:cs="Arial"/>
          <w:sz w:val="16"/>
          <w:szCs w:val="20"/>
          <w:lang w:val="en-GB"/>
        </w:rPr>
      </w:pPr>
    </w:p>
    <w:p w:rsidR="0083172F" w:rsidRPr="002A1595" w:rsidRDefault="0083172F" w:rsidP="0083172F">
      <w:pPr>
        <w:spacing w:line="480" w:lineRule="auto"/>
        <w:ind w:right="708"/>
        <w:jc w:val="both"/>
        <w:rPr>
          <w:rFonts w:ascii="Calibri" w:hAnsi="Calibri" w:cs="Arial"/>
          <w:sz w:val="16"/>
          <w:szCs w:val="20"/>
          <w:lang w:val="en-GB"/>
        </w:rPr>
        <w:sectPr w:rsidR="0083172F" w:rsidRPr="002A15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172F" w:rsidRPr="00741DCF" w:rsidRDefault="0083172F" w:rsidP="0083172F">
      <w:pPr>
        <w:spacing w:line="48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Supplementary table 2</w:t>
      </w:r>
      <w:r w:rsidRPr="00741DCF">
        <w:rPr>
          <w:b/>
          <w:sz w:val="24"/>
          <w:szCs w:val="24"/>
          <w:lang w:val="en-GB"/>
        </w:rPr>
        <w:t xml:space="preserve">: Effectiveness endpoints of the sensitivity analysis using the 1990 ACR criteria </w:t>
      </w:r>
      <w:r>
        <w:rPr>
          <w:b/>
          <w:sz w:val="24"/>
          <w:szCs w:val="24"/>
          <w:lang w:val="en-GB"/>
        </w:rPr>
        <w:t xml:space="preserve">and the ‘sustained </w:t>
      </w:r>
      <w:proofErr w:type="gramStart"/>
      <w:r>
        <w:rPr>
          <w:b/>
          <w:sz w:val="24"/>
          <w:szCs w:val="24"/>
          <w:lang w:val="en-GB"/>
        </w:rPr>
        <w:t>FiRST</w:t>
      </w:r>
      <w:proofErr w:type="gramEnd"/>
      <w:r>
        <w:rPr>
          <w:b/>
          <w:sz w:val="24"/>
          <w:szCs w:val="24"/>
          <w:lang w:val="en-GB"/>
        </w:rPr>
        <w:t xml:space="preserve">’ definitions for </w:t>
      </w:r>
      <w:r w:rsidRPr="00741DCF">
        <w:rPr>
          <w:b/>
          <w:sz w:val="24"/>
          <w:szCs w:val="24"/>
          <w:lang w:val="en-GB"/>
        </w:rPr>
        <w:t>fibromyalgia</w:t>
      </w:r>
    </w:p>
    <w:tbl>
      <w:tblPr>
        <w:tblW w:w="16595" w:type="dxa"/>
        <w:tblInd w:w="-1168" w:type="dxa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757"/>
        <w:gridCol w:w="1444"/>
        <w:gridCol w:w="1293"/>
        <w:gridCol w:w="1451"/>
        <w:gridCol w:w="1199"/>
        <w:gridCol w:w="810"/>
        <w:gridCol w:w="1163"/>
        <w:gridCol w:w="719"/>
        <w:gridCol w:w="223"/>
        <w:gridCol w:w="1295"/>
        <w:gridCol w:w="1450"/>
        <w:gridCol w:w="1199"/>
        <w:gridCol w:w="719"/>
        <w:gridCol w:w="1154"/>
        <w:gridCol w:w="719"/>
      </w:tblGrid>
      <w:tr w:rsidR="0083172F" w:rsidRPr="00EF4A92" w:rsidTr="00BF0390">
        <w:trPr>
          <w:trHeight w:val="490"/>
        </w:trPr>
        <w:tc>
          <w:tcPr>
            <w:tcW w:w="1757" w:type="dxa"/>
            <w:vMerge w:val="restart"/>
            <w:tcBorders>
              <w:top w:val="single" w:sz="18" w:space="0" w:color="auto"/>
            </w:tcBorders>
            <w:vAlign w:val="center"/>
          </w:tcPr>
          <w:p w:rsidR="0083172F" w:rsidRDefault="0083172F" w:rsidP="00BF0390">
            <w:pPr>
              <w:spacing w:line="480" w:lineRule="auto"/>
              <w:rPr>
                <w:rFonts w:ascii="Calibri" w:hAnsi="Calibri" w:cs="Arial"/>
                <w:b/>
                <w:szCs w:val="18"/>
                <w:lang w:val="en-GB"/>
              </w:rPr>
            </w:pPr>
            <w:r w:rsidRPr="00EA7E83">
              <w:rPr>
                <w:rFonts w:ascii="Calibri" w:hAnsi="Calibri" w:cs="Arial"/>
                <w:b/>
                <w:szCs w:val="18"/>
                <w:lang w:val="en-GB"/>
              </w:rPr>
              <w:t>Effectiveness</w:t>
            </w:r>
          </w:p>
          <w:p w:rsidR="0083172F" w:rsidRPr="00EA7E83" w:rsidRDefault="0083172F" w:rsidP="00BF0390">
            <w:pPr>
              <w:spacing w:line="480" w:lineRule="auto"/>
              <w:rPr>
                <w:rFonts w:ascii="Calibri" w:hAnsi="Calibri" w:cs="Arial"/>
                <w:b/>
                <w:szCs w:val="18"/>
                <w:lang w:val="en-GB"/>
              </w:rPr>
            </w:pPr>
            <w:r w:rsidRPr="00EA7E83">
              <w:rPr>
                <w:rFonts w:ascii="Calibri" w:hAnsi="Calibri" w:cs="Arial"/>
                <w:b/>
                <w:szCs w:val="18"/>
                <w:lang w:val="en-GB"/>
              </w:rPr>
              <w:t xml:space="preserve"> </w:t>
            </w:r>
            <w:proofErr w:type="gramStart"/>
            <w:r w:rsidRPr="00EA7E83">
              <w:rPr>
                <w:rFonts w:ascii="Calibri" w:hAnsi="Calibri" w:cs="Arial"/>
                <w:b/>
                <w:szCs w:val="18"/>
                <w:lang w:val="en-GB"/>
              </w:rPr>
              <w:t>endpoint</w:t>
            </w:r>
            <w:r>
              <w:rPr>
                <w:rFonts w:ascii="Calibri" w:hAnsi="Calibri" w:cs="Arial"/>
                <w:b/>
                <w:szCs w:val="18"/>
                <w:lang w:val="en-GB"/>
              </w:rPr>
              <w:t>s</w:t>
            </w:r>
            <w:proofErr w:type="gramEnd"/>
          </w:p>
        </w:tc>
        <w:tc>
          <w:tcPr>
            <w:tcW w:w="1444" w:type="dxa"/>
            <w:vMerge w:val="restart"/>
            <w:tcBorders>
              <w:top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All patients</w:t>
            </w:r>
          </w:p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N = 508</w:t>
            </w:r>
          </w:p>
        </w:tc>
        <w:tc>
          <w:tcPr>
            <w:tcW w:w="663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FM according to 1990 ACR criteria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5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FM according to ‘sustained FiRST’***</w:t>
            </w: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vMerge/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  <w:vMerge/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4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FM</w:t>
            </w:r>
          </w:p>
        </w:tc>
        <w:tc>
          <w:tcPr>
            <w:tcW w:w="1199" w:type="dxa"/>
            <w:vMerge w:val="restart"/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Crude OR</w:t>
            </w: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[95% CI]</w:t>
            </w:r>
            <w:r w:rsidRPr="00BC31D4">
              <w:rPr>
                <w:rFonts w:ascii="Calibri" w:hAnsi="Calibri" w:cs="American Typewriter Condensed"/>
                <w:b/>
                <w:sz w:val="18"/>
                <w:szCs w:val="18"/>
                <w:vertAlign w:val="superscript"/>
                <w:lang w:val="en-GB"/>
              </w:rPr>
              <w:t>†</w:t>
            </w:r>
          </w:p>
        </w:tc>
        <w:tc>
          <w:tcPr>
            <w:tcW w:w="0" w:type="auto"/>
            <w:vMerge w:val="restart"/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gramStart"/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p</w:t>
            </w:r>
            <w:proofErr w:type="gramEnd"/>
            <w:r w:rsidRPr="00BC31D4">
              <w:rPr>
                <w:rFonts w:ascii="Calibri" w:hAnsi="Calibri" w:cs="Arial"/>
                <w:b/>
                <w:sz w:val="18"/>
                <w:szCs w:val="18"/>
                <w:vertAlign w:val="superscript"/>
                <w:lang w:val="en-GB"/>
              </w:rPr>
              <w:t xml:space="preserve"> **</w:t>
            </w:r>
          </w:p>
        </w:tc>
        <w:tc>
          <w:tcPr>
            <w:tcW w:w="1163" w:type="dxa"/>
            <w:vMerge w:val="restart"/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Adjusted OR</w:t>
            </w: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[95% CI]</w:t>
            </w:r>
            <w:r w:rsidRPr="00BC31D4">
              <w:rPr>
                <w:rFonts w:ascii="Calibri" w:hAnsi="Calibri" w:cs="Arial"/>
                <w:b/>
                <w:sz w:val="18"/>
                <w:szCs w:val="18"/>
                <w:vertAlign w:val="superscript"/>
                <w:lang w:val="en-GB"/>
              </w:rPr>
              <w:t>§</w:t>
            </w:r>
          </w:p>
        </w:tc>
        <w:tc>
          <w:tcPr>
            <w:tcW w:w="0" w:type="auto"/>
            <w:vMerge w:val="restart"/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p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bottom w:val="single" w:sz="18" w:space="0" w:color="auto"/>
            </w:tcBorders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45" w:type="dxa"/>
            <w:gridSpan w:val="2"/>
            <w:tcBorders>
              <w:top w:val="nil"/>
              <w:bottom w:val="single" w:sz="18" w:space="0" w:color="auto"/>
            </w:tcBorders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FM</w:t>
            </w:r>
          </w:p>
        </w:tc>
        <w:tc>
          <w:tcPr>
            <w:tcW w:w="1199" w:type="dxa"/>
            <w:vMerge w:val="restart"/>
            <w:tcBorders>
              <w:top w:val="nil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Crude OR [95% CI]</w:t>
            </w:r>
            <w:r w:rsidRPr="00BC31D4">
              <w:rPr>
                <w:rFonts w:ascii="Calibri" w:hAnsi="Calibri" w:cs="American Typewriter Condensed"/>
                <w:b/>
                <w:sz w:val="18"/>
                <w:szCs w:val="18"/>
                <w:vertAlign w:val="superscript"/>
                <w:lang w:val="en-GB"/>
              </w:rPr>
              <w:t>†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gramStart"/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p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nil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Adjusted OR [95% CI]</w:t>
            </w:r>
            <w:r w:rsidRPr="00BC31D4">
              <w:rPr>
                <w:rFonts w:ascii="Calibri" w:hAnsi="Calibri" w:cs="Arial"/>
                <w:b/>
                <w:sz w:val="18"/>
                <w:szCs w:val="18"/>
                <w:vertAlign w:val="superscript"/>
                <w:lang w:val="en-GB"/>
              </w:rPr>
              <w:t>§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p</w:t>
            </w:r>
            <w:proofErr w:type="gramEnd"/>
          </w:p>
        </w:tc>
      </w:tr>
      <w:tr w:rsidR="0083172F" w:rsidRPr="00BC31D4" w:rsidTr="00BF0390">
        <w:trPr>
          <w:trHeight w:val="274"/>
        </w:trPr>
        <w:tc>
          <w:tcPr>
            <w:tcW w:w="1757" w:type="dxa"/>
            <w:vMerge/>
            <w:tcBorders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  <w:vMerge/>
            <w:tcBorders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Yes</w:t>
            </w:r>
          </w:p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n</w:t>
            </w:r>
            <w:proofErr w:type="gramEnd"/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= 82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No</w:t>
            </w:r>
          </w:p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n</w:t>
            </w:r>
            <w:proofErr w:type="gramEnd"/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= 426</w:t>
            </w:r>
          </w:p>
        </w:tc>
        <w:tc>
          <w:tcPr>
            <w:tcW w:w="1199" w:type="dxa"/>
            <w:vMerge/>
            <w:tcBorders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63" w:type="dxa"/>
            <w:vMerge/>
            <w:tcBorders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18" w:space="0" w:color="auto"/>
            </w:tcBorders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Yes</w:t>
            </w:r>
          </w:p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n</w:t>
            </w:r>
            <w:proofErr w:type="gramEnd"/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= 93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No</w:t>
            </w:r>
          </w:p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n</w:t>
            </w:r>
            <w:proofErr w:type="gramEnd"/>
            <w:r w:rsidRPr="00BC31D4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= 411</w:t>
            </w:r>
          </w:p>
        </w:tc>
        <w:tc>
          <w:tcPr>
            <w:tcW w:w="1199" w:type="dxa"/>
            <w:vMerge/>
            <w:tcBorders>
              <w:bottom w:val="single" w:sz="18" w:space="0" w:color="auto"/>
            </w:tcBorders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54" w:type="dxa"/>
            <w:vMerge/>
            <w:tcBorders>
              <w:bottom w:val="single" w:sz="18" w:space="0" w:color="auto"/>
            </w:tcBorders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83172F" w:rsidRPr="00BC31D4" w:rsidRDefault="0083172F" w:rsidP="00BF0390">
            <w:pPr>
              <w:spacing w:line="48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tcBorders>
              <w:top w:val="single" w:sz="18" w:space="0" w:color="auto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bookmarkStart w:id="0" w:name="_GoBack"/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 xml:space="preserve">BASDAI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response</w:t>
            </w: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1444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258/508 (50.8%)</w:t>
            </w:r>
          </w:p>
        </w:tc>
        <w:tc>
          <w:tcPr>
            <w:tcW w:w="129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38/82 (46.3%)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220/426 (51.6%)</w:t>
            </w:r>
          </w:p>
        </w:tc>
        <w:tc>
          <w:tcPr>
            <w:tcW w:w="1199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0.8 [0.5-1.3]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116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0.8 [0.5-1.5]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top w:val="single" w:sz="18" w:space="0" w:color="auto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26/93 (27.7%)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231/411 (56.2%)</w:t>
            </w:r>
          </w:p>
        </w:tc>
        <w:tc>
          <w:tcPr>
            <w:tcW w:w="1199" w:type="dxa"/>
            <w:tcBorders>
              <w:top w:val="single" w:sz="18" w:space="0" w:color="auto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0.3 [0.2-0.5]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154" w:type="dxa"/>
            <w:tcBorders>
              <w:top w:val="single" w:sz="18" w:space="0" w:color="auto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0.3 [0.2-0.5]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ASAS 40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201/508 (39.6%)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25/82 (30.5%)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tabs>
                <w:tab w:val="left" w:pos="213"/>
                <w:tab w:val="center" w:pos="757"/>
              </w:tabs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176/426 (41.3%)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0.6 [0.4-1.0]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0.7 [0.4-1.3]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8/93 (18.5%)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192/411 (46.7%)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0.1 [0.1-0.2]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0.1 [0.1-0.3]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ind w:left="-250" w:firstLine="25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ASAS 20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268/508 (52.8%)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40/82 (48.8%)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228/426 (53.5%)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0.8 [0.5-1.3]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1.0 [0.6-1.7]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20/93 (21.5%)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247/411 (60.1%)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0.2 [0.1-0.3]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0.2 [0.1-0.4]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 xml:space="preserve">ASDAS MI 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117/508 (23.0%)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14/82 (17.1%)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103/426 (24.2%)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0.7[0.4-1.2]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0.8 [0.4-1.6]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8/93 (8.6%)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108/411 (26.3%)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0.3[0.1-0.6]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0.3 [0.1-0.7]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0.005</w:t>
            </w: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ASDAS CII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265/508 (52.2%)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40/82 (48.8%)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225/426 (52.8%)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0.9[0.5-1.4]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1.1[0.6-1.8]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23/93 (24.7%)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241/411 (58.6%)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0.2[0.1-0.4]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0.3[0.2-0.5]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rPr>
                <w:rFonts w:ascii="Symbol" w:hAnsi="Symbol" w:cs="Arial"/>
                <w:sz w:val="18"/>
                <w:szCs w:val="18"/>
                <w:lang w:val="en-GB"/>
              </w:rPr>
            </w:pPr>
            <w:r w:rsidRPr="00BC31D4">
              <w:rPr>
                <w:rFonts w:ascii="Symbol" w:hAnsi="Symbol" w:cs="Arial"/>
                <w:sz w:val="18"/>
                <w:szCs w:val="18"/>
                <w:lang w:val="en-GB"/>
              </w:rPr>
              <w:t></w:t>
            </w:r>
            <w:r w:rsidRPr="00BC31D4">
              <w:rPr>
                <w:rFonts w:ascii="Symbol" w:hAnsi="Symbol" w:cs="Arial"/>
                <w:sz w:val="18"/>
                <w:szCs w:val="18"/>
                <w:lang w:val="en-GB"/>
              </w:rPr>
              <w:t></w:t>
            </w: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NSAID-score ≥50%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235/508 (46.3%)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29/82 (35.4%)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206/426 (48.4%)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0.6 [0.4-0.9]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0.03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0.6[0.4-1.0]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22/93 (23.7%)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213/411 (51.8%)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0.3 [0.2-0.5]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0.3[0.2-0.6]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rPr>
                <w:rFonts w:ascii="Symbol" w:hAnsi="Symbol" w:cs="Arial"/>
                <w:sz w:val="18"/>
                <w:szCs w:val="18"/>
                <w:lang w:val="en-GB"/>
              </w:rPr>
            </w:pPr>
            <w:r w:rsidRPr="00BC31D4">
              <w:rPr>
                <w:rFonts w:ascii="Symbol" w:hAnsi="Symbol" w:cs="Arial"/>
                <w:sz w:val="18"/>
                <w:szCs w:val="18"/>
                <w:lang w:val="en-GB"/>
              </w:rPr>
              <w:t></w:t>
            </w:r>
            <w:r w:rsidRPr="00BC31D4">
              <w:rPr>
                <w:rFonts w:ascii="Symbol" w:hAnsi="Symbol" w:cs="Arial"/>
                <w:sz w:val="18"/>
                <w:szCs w:val="18"/>
                <w:lang w:val="en-GB"/>
              </w:rPr>
              <w:t></w:t>
            </w: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CRP&gt;0 mg/L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325/508 (64.0%)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45/82 (54.9%)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280/426 (65.7%)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 xml:space="preserve"> 0.6 [0.4-1.0]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0.8 [0.4-1.3]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44/93 (47.3%)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280/411 (68.1%)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 xml:space="preserve"> 0.4 [0.2-0.6]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0.4 [0.2-0.7]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0.001</w:t>
            </w: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 xml:space="preserve">ASDAS MDA at 12 weeks 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264/508 (52.0%)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24/82 (29.3%)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240/426 (56.3%)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0.3 [0.2-0.5]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0.4 [0.2-0.6]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18/93 (19.3%)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245/411 (59.6%)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0.2 [0.1-0.3]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0.2 [0.1-0.3]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 xml:space="preserve">ASDAS ID at 12 weeks 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126/508 (24.8%)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5/82 (6.1%)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121/426 (28.4%)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0.2 [0.1-0.4]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0.2 [0.1-0.5]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4/93 (4.3%)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121/411 (29.4%)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0.1 [0.0-0.3]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0.1 [0.0-0.3]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 xml:space="preserve">NSAID score ≤10 at 12 weeks 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401/508 (78.9%)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60/82 (73.2%)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341/426 (80.0%)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0.7[0.4-1.2]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0.6 [0.4-1.2]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62/93 (66.7%)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339/411 (82.4%)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0.4[0.3-0.7]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0.4 [0.3-0.7]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0.001</w:t>
            </w:r>
          </w:p>
        </w:tc>
      </w:tr>
      <w:tr w:rsidR="0083172F" w:rsidRPr="00BC31D4" w:rsidTr="00BF0390">
        <w:trPr>
          <w:trHeight w:val="490"/>
        </w:trPr>
        <w:tc>
          <w:tcPr>
            <w:tcW w:w="1757" w:type="dxa"/>
            <w:tcBorders>
              <w:top w:val="nil"/>
              <w:bottom w:val="single" w:sz="12" w:space="0" w:color="auto"/>
            </w:tcBorders>
          </w:tcPr>
          <w:p w:rsidR="0083172F" w:rsidRPr="00BC31D4" w:rsidRDefault="0083172F" w:rsidP="0083172F">
            <w:pPr>
              <w:spacing w:line="24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CRP &lt;6mg/L at 12 weeks</w:t>
            </w:r>
          </w:p>
        </w:tc>
        <w:tc>
          <w:tcPr>
            <w:tcW w:w="144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392/508 (77.2%)</w:t>
            </w:r>
          </w:p>
        </w:tc>
        <w:tc>
          <w:tcPr>
            <w:tcW w:w="129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59/82 (72.0%)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333/426 (78.2%)</w:t>
            </w:r>
          </w:p>
        </w:tc>
        <w:tc>
          <w:tcPr>
            <w:tcW w:w="11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0.7 [0.4-1.2]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116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0.8 [0.5-1.5]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95" w:type="dxa"/>
            <w:tcBorders>
              <w:top w:val="nil"/>
              <w:bottom w:val="single" w:sz="12" w:space="0" w:color="auto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72/93 (77.4%)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316/411 (76.9%)</w:t>
            </w:r>
          </w:p>
        </w:tc>
        <w:tc>
          <w:tcPr>
            <w:tcW w:w="1199" w:type="dxa"/>
            <w:tcBorders>
              <w:top w:val="nil"/>
              <w:bottom w:val="single" w:sz="12" w:space="0" w:color="auto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1.0 [0.6-1.7]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  <w:tc>
          <w:tcPr>
            <w:tcW w:w="1154" w:type="dxa"/>
            <w:tcBorders>
              <w:top w:val="nil"/>
              <w:bottom w:val="single" w:sz="12" w:space="0" w:color="auto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0.9 [0.5-1.6]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83172F" w:rsidRPr="00BC31D4" w:rsidRDefault="0083172F" w:rsidP="0083172F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BC31D4">
              <w:rPr>
                <w:rFonts w:ascii="Calibri" w:hAnsi="Calibri" w:cs="Arial"/>
                <w:sz w:val="18"/>
                <w:szCs w:val="18"/>
                <w:lang w:val="en-GB"/>
              </w:rPr>
              <w:t>NS</w:t>
            </w:r>
          </w:p>
        </w:tc>
      </w:tr>
    </w:tbl>
    <w:p w:rsidR="0083172F" w:rsidRPr="00EA7E83" w:rsidRDefault="0083172F" w:rsidP="0083172F">
      <w:pPr>
        <w:spacing w:line="240" w:lineRule="auto"/>
        <w:ind w:right="2099"/>
        <w:jc w:val="both"/>
        <w:rPr>
          <w:rFonts w:ascii="Calibri" w:hAnsi="Calibri" w:cs="Arial"/>
          <w:sz w:val="16"/>
          <w:szCs w:val="20"/>
          <w:lang w:val="en-GB"/>
        </w:rPr>
      </w:pPr>
      <w:r w:rsidRPr="00EA7E83">
        <w:rPr>
          <w:rFonts w:ascii="Calibri" w:hAnsi="Calibri" w:cs="Arial"/>
          <w:sz w:val="16"/>
          <w:szCs w:val="20"/>
          <w:lang w:val="en-GB"/>
        </w:rPr>
        <w:t xml:space="preserve">*Data in the table are presented number and (%). **Statistical significance was established for p&lt;0.05 ***: defined by a FiRST=&gt;5/6 both at the baseline and effectiveness </w:t>
      </w:r>
      <w:r>
        <w:rPr>
          <w:rFonts w:ascii="Calibri" w:hAnsi="Calibri" w:cs="Arial"/>
          <w:sz w:val="16"/>
          <w:szCs w:val="20"/>
          <w:lang w:val="en-GB"/>
        </w:rPr>
        <w:t>visits (only available for n=506</w:t>
      </w:r>
      <w:r w:rsidRPr="00EA7E83">
        <w:rPr>
          <w:rFonts w:ascii="Calibri" w:hAnsi="Calibri" w:cs="Arial"/>
          <w:sz w:val="16"/>
          <w:szCs w:val="20"/>
          <w:lang w:val="en-GB"/>
        </w:rPr>
        <w:t xml:space="preserve"> patients</w:t>
      </w:r>
      <w:proofErr w:type="gramStart"/>
      <w:r w:rsidRPr="00EA7E83">
        <w:rPr>
          <w:rFonts w:ascii="Calibri" w:hAnsi="Calibri" w:cs="Arial"/>
          <w:sz w:val="16"/>
          <w:szCs w:val="20"/>
          <w:lang w:val="en-GB"/>
        </w:rPr>
        <w:t>)  :</w:t>
      </w:r>
      <w:proofErr w:type="gramEnd"/>
      <w:r w:rsidRPr="00EA7E83">
        <w:rPr>
          <w:rFonts w:ascii="Calibri" w:hAnsi="Calibri" w:cs="Arial"/>
          <w:sz w:val="16"/>
          <w:szCs w:val="20"/>
          <w:lang w:val="en-GB"/>
        </w:rPr>
        <w:t xml:space="preserve"> </w:t>
      </w:r>
      <w:r w:rsidRPr="00EA7E83">
        <w:rPr>
          <w:rFonts w:ascii="Calibri" w:hAnsi="Calibri" w:cs="Arial"/>
          <w:b/>
          <w:sz w:val="16"/>
          <w:szCs w:val="20"/>
          <w:lang w:val="en-GB"/>
        </w:rPr>
        <w:t xml:space="preserve">† </w:t>
      </w:r>
      <w:r w:rsidRPr="00EA7E83">
        <w:rPr>
          <w:rFonts w:ascii="Calibri" w:hAnsi="Calibri" w:cs="Arial"/>
          <w:sz w:val="16"/>
          <w:szCs w:val="20"/>
          <w:lang w:val="en-GB"/>
        </w:rPr>
        <w:t xml:space="preserve">Crude OR: result of the univariable analysis § Adjusted OR for age (below 40). gender (male)&lt; past or present X-ray sacroiliitis, past or present MRI sacroiliitis, abnormal CRP, Smoking status, </w:t>
      </w:r>
      <w:r>
        <w:rPr>
          <w:rFonts w:ascii="Calibri" w:hAnsi="Calibri" w:cs="Arial"/>
          <w:sz w:val="16"/>
          <w:szCs w:val="20"/>
          <w:lang w:val="en-GB"/>
        </w:rPr>
        <w:t>HLA B</w:t>
      </w:r>
      <w:r w:rsidRPr="00EA7E83">
        <w:rPr>
          <w:rFonts w:ascii="Calibri" w:hAnsi="Calibri" w:cs="Arial"/>
          <w:sz w:val="16"/>
          <w:szCs w:val="20"/>
          <w:lang w:val="en-GB"/>
        </w:rPr>
        <w:t xml:space="preserve">27, and absence of previous TNFb exposure.   </w:t>
      </w:r>
    </w:p>
    <w:p w:rsidR="0083172F" w:rsidRPr="00741DCF" w:rsidRDefault="0083172F" w:rsidP="0083172F">
      <w:pPr>
        <w:spacing w:line="240" w:lineRule="auto"/>
        <w:ind w:right="2099"/>
        <w:jc w:val="both"/>
        <w:rPr>
          <w:b/>
          <w:lang w:val="en-GB"/>
        </w:rPr>
      </w:pPr>
      <w:r w:rsidRPr="00741DCF">
        <w:rPr>
          <w:rFonts w:ascii="Calibri" w:hAnsi="Calibri" w:cs="Arial"/>
          <w:sz w:val="20"/>
          <w:szCs w:val="20"/>
          <w:lang w:val="en-GB"/>
        </w:rPr>
        <w:t>Abbreviations: BASDAI: Bath Ankylosing Spondylitis Disease Activity Score; ASDAS: Ankylosing Spondylitis Disease activity Index; ASDAS MI: ASDAS Major Improvement; ASDAS CII: ASDAS clinically important improvement; NSAID: Non-steroidal anti-inflammatory drugs; CRP: C-reactive protein; ASDAS MDA: ASDAS minimal disease activity; ASDAS ID: ASDAS inactive disea</w:t>
      </w:r>
      <w:r>
        <w:rPr>
          <w:rFonts w:ascii="Calibri" w:hAnsi="Calibri" w:cs="Arial"/>
          <w:sz w:val="20"/>
          <w:szCs w:val="20"/>
          <w:lang w:val="en-GB"/>
        </w:rPr>
        <w:t>se</w:t>
      </w:r>
    </w:p>
    <w:p w:rsidR="00B96437" w:rsidRDefault="00B96437" w:rsidP="0083172F">
      <w:pPr>
        <w:spacing w:line="240" w:lineRule="auto"/>
      </w:pPr>
    </w:p>
    <w:bookmarkEnd w:id="0"/>
    <w:sectPr w:rsidR="00B96437" w:rsidSect="00E66D58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2F"/>
    <w:rsid w:val="0083172F"/>
    <w:rsid w:val="00B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082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2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7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72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2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7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72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2831</Characters>
  <Application>Microsoft Macintosh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2017-11-08T19:34:00Z</dcterms:created>
  <dcterms:modified xsi:type="dcterms:W3CDTF">2017-11-08T19:35:00Z</dcterms:modified>
</cp:coreProperties>
</file>