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06E89" w14:textId="048D0FAC" w:rsidR="00264E43" w:rsidRPr="004D52B8" w:rsidRDefault="004D52B8">
      <w:pPr>
        <w:rPr>
          <w:b/>
          <w:sz w:val="28"/>
          <w:szCs w:val="28"/>
          <w:lang w:val="en-US"/>
        </w:rPr>
      </w:pPr>
      <w:r w:rsidRPr="004D52B8">
        <w:rPr>
          <w:b/>
          <w:sz w:val="28"/>
          <w:szCs w:val="28"/>
          <w:lang w:val="en-US"/>
        </w:rPr>
        <w:t>Supplementa</w:t>
      </w:r>
      <w:r w:rsidR="004C64B1">
        <w:rPr>
          <w:b/>
          <w:sz w:val="28"/>
          <w:szCs w:val="28"/>
          <w:lang w:val="en-US"/>
        </w:rPr>
        <w:t>ry</w:t>
      </w:r>
      <w:r w:rsidRPr="004D52B8">
        <w:rPr>
          <w:b/>
          <w:sz w:val="28"/>
          <w:szCs w:val="28"/>
          <w:lang w:val="en-US"/>
        </w:rPr>
        <w:t xml:space="preserve"> material</w:t>
      </w:r>
    </w:p>
    <w:p w14:paraId="3056F80C" w14:textId="77777777" w:rsidR="004F3C4A" w:rsidRPr="004F3C4A" w:rsidRDefault="004F3C4A" w:rsidP="004F3C4A">
      <w:pPr>
        <w:rPr>
          <w:b/>
          <w:lang w:val="en-US"/>
        </w:rPr>
      </w:pPr>
      <w:r w:rsidRPr="004F3C4A">
        <w:rPr>
          <w:b/>
          <w:lang w:val="en-US"/>
        </w:rPr>
        <w:t>Study selection process</w:t>
      </w:r>
    </w:p>
    <w:p w14:paraId="1376B6EF" w14:textId="77777777" w:rsidR="004F3C4A" w:rsidRPr="00B7482F" w:rsidRDefault="004F3C4A" w:rsidP="004F3C4A">
      <w:pPr>
        <w:pStyle w:val="Standard"/>
        <w:spacing w:line="480" w:lineRule="auto"/>
        <w:jc w:val="both"/>
        <w:rPr>
          <w:rFonts w:cs="Times New Roman"/>
          <w:sz w:val="24"/>
          <w:szCs w:val="24"/>
        </w:rPr>
      </w:pPr>
      <w:r w:rsidRPr="004F3C4A">
        <w:rPr>
          <w:rFonts w:cs="Times New Roman"/>
          <w:sz w:val="24"/>
          <w:szCs w:val="24"/>
        </w:rPr>
        <w:t xml:space="preserve">The following Boolean keywords were used for the </w:t>
      </w:r>
      <w:proofErr w:type="spellStart"/>
      <w:r w:rsidRPr="004F3C4A">
        <w:rPr>
          <w:rFonts w:cs="Times New Roman"/>
          <w:sz w:val="24"/>
          <w:szCs w:val="24"/>
        </w:rPr>
        <w:t>Pubmed</w:t>
      </w:r>
      <w:proofErr w:type="spellEnd"/>
      <w:r w:rsidRPr="004F3C4A">
        <w:rPr>
          <w:rFonts w:cs="Times New Roman"/>
          <w:sz w:val="24"/>
          <w:szCs w:val="24"/>
        </w:rPr>
        <w:t xml:space="preserve">, </w:t>
      </w:r>
      <w:proofErr w:type="spellStart"/>
      <w:r w:rsidRPr="004F3C4A">
        <w:rPr>
          <w:rFonts w:cs="Times New Roman"/>
          <w:sz w:val="24"/>
          <w:szCs w:val="24"/>
        </w:rPr>
        <w:t>Embase</w:t>
      </w:r>
      <w:proofErr w:type="spellEnd"/>
      <w:r w:rsidRPr="004F3C4A">
        <w:rPr>
          <w:rFonts w:cs="Times New Roman"/>
          <w:sz w:val="24"/>
          <w:szCs w:val="24"/>
        </w:rPr>
        <w:t xml:space="preserve"> or Cochrane Central search: (“abatacept“ [All fields] or “adalimumab” [All fields] or “certolizumab pegol” [All fields] or “etanercept” [All fields] or “golimumab” [All fields] or “infliximab” [All fields] or “tocilizumab“ [All fields]) and “rheumatoid arthritis” [All fields] ) and ( “reduction” [All fields] or “discontinuation” [All fields] or “withdrawal” [All fields]) and ( “remission” [All fields] or “low disease activity” [All fields]).</w:t>
      </w:r>
    </w:p>
    <w:p w14:paraId="03C21F5E" w14:textId="77777777" w:rsidR="003D48C6" w:rsidRDefault="003D48C6" w:rsidP="003D48C6">
      <w:pPr>
        <w:pStyle w:val="Standard"/>
        <w:spacing w:line="480" w:lineRule="auto"/>
        <w:jc w:val="both"/>
        <w:rPr>
          <w:rFonts w:cs="Times New Roman"/>
          <w:b/>
          <w:sz w:val="24"/>
          <w:szCs w:val="24"/>
        </w:rPr>
      </w:pPr>
    </w:p>
    <w:p w14:paraId="69C99E61" w14:textId="5159F969" w:rsidR="003D48C6" w:rsidRPr="00161733" w:rsidRDefault="003D48C6" w:rsidP="003D48C6">
      <w:pPr>
        <w:pStyle w:val="Standard"/>
        <w:spacing w:line="480" w:lineRule="auto"/>
        <w:jc w:val="both"/>
        <w:rPr>
          <w:rFonts w:cs="Times New Roman"/>
          <w:b/>
          <w:sz w:val="24"/>
          <w:szCs w:val="24"/>
        </w:rPr>
      </w:pPr>
      <w:r w:rsidRPr="00161733">
        <w:rPr>
          <w:rFonts w:cs="Times New Roman"/>
          <w:b/>
          <w:sz w:val="24"/>
          <w:szCs w:val="24"/>
        </w:rPr>
        <w:t>Data collection</w:t>
      </w:r>
    </w:p>
    <w:p w14:paraId="76CDD464" w14:textId="77777777" w:rsidR="003D48C6" w:rsidRPr="00B7482F" w:rsidRDefault="003D48C6" w:rsidP="003D48C6">
      <w:pPr>
        <w:pStyle w:val="Standard"/>
        <w:spacing w:line="480" w:lineRule="auto"/>
        <w:jc w:val="both"/>
        <w:rPr>
          <w:rFonts w:cs="Times New Roman"/>
          <w:sz w:val="24"/>
          <w:szCs w:val="24"/>
        </w:rPr>
      </w:pPr>
      <w:r w:rsidRPr="003D48C6">
        <w:rPr>
          <w:rFonts w:cs="Times New Roman"/>
          <w:sz w:val="24"/>
          <w:szCs w:val="24"/>
        </w:rPr>
        <w:t>The following data were systematically collected: name of the first author, year of publication, study design, assessed bDMARD, conventional synthetic DMARD and glucocorticoids comedications, bDMARD tapering schedule, disease duration before inclusion in the trial, bDMARD duration before starting the trial, inclusion criteria in the trial, the endpoint, the</w:t>
      </w:r>
      <w:r>
        <w:rPr>
          <w:rFonts w:cs="Times New Roman"/>
          <w:sz w:val="24"/>
          <w:szCs w:val="24"/>
        </w:rPr>
        <w:t xml:space="preserve"> number of relapsing </w:t>
      </w:r>
      <w:r w:rsidRPr="005B639D">
        <w:rPr>
          <w:rFonts w:cs="Times New Roman"/>
          <w:sz w:val="24"/>
          <w:szCs w:val="24"/>
        </w:rPr>
        <w:t>patients, d</w:t>
      </w:r>
      <w:r>
        <w:rPr>
          <w:rFonts w:cs="Times New Roman"/>
          <w:sz w:val="24"/>
          <w:szCs w:val="24"/>
        </w:rPr>
        <w:t>e</w:t>
      </w:r>
      <w:r w:rsidRPr="005B639D">
        <w:rPr>
          <w:sz w:val="24"/>
          <w:szCs w:val="24"/>
        </w:rPr>
        <w:t>fine</w:t>
      </w:r>
      <w:r>
        <w:rPr>
          <w:sz w:val="24"/>
          <w:szCs w:val="24"/>
        </w:rPr>
        <w:t>d</w:t>
      </w:r>
      <w:r w:rsidRPr="005B639D">
        <w:rPr>
          <w:sz w:val="24"/>
          <w:szCs w:val="24"/>
        </w:rPr>
        <w:t xml:space="preserve"> </w:t>
      </w:r>
      <w:r>
        <w:rPr>
          <w:sz w:val="24"/>
          <w:szCs w:val="24"/>
        </w:rPr>
        <w:t xml:space="preserve">either by the occurrence of a flare-up or by the loss of </w:t>
      </w:r>
      <w:r w:rsidRPr="005B639D">
        <w:rPr>
          <w:sz w:val="24"/>
          <w:szCs w:val="24"/>
        </w:rPr>
        <w:t>r</w:t>
      </w:r>
      <w:r>
        <w:rPr>
          <w:sz w:val="24"/>
          <w:szCs w:val="24"/>
        </w:rPr>
        <w:t>e</w:t>
      </w:r>
      <w:r w:rsidRPr="005B639D">
        <w:rPr>
          <w:sz w:val="24"/>
          <w:szCs w:val="24"/>
        </w:rPr>
        <w:t xml:space="preserve">mission </w:t>
      </w:r>
      <w:r>
        <w:rPr>
          <w:sz w:val="24"/>
          <w:szCs w:val="24"/>
        </w:rPr>
        <w:t xml:space="preserve">or LDA, the number of </w:t>
      </w:r>
      <w:r w:rsidRPr="005B639D">
        <w:rPr>
          <w:sz w:val="24"/>
          <w:szCs w:val="24"/>
        </w:rPr>
        <w:t xml:space="preserve">patients </w:t>
      </w:r>
      <w:r>
        <w:rPr>
          <w:sz w:val="24"/>
          <w:szCs w:val="24"/>
        </w:rPr>
        <w:t xml:space="preserve">with no radiographic </w:t>
      </w:r>
      <w:r w:rsidRPr="005B639D">
        <w:rPr>
          <w:sz w:val="24"/>
          <w:szCs w:val="24"/>
        </w:rPr>
        <w:t xml:space="preserve">progression </w:t>
      </w:r>
      <w:r>
        <w:rPr>
          <w:sz w:val="24"/>
          <w:szCs w:val="24"/>
        </w:rPr>
        <w:t>(</w:t>
      </w:r>
      <w:r w:rsidRPr="005B639D">
        <w:rPr>
          <w:sz w:val="24"/>
          <w:szCs w:val="24"/>
        </w:rPr>
        <w:t>d</w:t>
      </w:r>
      <w:r>
        <w:rPr>
          <w:sz w:val="24"/>
          <w:szCs w:val="24"/>
        </w:rPr>
        <w:t>e</w:t>
      </w:r>
      <w:r w:rsidRPr="005B639D">
        <w:rPr>
          <w:sz w:val="24"/>
          <w:szCs w:val="24"/>
        </w:rPr>
        <w:t>fine</w:t>
      </w:r>
      <w:r>
        <w:rPr>
          <w:sz w:val="24"/>
          <w:szCs w:val="24"/>
        </w:rPr>
        <w:t>d by a</w:t>
      </w:r>
      <w:r w:rsidRPr="005B639D">
        <w:rPr>
          <w:sz w:val="24"/>
          <w:szCs w:val="24"/>
        </w:rPr>
        <w:t xml:space="preserve"> variation </w:t>
      </w:r>
      <w:r>
        <w:rPr>
          <w:sz w:val="24"/>
          <w:szCs w:val="24"/>
        </w:rPr>
        <w:t>in the Sharp-</w:t>
      </w:r>
      <w:r w:rsidRPr="005B639D">
        <w:rPr>
          <w:sz w:val="24"/>
          <w:szCs w:val="24"/>
        </w:rPr>
        <w:t>van d</w:t>
      </w:r>
      <w:bookmarkStart w:id="0" w:name="_GoBack"/>
      <w:bookmarkEnd w:id="0"/>
      <w:r w:rsidRPr="005B639D">
        <w:rPr>
          <w:sz w:val="24"/>
          <w:szCs w:val="24"/>
        </w:rPr>
        <w:t>er Heijde score (</w:t>
      </w:r>
      <w:proofErr w:type="spellStart"/>
      <w:r w:rsidRPr="005B639D">
        <w:rPr>
          <w:sz w:val="24"/>
          <w:szCs w:val="24"/>
        </w:rPr>
        <w:t>ΔmTSS</w:t>
      </w:r>
      <w:proofErr w:type="spellEnd"/>
      <w:r w:rsidRPr="005B639D">
        <w:rPr>
          <w:sz w:val="24"/>
          <w:szCs w:val="24"/>
        </w:rPr>
        <w:t>)</w:t>
      </w:r>
      <w:r>
        <w:rPr>
          <w:sz w:val="24"/>
          <w:szCs w:val="24"/>
        </w:rPr>
        <w:t xml:space="preserve"> </w:t>
      </w:r>
      <w:r w:rsidRPr="005B639D">
        <w:rPr>
          <w:sz w:val="24"/>
          <w:szCs w:val="24"/>
        </w:rPr>
        <w:t>&lt;0.5</w:t>
      </w:r>
      <w:r>
        <w:rPr>
          <w:sz w:val="24"/>
          <w:szCs w:val="24"/>
        </w:rPr>
        <w:t xml:space="preserve">), factors associated with an increased risk of relapse, the number of </w:t>
      </w:r>
      <w:r w:rsidRPr="005B639D">
        <w:rPr>
          <w:sz w:val="24"/>
          <w:szCs w:val="24"/>
        </w:rPr>
        <w:t>patients ret</w:t>
      </w:r>
      <w:r>
        <w:rPr>
          <w:sz w:val="24"/>
          <w:szCs w:val="24"/>
        </w:rPr>
        <w:t xml:space="preserve">urning to </w:t>
      </w:r>
      <w:r w:rsidRPr="005B639D">
        <w:rPr>
          <w:sz w:val="24"/>
          <w:szCs w:val="24"/>
        </w:rPr>
        <w:t>r</w:t>
      </w:r>
      <w:r>
        <w:rPr>
          <w:sz w:val="24"/>
          <w:szCs w:val="24"/>
        </w:rPr>
        <w:t xml:space="preserve">emission or </w:t>
      </w:r>
      <w:r w:rsidRPr="005B639D">
        <w:rPr>
          <w:sz w:val="24"/>
          <w:szCs w:val="24"/>
        </w:rPr>
        <w:t>LDA a</w:t>
      </w:r>
      <w:r>
        <w:rPr>
          <w:sz w:val="24"/>
          <w:szCs w:val="24"/>
        </w:rPr>
        <w:t xml:space="preserve">fter reinstating bDMARDs or after returning to the </w:t>
      </w:r>
      <w:r w:rsidRPr="005B639D">
        <w:rPr>
          <w:sz w:val="24"/>
          <w:szCs w:val="24"/>
        </w:rPr>
        <w:t>initial</w:t>
      </w:r>
      <w:r>
        <w:rPr>
          <w:sz w:val="24"/>
          <w:szCs w:val="24"/>
        </w:rPr>
        <w:t xml:space="preserve"> regimen</w:t>
      </w:r>
      <w:r w:rsidRPr="005B639D">
        <w:rPr>
          <w:sz w:val="24"/>
          <w:szCs w:val="24"/>
        </w:rPr>
        <w:t>.</w:t>
      </w:r>
    </w:p>
    <w:p w14:paraId="3A6D573C" w14:textId="77777777" w:rsidR="004D52B8" w:rsidRDefault="004D52B8">
      <w:pPr>
        <w:rPr>
          <w:lang w:val="en-US"/>
        </w:rPr>
      </w:pPr>
    </w:p>
    <w:p w14:paraId="0FB86DFE" w14:textId="77777777" w:rsidR="004D52B8" w:rsidRPr="004D52B8" w:rsidRDefault="004D52B8">
      <w:pPr>
        <w:rPr>
          <w:b/>
          <w:lang w:val="en-US"/>
        </w:rPr>
      </w:pPr>
      <w:r w:rsidRPr="004D52B8">
        <w:rPr>
          <w:b/>
          <w:lang w:val="en-US"/>
        </w:rPr>
        <w:t>Study quality assessment</w:t>
      </w:r>
    </w:p>
    <w:p w14:paraId="663087CA" w14:textId="77777777" w:rsidR="004C64B1" w:rsidRPr="005B639D" w:rsidRDefault="004C64B1" w:rsidP="004C64B1">
      <w:pPr>
        <w:pStyle w:val="Standard"/>
        <w:spacing w:line="480" w:lineRule="auto"/>
        <w:jc w:val="both"/>
      </w:pPr>
      <w:r>
        <w:rPr>
          <w:rFonts w:cs="Times New Roman"/>
          <w:sz w:val="24"/>
          <w:szCs w:val="24"/>
        </w:rPr>
        <w:t>For each study included</w:t>
      </w:r>
      <w:r w:rsidRPr="005B639D">
        <w:rPr>
          <w:rFonts w:cs="Times New Roman"/>
          <w:sz w:val="24"/>
          <w:szCs w:val="24"/>
        </w:rPr>
        <w:t xml:space="preserve">, </w:t>
      </w:r>
      <w:r>
        <w:rPr>
          <w:rFonts w:cs="Times New Roman"/>
          <w:sz w:val="24"/>
          <w:szCs w:val="24"/>
        </w:rPr>
        <w:t xml:space="preserve">sequence generation, allocation concealment, blinding of participants, personnel and outcome assessors, incomplete outcome data, selective outcome </w:t>
      </w:r>
      <w:r>
        <w:rPr>
          <w:rFonts w:cs="Times New Roman"/>
          <w:sz w:val="24"/>
          <w:szCs w:val="24"/>
        </w:rPr>
        <w:lastRenderedPageBreak/>
        <w:t>reporting</w:t>
      </w:r>
      <w:r w:rsidRPr="005B639D">
        <w:rPr>
          <w:rFonts w:cs="Times New Roman"/>
          <w:sz w:val="24"/>
          <w:szCs w:val="24"/>
        </w:rPr>
        <w:t xml:space="preserve"> </w:t>
      </w:r>
      <w:r>
        <w:rPr>
          <w:rFonts w:cs="Times New Roman"/>
          <w:sz w:val="24"/>
          <w:szCs w:val="24"/>
        </w:rPr>
        <w:t>and other possible sources of bias were assessed</w:t>
      </w:r>
      <w:r w:rsidRPr="005B639D">
        <w:rPr>
          <w:rFonts w:cs="Times New Roman"/>
          <w:sz w:val="24"/>
          <w:szCs w:val="24"/>
        </w:rPr>
        <w:t xml:space="preserve">. </w:t>
      </w:r>
      <w:r>
        <w:rPr>
          <w:rFonts w:cs="Times New Roman"/>
          <w:sz w:val="24"/>
          <w:szCs w:val="24"/>
        </w:rPr>
        <w:t xml:space="preserve">This risk of bias was defined as high, </w:t>
      </w:r>
      <w:proofErr w:type="gramStart"/>
      <w:r>
        <w:rPr>
          <w:rFonts w:cs="Times New Roman"/>
          <w:sz w:val="24"/>
          <w:szCs w:val="24"/>
        </w:rPr>
        <w:t>uncertain</w:t>
      </w:r>
      <w:proofErr w:type="gramEnd"/>
      <w:r>
        <w:rPr>
          <w:rFonts w:cs="Times New Roman"/>
          <w:sz w:val="24"/>
          <w:szCs w:val="24"/>
        </w:rPr>
        <w:t xml:space="preserve"> or low for each item</w:t>
      </w:r>
      <w:r w:rsidRPr="005B639D">
        <w:rPr>
          <w:rFonts w:cs="Times New Roman"/>
          <w:sz w:val="24"/>
          <w:szCs w:val="24"/>
        </w:rPr>
        <w:t>.</w:t>
      </w:r>
    </w:p>
    <w:p w14:paraId="1F71A76B" w14:textId="2D12FCAC" w:rsidR="004C64B1" w:rsidRPr="004D52B8" w:rsidRDefault="004C64B1">
      <w:pPr>
        <w:rPr>
          <w:lang w:val="en-US"/>
        </w:rPr>
      </w:pPr>
    </w:p>
    <w:p w14:paraId="5BD840A2" w14:textId="3DBF3BFD" w:rsidR="004D52B8" w:rsidRDefault="004D52B8" w:rsidP="004C64B1">
      <w:pPr>
        <w:pStyle w:val="Standard"/>
        <w:spacing w:line="480" w:lineRule="auto"/>
        <w:jc w:val="both"/>
        <w:rPr>
          <w:rFonts w:cs="Times New Roman"/>
          <w:sz w:val="24"/>
          <w:szCs w:val="24"/>
        </w:rPr>
      </w:pPr>
      <w:r>
        <w:rPr>
          <w:rFonts w:cs="Times New Roman"/>
          <w:sz w:val="24"/>
          <w:szCs w:val="24"/>
        </w:rPr>
        <w:t>Among the</w:t>
      </w:r>
      <w:r w:rsidR="00D57A54">
        <w:rPr>
          <w:rFonts w:cs="Times New Roman"/>
          <w:sz w:val="24"/>
          <w:szCs w:val="24"/>
        </w:rPr>
        <w:t xml:space="preserve"> </w:t>
      </w:r>
      <w:r w:rsidR="00D57A54" w:rsidRPr="00602067">
        <w:rPr>
          <w:rFonts w:cs="Times New Roman"/>
          <w:sz w:val="24"/>
          <w:szCs w:val="24"/>
        </w:rPr>
        <w:t>17</w:t>
      </w:r>
      <w:r w:rsidRPr="00602067">
        <w:rPr>
          <w:rFonts w:cs="Times New Roman"/>
          <w:sz w:val="24"/>
          <w:szCs w:val="24"/>
        </w:rPr>
        <w:t xml:space="preserve"> </w:t>
      </w:r>
      <w:r w:rsidR="00D57A54" w:rsidRPr="00602067">
        <w:rPr>
          <w:rFonts w:cs="Times New Roman"/>
          <w:sz w:val="24"/>
          <w:szCs w:val="24"/>
        </w:rPr>
        <w:t>trials</w:t>
      </w:r>
      <w:r w:rsidRPr="00602067">
        <w:rPr>
          <w:rFonts w:cs="Times New Roman"/>
          <w:sz w:val="24"/>
          <w:szCs w:val="24"/>
        </w:rPr>
        <w:t xml:space="preserve"> select</w:t>
      </w:r>
      <w:r w:rsidR="00D57A54" w:rsidRPr="00602067">
        <w:rPr>
          <w:rFonts w:cs="Times New Roman"/>
          <w:sz w:val="24"/>
          <w:szCs w:val="24"/>
        </w:rPr>
        <w:t>ed,</w:t>
      </w:r>
      <w:r w:rsidRPr="00602067">
        <w:rPr>
          <w:rFonts w:cs="Times New Roman"/>
          <w:sz w:val="24"/>
          <w:szCs w:val="24"/>
        </w:rPr>
        <w:t xml:space="preserve"> 2 studies</w:t>
      </w:r>
      <w:r w:rsidRPr="00602067">
        <w:rPr>
          <w:sz w:val="24"/>
        </w:rPr>
        <w:t xml:space="preserve"> were controlled but not </w:t>
      </w:r>
      <w:proofErr w:type="gramStart"/>
      <w:r w:rsidRPr="00602067">
        <w:rPr>
          <w:sz w:val="24"/>
        </w:rPr>
        <w:t>randomized</w:t>
      </w:r>
      <w:r w:rsidR="00D57A54" w:rsidRPr="00602067">
        <w:rPr>
          <w:sz w:val="24"/>
        </w:rPr>
        <w:t>,</w:t>
      </w:r>
      <w:r w:rsidR="00126E84" w:rsidRPr="00602067">
        <w:rPr>
          <w:sz w:val="24"/>
        </w:rPr>
        <w:t>(</w:t>
      </w:r>
      <w:proofErr w:type="gramEnd"/>
      <w:r w:rsidR="00126E84" w:rsidRPr="00602067">
        <w:rPr>
          <w:sz w:val="24"/>
        </w:rPr>
        <w:t>22,23)</w:t>
      </w:r>
      <w:r w:rsidRPr="00602067">
        <w:rPr>
          <w:rFonts w:cs="Times New Roman"/>
          <w:sz w:val="24"/>
          <w:szCs w:val="24"/>
        </w:rPr>
        <w:t xml:space="preserve"> bDMARD</w:t>
      </w:r>
      <w:r>
        <w:rPr>
          <w:rFonts w:cs="Times New Roman"/>
          <w:sz w:val="24"/>
          <w:szCs w:val="24"/>
        </w:rPr>
        <w:t xml:space="preserve"> discontinuation being left up to the patient</w:t>
      </w:r>
      <w:r w:rsidRPr="00C673EB">
        <w:rPr>
          <w:rFonts w:cs="Times New Roman"/>
          <w:sz w:val="24"/>
          <w:szCs w:val="24"/>
        </w:rPr>
        <w:t>.</w:t>
      </w:r>
      <w:r>
        <w:rPr>
          <w:rFonts w:cs="Times New Roman"/>
          <w:sz w:val="24"/>
          <w:szCs w:val="24"/>
        </w:rPr>
        <w:t xml:space="preserve"> M</w:t>
      </w:r>
      <w:r w:rsidRPr="00C673EB">
        <w:rPr>
          <w:rFonts w:cs="Times New Roman"/>
          <w:sz w:val="24"/>
          <w:szCs w:val="24"/>
        </w:rPr>
        <w:t>aint</w:t>
      </w:r>
      <w:r>
        <w:rPr>
          <w:rFonts w:cs="Times New Roman"/>
          <w:sz w:val="24"/>
          <w:szCs w:val="24"/>
        </w:rPr>
        <w:t>a</w:t>
      </w:r>
      <w:r w:rsidRPr="00C673EB">
        <w:rPr>
          <w:rFonts w:cs="Times New Roman"/>
          <w:sz w:val="24"/>
          <w:szCs w:val="24"/>
        </w:rPr>
        <w:t>in</w:t>
      </w:r>
      <w:r>
        <w:rPr>
          <w:rFonts w:cs="Times New Roman"/>
          <w:sz w:val="24"/>
          <w:szCs w:val="24"/>
        </w:rPr>
        <w:t xml:space="preserve">ing blinding for the treatment group was not guaranteed in </w:t>
      </w:r>
      <w:r w:rsidRPr="00C673EB">
        <w:rPr>
          <w:rFonts w:cs="Times New Roman"/>
          <w:sz w:val="24"/>
          <w:szCs w:val="24"/>
        </w:rPr>
        <w:t xml:space="preserve">6 </w:t>
      </w:r>
      <w:r>
        <w:rPr>
          <w:rFonts w:cs="Times New Roman"/>
          <w:sz w:val="24"/>
          <w:szCs w:val="24"/>
        </w:rPr>
        <w:t>s</w:t>
      </w:r>
      <w:r w:rsidRPr="00C673EB">
        <w:rPr>
          <w:rFonts w:cs="Times New Roman"/>
          <w:sz w:val="24"/>
          <w:szCs w:val="24"/>
        </w:rPr>
        <w:t>tud</w:t>
      </w:r>
      <w:r>
        <w:rPr>
          <w:rFonts w:cs="Times New Roman"/>
          <w:sz w:val="24"/>
          <w:szCs w:val="24"/>
        </w:rPr>
        <w:t>i</w:t>
      </w:r>
      <w:r w:rsidRPr="00C673EB">
        <w:rPr>
          <w:rFonts w:cs="Times New Roman"/>
          <w:sz w:val="24"/>
          <w:szCs w:val="24"/>
        </w:rPr>
        <w:t>es.</w:t>
      </w:r>
      <w:r w:rsidR="00126E84">
        <w:rPr>
          <w:rFonts w:cs="Times New Roman"/>
          <w:sz w:val="24"/>
          <w:szCs w:val="24"/>
        </w:rPr>
        <w:t xml:space="preserve"> (16,17, 22-24)</w:t>
      </w:r>
      <w:r w:rsidRPr="00C673EB">
        <w:rPr>
          <w:rFonts w:cs="Times New Roman"/>
          <w:sz w:val="24"/>
          <w:szCs w:val="24"/>
        </w:rPr>
        <w:t xml:space="preserve"> </w:t>
      </w:r>
      <w:r>
        <w:rPr>
          <w:rFonts w:cs="Times New Roman"/>
          <w:sz w:val="24"/>
          <w:szCs w:val="24"/>
        </w:rPr>
        <w:t xml:space="preserve">The reasons justifying the </w:t>
      </w:r>
      <w:r w:rsidRPr="00C673EB">
        <w:rPr>
          <w:rFonts w:cs="Times New Roman"/>
          <w:sz w:val="24"/>
          <w:szCs w:val="24"/>
        </w:rPr>
        <w:t xml:space="preserve">absence </w:t>
      </w:r>
      <w:r>
        <w:rPr>
          <w:rFonts w:cs="Times New Roman"/>
          <w:sz w:val="24"/>
          <w:szCs w:val="24"/>
        </w:rPr>
        <w:t>of double blinding were</w:t>
      </w:r>
      <w:r w:rsidRPr="00C673EB">
        <w:rPr>
          <w:rFonts w:cs="Times New Roman"/>
          <w:sz w:val="24"/>
          <w:szCs w:val="24"/>
        </w:rPr>
        <w:t xml:space="preserve"> 1/ </w:t>
      </w:r>
      <w:r>
        <w:rPr>
          <w:rFonts w:cs="Times New Roman"/>
          <w:sz w:val="24"/>
          <w:szCs w:val="24"/>
        </w:rPr>
        <w:t>the choice of a spacing strategy</w:t>
      </w:r>
      <w:r w:rsidRPr="00C673EB">
        <w:rPr>
          <w:rFonts w:cs="Times New Roman"/>
          <w:sz w:val="24"/>
          <w:szCs w:val="24"/>
        </w:rPr>
        <w:t>,</w:t>
      </w:r>
      <w:r>
        <w:rPr>
          <w:rFonts w:cs="Times New Roman"/>
          <w:sz w:val="24"/>
          <w:szCs w:val="24"/>
        </w:rPr>
        <w:t xml:space="preserve"> or</w:t>
      </w:r>
      <w:r w:rsidRPr="00C673EB">
        <w:rPr>
          <w:rFonts w:cs="Times New Roman"/>
          <w:sz w:val="24"/>
          <w:szCs w:val="24"/>
        </w:rPr>
        <w:t xml:space="preserve"> 2/ </w:t>
      </w:r>
      <w:r>
        <w:rPr>
          <w:rFonts w:cs="Times New Roman"/>
          <w:sz w:val="24"/>
          <w:szCs w:val="24"/>
        </w:rPr>
        <w:t>the choice of a “</w:t>
      </w:r>
      <w:r w:rsidRPr="00C673EB">
        <w:rPr>
          <w:rFonts w:cs="Times New Roman"/>
          <w:sz w:val="24"/>
          <w:szCs w:val="24"/>
        </w:rPr>
        <w:t>treat-to-target</w:t>
      </w:r>
      <w:r>
        <w:rPr>
          <w:rFonts w:cs="Times New Roman"/>
          <w:sz w:val="24"/>
          <w:szCs w:val="24"/>
        </w:rPr>
        <w:t>”</w:t>
      </w:r>
      <w:r w:rsidRPr="00C67773">
        <w:rPr>
          <w:rFonts w:cs="Times New Roman"/>
          <w:sz w:val="24"/>
          <w:szCs w:val="24"/>
        </w:rPr>
        <w:t xml:space="preserve"> </w:t>
      </w:r>
      <w:r>
        <w:rPr>
          <w:rFonts w:cs="Times New Roman"/>
          <w:sz w:val="24"/>
          <w:szCs w:val="24"/>
        </w:rPr>
        <w:t xml:space="preserve">strategy requiring knowledge of the treatments received by the </w:t>
      </w:r>
      <w:r w:rsidRPr="00C673EB">
        <w:rPr>
          <w:rFonts w:cs="Times New Roman"/>
          <w:sz w:val="24"/>
          <w:szCs w:val="24"/>
        </w:rPr>
        <w:t xml:space="preserve">patient </w:t>
      </w:r>
      <w:r>
        <w:rPr>
          <w:rFonts w:cs="Times New Roman"/>
          <w:sz w:val="24"/>
          <w:szCs w:val="24"/>
        </w:rPr>
        <w:t>to adapt</w:t>
      </w:r>
      <w:r w:rsidRPr="00C673EB">
        <w:rPr>
          <w:rFonts w:cs="Times New Roman"/>
          <w:sz w:val="24"/>
          <w:szCs w:val="24"/>
        </w:rPr>
        <w:t xml:space="preserve"> doses.</w:t>
      </w:r>
      <w:r>
        <w:rPr>
          <w:rFonts w:cs="Times New Roman"/>
          <w:sz w:val="24"/>
          <w:szCs w:val="24"/>
        </w:rPr>
        <w:t xml:space="preserve"> The data from the </w:t>
      </w:r>
      <w:r w:rsidRPr="00C673EB">
        <w:rPr>
          <w:rFonts w:cs="Times New Roman"/>
          <w:sz w:val="24"/>
          <w:szCs w:val="24"/>
        </w:rPr>
        <w:t xml:space="preserve">4 </w:t>
      </w:r>
      <w:proofErr w:type="gramStart"/>
      <w:r w:rsidRPr="00C673EB">
        <w:rPr>
          <w:rFonts w:cs="Times New Roman"/>
          <w:sz w:val="24"/>
          <w:szCs w:val="24"/>
        </w:rPr>
        <w:t>a</w:t>
      </w:r>
      <w:r>
        <w:rPr>
          <w:rFonts w:cs="Times New Roman"/>
          <w:sz w:val="24"/>
          <w:szCs w:val="24"/>
        </w:rPr>
        <w:t>bstract</w:t>
      </w:r>
      <w:r w:rsidRPr="00C673EB">
        <w:rPr>
          <w:rFonts w:cs="Times New Roman"/>
          <w:sz w:val="24"/>
          <w:szCs w:val="24"/>
        </w:rPr>
        <w:t>s</w:t>
      </w:r>
      <w:proofErr w:type="gramEnd"/>
      <w:r>
        <w:rPr>
          <w:rFonts w:cs="Times New Roman"/>
          <w:sz w:val="24"/>
          <w:szCs w:val="24"/>
        </w:rPr>
        <w:t xml:space="preserve"> </w:t>
      </w:r>
      <w:r w:rsidRPr="00C673EB">
        <w:rPr>
          <w:rFonts w:cs="Times New Roman"/>
          <w:sz w:val="24"/>
          <w:szCs w:val="24"/>
        </w:rPr>
        <w:t>(</w:t>
      </w:r>
      <w:r w:rsidR="00C674C6">
        <w:rPr>
          <w:rFonts w:cs="Times New Roman"/>
          <w:sz w:val="24"/>
          <w:szCs w:val="24"/>
        </w:rPr>
        <w:t>29-31</w:t>
      </w:r>
      <w:r w:rsidRPr="00C673EB">
        <w:rPr>
          <w:rFonts w:cs="Times New Roman"/>
          <w:sz w:val="24"/>
          <w:szCs w:val="24"/>
        </w:rPr>
        <w:t xml:space="preserve">) </w:t>
      </w:r>
      <w:r>
        <w:rPr>
          <w:rFonts w:cs="Times New Roman"/>
          <w:sz w:val="24"/>
          <w:szCs w:val="24"/>
        </w:rPr>
        <w:t>were insufficie</w:t>
      </w:r>
      <w:r w:rsidRPr="00C673EB">
        <w:rPr>
          <w:rFonts w:cs="Times New Roman"/>
          <w:sz w:val="24"/>
          <w:szCs w:val="24"/>
        </w:rPr>
        <w:t>nt</w:t>
      </w:r>
      <w:r>
        <w:rPr>
          <w:rFonts w:cs="Times New Roman"/>
          <w:sz w:val="24"/>
          <w:szCs w:val="24"/>
        </w:rPr>
        <w:t xml:space="preserve"> for a reliable assessment of the risks of bias</w:t>
      </w:r>
      <w:r w:rsidRPr="00C673EB">
        <w:rPr>
          <w:rFonts w:cs="Times New Roman"/>
          <w:sz w:val="24"/>
          <w:szCs w:val="24"/>
        </w:rPr>
        <w:t>.</w:t>
      </w:r>
    </w:p>
    <w:p w14:paraId="32BB2727" w14:textId="77777777" w:rsidR="00D57A54" w:rsidRDefault="00D57A54">
      <w:pPr>
        <w:rPr>
          <w:b/>
          <w:lang w:val="en-GB"/>
        </w:rPr>
      </w:pPr>
      <w:r>
        <w:rPr>
          <w:b/>
          <w:lang w:val="en-GB"/>
        </w:rPr>
        <w:br w:type="page"/>
      </w:r>
    </w:p>
    <w:p w14:paraId="12346437" w14:textId="6C6D24BC" w:rsidR="004D52B8" w:rsidRPr="004D52B8" w:rsidRDefault="004D52B8" w:rsidP="004D52B8">
      <w:pPr>
        <w:rPr>
          <w:lang w:val="en-GB"/>
        </w:rPr>
      </w:pPr>
      <w:r w:rsidRPr="004D52B8">
        <w:rPr>
          <w:b/>
          <w:lang w:val="en-GB"/>
        </w:rPr>
        <w:lastRenderedPageBreak/>
        <w:t xml:space="preserve">Table </w:t>
      </w:r>
      <w:r>
        <w:rPr>
          <w:b/>
          <w:lang w:val="en-GB"/>
        </w:rPr>
        <w:t>S</w:t>
      </w:r>
      <w:r w:rsidR="00C674C6">
        <w:rPr>
          <w:b/>
          <w:lang w:val="en-GB"/>
        </w:rPr>
        <w:t>1</w:t>
      </w:r>
      <w:r w:rsidRPr="004D52B8">
        <w:rPr>
          <w:b/>
          <w:lang w:val="en-GB"/>
        </w:rPr>
        <w:t>:</w:t>
      </w:r>
      <w:r w:rsidRPr="004D52B8">
        <w:rPr>
          <w:lang w:val="en-GB"/>
        </w:rPr>
        <w:t xml:space="preserve"> Evaluation of quality of the selected studies (Cochrane Collaboration’s risk of Bias </w:t>
      </w:r>
      <w:proofErr w:type="spellStart"/>
      <w:r w:rsidRPr="004D52B8">
        <w:rPr>
          <w:lang w:val="en-GB"/>
        </w:rPr>
        <w:t>Assessement</w:t>
      </w:r>
      <w:proofErr w:type="spellEnd"/>
      <w:r w:rsidRPr="004D52B8">
        <w:rPr>
          <w:lang w:val="en-GB"/>
        </w:rPr>
        <w:t xml:space="preserve"> Tool) (15). </w:t>
      </w:r>
      <w:proofErr w:type="gramStart"/>
      <w:r w:rsidRPr="004D52B8">
        <w:rPr>
          <w:lang w:val="en-GB"/>
        </w:rPr>
        <w:t>H :</w:t>
      </w:r>
      <w:proofErr w:type="gramEnd"/>
      <w:r w:rsidRPr="004D52B8">
        <w:rPr>
          <w:lang w:val="en-GB"/>
        </w:rPr>
        <w:t xml:space="preserve"> High. </w:t>
      </w:r>
      <w:proofErr w:type="gramStart"/>
      <w:r w:rsidRPr="004D52B8">
        <w:rPr>
          <w:lang w:val="en-GB"/>
        </w:rPr>
        <w:t>U :</w:t>
      </w:r>
      <w:proofErr w:type="gramEnd"/>
      <w:r w:rsidRPr="004D52B8">
        <w:rPr>
          <w:lang w:val="en-GB"/>
        </w:rPr>
        <w:t xml:space="preserve"> Unclear. </w:t>
      </w:r>
      <w:proofErr w:type="gramStart"/>
      <w:r w:rsidRPr="004D52B8">
        <w:rPr>
          <w:lang w:val="en-GB"/>
        </w:rPr>
        <w:t>L :</w:t>
      </w:r>
      <w:proofErr w:type="gramEnd"/>
      <w:r w:rsidRPr="004D52B8">
        <w:rPr>
          <w:lang w:val="en-GB"/>
        </w:rPr>
        <w:t xml:space="preserve"> Low.</w:t>
      </w:r>
    </w:p>
    <w:p w14:paraId="7EF551E4" w14:textId="77777777" w:rsidR="004D52B8" w:rsidRDefault="004D52B8" w:rsidP="004D52B8">
      <w:pPr>
        <w:pStyle w:val="Standard"/>
        <w:jc w:val="both"/>
        <w:rPr>
          <w:rFonts w:cs="Times New Roman"/>
          <w:sz w:val="24"/>
          <w:szCs w:val="24"/>
        </w:rPr>
      </w:pPr>
    </w:p>
    <w:p w14:paraId="245395B6" w14:textId="77777777" w:rsidR="004D52B8" w:rsidRPr="004D52B8" w:rsidRDefault="004D52B8" w:rsidP="004D52B8">
      <w:pPr>
        <w:spacing w:after="0"/>
        <w:rPr>
          <w:vanish/>
          <w:lang w:val="en-GB"/>
        </w:rPr>
      </w:pPr>
    </w:p>
    <w:tbl>
      <w:tblPr>
        <w:tblW w:w="7893" w:type="dxa"/>
        <w:jc w:val="center"/>
        <w:tblLayout w:type="fixed"/>
        <w:tblCellMar>
          <w:left w:w="10" w:type="dxa"/>
          <w:right w:w="10" w:type="dxa"/>
        </w:tblCellMar>
        <w:tblLook w:val="0000" w:firstRow="0" w:lastRow="0" w:firstColumn="0" w:lastColumn="0" w:noHBand="0" w:noVBand="0"/>
      </w:tblPr>
      <w:tblGrid>
        <w:gridCol w:w="4798"/>
        <w:gridCol w:w="664"/>
        <w:gridCol w:w="496"/>
        <w:gridCol w:w="497"/>
        <w:gridCol w:w="496"/>
        <w:gridCol w:w="497"/>
        <w:gridCol w:w="445"/>
      </w:tblGrid>
      <w:tr w:rsidR="004D52B8" w:rsidRPr="00C673EB" w14:paraId="605D1755" w14:textId="77777777" w:rsidTr="00C46145">
        <w:trPr>
          <w:cantSplit/>
          <w:trHeight w:val="2879"/>
          <w:jc w:val="center"/>
        </w:trPr>
        <w:tc>
          <w:tcPr>
            <w:tcW w:w="4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5A32097" w14:textId="77777777" w:rsidR="004D52B8" w:rsidRDefault="004D52B8" w:rsidP="0079497F">
            <w:pPr>
              <w:pStyle w:val="Standard"/>
              <w:spacing w:after="0" w:line="240" w:lineRule="auto"/>
              <w:jc w:val="center"/>
              <w:rPr>
                <w:rFonts w:eastAsia="Times New Roman" w:cs="Times New Roman"/>
                <w:b/>
                <w:bCs/>
                <w:color w:val="000000"/>
                <w:sz w:val="36"/>
                <w:szCs w:val="36"/>
                <w:lang w:eastAsia="fr-FR"/>
              </w:rPr>
            </w:pPr>
            <w:r w:rsidRPr="00C673EB">
              <w:rPr>
                <w:rFonts w:eastAsia="Times New Roman" w:cs="Times New Roman"/>
                <w:b/>
                <w:bCs/>
                <w:color w:val="000000"/>
                <w:sz w:val="36"/>
                <w:szCs w:val="36"/>
                <w:lang w:eastAsia="fr-FR"/>
              </w:rPr>
              <w:t>RIS</w:t>
            </w:r>
            <w:r>
              <w:rPr>
                <w:rFonts w:eastAsia="Times New Roman" w:cs="Times New Roman"/>
                <w:b/>
                <w:bCs/>
                <w:color w:val="000000"/>
                <w:sz w:val="36"/>
                <w:szCs w:val="36"/>
                <w:lang w:eastAsia="fr-FR"/>
              </w:rPr>
              <w:t xml:space="preserve">K OF </w:t>
            </w:r>
            <w:r w:rsidRPr="00C673EB">
              <w:rPr>
                <w:rFonts w:eastAsia="Times New Roman" w:cs="Times New Roman"/>
                <w:b/>
                <w:bCs/>
                <w:color w:val="000000"/>
                <w:sz w:val="36"/>
                <w:szCs w:val="36"/>
                <w:lang w:eastAsia="fr-FR"/>
              </w:rPr>
              <w:t>BIAS</w:t>
            </w:r>
          </w:p>
          <w:p w14:paraId="4E26008B" w14:textId="77777777" w:rsidR="004D52B8" w:rsidRPr="00C673EB" w:rsidRDefault="004D52B8" w:rsidP="0079497F">
            <w:pPr>
              <w:pStyle w:val="Standard"/>
              <w:spacing w:after="0" w:line="240" w:lineRule="auto"/>
              <w:jc w:val="center"/>
            </w:pPr>
            <w:r>
              <w:rPr>
                <w:rFonts w:eastAsia="Times New Roman" w:cs="Times New Roman"/>
                <w:b/>
                <w:bCs/>
                <w:color w:val="000000"/>
                <w:sz w:val="36"/>
                <w:szCs w:val="36"/>
                <w:lang w:eastAsia="fr-FR"/>
              </w:rPr>
              <w:t>ASSESSMENT TOOL</w:t>
            </w:r>
          </w:p>
          <w:p w14:paraId="22EFBD79" w14:textId="77777777" w:rsidR="004D52B8" w:rsidRPr="00C673EB" w:rsidRDefault="004D52B8" w:rsidP="0079497F">
            <w:pPr>
              <w:pStyle w:val="Standard"/>
              <w:spacing w:after="0" w:line="240" w:lineRule="auto"/>
              <w:jc w:val="center"/>
            </w:pPr>
            <w:r w:rsidRPr="00C673EB">
              <w:rPr>
                <w:rFonts w:eastAsia="Times New Roman" w:cs="Times New Roman"/>
                <w:b/>
                <w:bCs/>
                <w:color w:val="000000"/>
                <w:sz w:val="36"/>
                <w:szCs w:val="36"/>
                <w:lang w:eastAsia="fr-FR"/>
              </w:rPr>
              <w:t>(Cochrane Library)</w:t>
            </w:r>
          </w:p>
        </w:tc>
        <w:tc>
          <w:tcPr>
            <w:tcW w:w="66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textDirection w:val="btLr"/>
            <w:vAlign w:val="bottom"/>
          </w:tcPr>
          <w:p w14:paraId="624490CA" w14:textId="77777777" w:rsidR="004D52B8" w:rsidRPr="00C673EB" w:rsidRDefault="004D52B8" w:rsidP="0079497F">
            <w:pPr>
              <w:pStyle w:val="Standard"/>
              <w:spacing w:after="0" w:line="240" w:lineRule="auto"/>
              <w:ind w:left="113" w:right="113"/>
            </w:pPr>
            <w:r>
              <w:rPr>
                <w:rFonts w:eastAsia="Times New Roman" w:cs="Times New Roman"/>
                <w:color w:val="000000"/>
                <w:sz w:val="28"/>
                <w:szCs w:val="28"/>
                <w:lang w:eastAsia="fr-FR"/>
              </w:rPr>
              <w:t>Allocation Concealment</w:t>
            </w:r>
            <w:r w:rsidRPr="00C673EB">
              <w:rPr>
                <w:rFonts w:eastAsia="Times New Roman" w:cs="Times New Roman"/>
                <w:color w:val="000000"/>
                <w:sz w:val="28"/>
                <w:szCs w:val="28"/>
                <w:lang w:eastAsia="fr-FR"/>
              </w:rPr>
              <w:t>?</w:t>
            </w:r>
          </w:p>
        </w:tc>
        <w:tc>
          <w:tcPr>
            <w:tcW w:w="49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textDirection w:val="btLr"/>
            <w:vAlign w:val="bottom"/>
          </w:tcPr>
          <w:p w14:paraId="7B737A4F" w14:textId="77777777" w:rsidR="004D52B8" w:rsidRPr="00C673EB" w:rsidRDefault="004D52B8" w:rsidP="0079497F">
            <w:pPr>
              <w:pStyle w:val="Standard"/>
              <w:spacing w:after="0" w:line="240" w:lineRule="auto"/>
              <w:ind w:left="113" w:right="113"/>
            </w:pPr>
            <w:r>
              <w:rPr>
                <w:rFonts w:eastAsia="Times New Roman" w:cs="Times New Roman"/>
                <w:color w:val="000000"/>
                <w:sz w:val="28"/>
                <w:szCs w:val="28"/>
                <w:lang w:eastAsia="fr-FR"/>
              </w:rPr>
              <w:t>Sequence generation</w:t>
            </w:r>
            <w:r w:rsidRPr="00C673EB">
              <w:rPr>
                <w:rFonts w:eastAsia="Times New Roman" w:cs="Times New Roman"/>
                <w:color w:val="000000"/>
                <w:sz w:val="28"/>
                <w:szCs w:val="28"/>
                <w:lang w:eastAsia="fr-FR"/>
              </w:rPr>
              <w:t>?</w:t>
            </w:r>
          </w:p>
        </w:tc>
        <w:tc>
          <w:tcPr>
            <w:tcW w:w="497"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textDirection w:val="btLr"/>
            <w:vAlign w:val="bottom"/>
          </w:tcPr>
          <w:p w14:paraId="18281C3E" w14:textId="77777777" w:rsidR="004D52B8" w:rsidRPr="00C673EB" w:rsidRDefault="004D52B8" w:rsidP="0079497F">
            <w:pPr>
              <w:pStyle w:val="Standard"/>
              <w:spacing w:after="0" w:line="240" w:lineRule="auto"/>
              <w:ind w:left="113" w:right="113"/>
            </w:pPr>
            <w:r>
              <w:rPr>
                <w:rFonts w:eastAsia="Times New Roman" w:cs="Times New Roman"/>
                <w:color w:val="000000"/>
                <w:sz w:val="28"/>
                <w:szCs w:val="28"/>
                <w:lang w:eastAsia="fr-FR"/>
              </w:rPr>
              <w:t>Blinding</w:t>
            </w:r>
            <w:r w:rsidRPr="00C673EB">
              <w:rPr>
                <w:rFonts w:eastAsia="Times New Roman" w:cs="Times New Roman"/>
                <w:color w:val="000000"/>
                <w:sz w:val="28"/>
                <w:szCs w:val="28"/>
                <w:lang w:eastAsia="fr-FR"/>
              </w:rPr>
              <w:t>?</w:t>
            </w:r>
          </w:p>
        </w:tc>
        <w:tc>
          <w:tcPr>
            <w:tcW w:w="49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textDirection w:val="btLr"/>
            <w:vAlign w:val="bottom"/>
          </w:tcPr>
          <w:p w14:paraId="55D02D98" w14:textId="77777777" w:rsidR="004D52B8" w:rsidRPr="00C673EB" w:rsidRDefault="004D52B8" w:rsidP="0079497F">
            <w:pPr>
              <w:pStyle w:val="Standard"/>
              <w:spacing w:after="0" w:line="240" w:lineRule="auto"/>
              <w:ind w:left="113" w:right="113"/>
            </w:pPr>
            <w:r>
              <w:rPr>
                <w:rFonts w:eastAsia="Times New Roman" w:cs="Times New Roman"/>
                <w:color w:val="000000"/>
                <w:sz w:val="28"/>
                <w:szCs w:val="28"/>
                <w:lang w:eastAsia="fr-FR"/>
              </w:rPr>
              <w:t>Selective reporting</w:t>
            </w:r>
            <w:r w:rsidRPr="00C673EB">
              <w:rPr>
                <w:rFonts w:eastAsia="Times New Roman" w:cs="Times New Roman"/>
                <w:color w:val="000000"/>
                <w:sz w:val="28"/>
                <w:szCs w:val="28"/>
                <w:lang w:eastAsia="fr-FR"/>
              </w:rPr>
              <w:t>?</w:t>
            </w:r>
          </w:p>
        </w:tc>
        <w:tc>
          <w:tcPr>
            <w:tcW w:w="497"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textDirection w:val="btLr"/>
            <w:vAlign w:val="bottom"/>
          </w:tcPr>
          <w:p w14:paraId="2E720D77" w14:textId="77777777" w:rsidR="004D52B8" w:rsidRPr="00C673EB" w:rsidRDefault="004D52B8" w:rsidP="0079497F">
            <w:pPr>
              <w:pStyle w:val="Standard"/>
              <w:spacing w:after="0" w:line="240" w:lineRule="auto"/>
              <w:ind w:left="113" w:right="113"/>
            </w:pPr>
            <w:r>
              <w:rPr>
                <w:rFonts w:eastAsia="Times New Roman" w:cs="Times New Roman"/>
                <w:color w:val="000000"/>
                <w:sz w:val="28"/>
                <w:szCs w:val="28"/>
                <w:lang w:eastAsia="fr-FR"/>
              </w:rPr>
              <w:t>Incomplete outcome</w:t>
            </w:r>
            <w:r w:rsidRPr="00C673EB">
              <w:rPr>
                <w:rFonts w:eastAsia="Times New Roman" w:cs="Times New Roman"/>
                <w:color w:val="000000"/>
                <w:sz w:val="28"/>
                <w:szCs w:val="28"/>
                <w:lang w:eastAsia="fr-FR"/>
              </w:rPr>
              <w:t>?</w:t>
            </w:r>
          </w:p>
        </w:tc>
        <w:tc>
          <w:tcPr>
            <w:tcW w:w="445"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textDirection w:val="btLr"/>
            <w:vAlign w:val="bottom"/>
          </w:tcPr>
          <w:p w14:paraId="687B61A0" w14:textId="77777777" w:rsidR="004D52B8" w:rsidRPr="00C673EB" w:rsidRDefault="004D52B8" w:rsidP="0079497F">
            <w:pPr>
              <w:pStyle w:val="Standard"/>
              <w:spacing w:after="0" w:line="240" w:lineRule="auto"/>
              <w:ind w:left="113" w:right="113"/>
            </w:pPr>
            <w:r>
              <w:rPr>
                <w:rFonts w:eastAsia="Times New Roman" w:cs="Times New Roman"/>
                <w:color w:val="000000"/>
                <w:sz w:val="28"/>
                <w:szCs w:val="28"/>
                <w:lang w:eastAsia="fr-FR"/>
              </w:rPr>
              <w:t xml:space="preserve">Other </w:t>
            </w:r>
            <w:r w:rsidRPr="00C673EB">
              <w:rPr>
                <w:rFonts w:eastAsia="Times New Roman" w:cs="Times New Roman"/>
                <w:color w:val="000000"/>
                <w:sz w:val="28"/>
                <w:szCs w:val="28"/>
                <w:lang w:eastAsia="fr-FR"/>
              </w:rPr>
              <w:t>bias</w:t>
            </w:r>
            <w:r>
              <w:rPr>
                <w:rFonts w:eastAsia="Times New Roman" w:cs="Times New Roman"/>
                <w:color w:val="000000"/>
                <w:sz w:val="28"/>
                <w:szCs w:val="28"/>
                <w:lang w:eastAsia="fr-FR"/>
              </w:rPr>
              <w:t>es</w:t>
            </w:r>
            <w:r w:rsidRPr="00C673EB">
              <w:rPr>
                <w:rFonts w:eastAsia="Times New Roman" w:cs="Times New Roman"/>
                <w:color w:val="000000"/>
                <w:sz w:val="28"/>
                <w:szCs w:val="28"/>
                <w:lang w:eastAsia="fr-FR"/>
              </w:rPr>
              <w:t>?</w:t>
            </w:r>
          </w:p>
        </w:tc>
      </w:tr>
      <w:tr w:rsidR="004D52B8" w:rsidRPr="00C673EB" w14:paraId="0566AA65" w14:textId="77777777" w:rsidTr="00C46145">
        <w:trPr>
          <w:trHeight w:val="375"/>
          <w:jc w:val="center"/>
        </w:trPr>
        <w:tc>
          <w:tcPr>
            <w:tcW w:w="479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E54FA68" w14:textId="0DCBA83E" w:rsidR="004D52B8" w:rsidRPr="00C673EB" w:rsidRDefault="004D52B8" w:rsidP="0079497F">
            <w:pPr>
              <w:pStyle w:val="Standard"/>
              <w:spacing w:after="0" w:line="240" w:lineRule="auto"/>
            </w:pPr>
            <w:r w:rsidRPr="00C673EB">
              <w:rPr>
                <w:rFonts w:eastAsia="Times New Roman" w:cs="Times New Roman"/>
                <w:sz w:val="28"/>
                <w:szCs w:val="28"/>
                <w:lang w:eastAsia="fr-FR"/>
              </w:rPr>
              <w:t xml:space="preserve">AGREE </w:t>
            </w:r>
            <w:proofErr w:type="spellStart"/>
            <w:r w:rsidRPr="00C673EB">
              <w:rPr>
                <w:rFonts w:eastAsia="Times New Roman" w:cs="Times New Roman"/>
                <w:sz w:val="28"/>
                <w:szCs w:val="28"/>
                <w:lang w:eastAsia="fr-FR"/>
              </w:rPr>
              <w:t>Westhovens</w:t>
            </w:r>
            <w:proofErr w:type="spellEnd"/>
            <w:r w:rsidRPr="00C673EB">
              <w:rPr>
                <w:rFonts w:eastAsia="Times New Roman" w:cs="Times New Roman"/>
                <w:sz w:val="28"/>
                <w:szCs w:val="28"/>
                <w:lang w:eastAsia="fr-FR"/>
              </w:rPr>
              <w:t xml:space="preserve"> ARD</w:t>
            </w:r>
            <w:r>
              <w:rPr>
                <w:rFonts w:eastAsia="Times New Roman" w:cs="Times New Roman"/>
                <w:sz w:val="28"/>
                <w:szCs w:val="28"/>
                <w:lang w:eastAsia="fr-FR"/>
              </w:rPr>
              <w:t xml:space="preserve"> </w:t>
            </w:r>
            <w:r w:rsidRPr="00C673EB">
              <w:rPr>
                <w:rFonts w:eastAsia="Times New Roman" w:cs="Times New Roman"/>
                <w:sz w:val="28"/>
                <w:szCs w:val="28"/>
                <w:lang w:eastAsia="fr-FR"/>
              </w:rPr>
              <w:t>2015</w:t>
            </w:r>
            <w:r>
              <w:rPr>
                <w:rFonts w:eastAsia="Times New Roman" w:cs="Times New Roman"/>
                <w:sz w:val="28"/>
                <w:szCs w:val="28"/>
                <w:lang w:eastAsia="fr-FR"/>
              </w:rPr>
              <w:t xml:space="preserve"> </w:t>
            </w:r>
            <w:r>
              <w:rPr>
                <w:rFonts w:eastAsia="Times New Roman" w:cs="Times New Roman"/>
                <w:sz w:val="28"/>
                <w:szCs w:val="28"/>
                <w:lang w:eastAsia="fr-FR"/>
              </w:rPr>
              <w:fldChar w:fldCharType="begin"/>
            </w:r>
            <w:r>
              <w:rPr>
                <w:rFonts w:eastAsia="Times New Roman" w:cs="Times New Roman"/>
                <w:sz w:val="28"/>
                <w:szCs w:val="28"/>
                <w:lang w:eastAsia="fr-FR"/>
              </w:rPr>
              <w:instrText xml:space="preserve"> ADDIN ZOTERO_ITEM CSL_CITATION {"citationID":"21vq2bt6dn","properties":{"formattedCitation":"(17)","plainCitation":"(17)"},"citationItems":[{"id":82,"uris":["http://zotero.org/users/local/lLXGDNac/items/S7BXBWEQ"],"uri":["http://zotero.org/users/local/lLXGDNac/items/S7BXBWEQ"],"itemData":{"id":82,"type":"article-journal","title":"Maintenance of remission following 2 years of standard treatment then dose reduction with abatacept in patients with early rheumatoid arthritis and poor prognosis","container-title":"Annals of the Rheumatic Diseases","page":"564-568","volume":"74","issue":"3","source":"PubMed","abstract":"OBJECTIVES: To evaluate maintenance of response while reducing intravenous abatacept dose from ~10 mg/kg to ~5 mg/kg in patients with early rheumatoid arthritis (RA) who achieved disease activity score (DAS)28 (erythrocyte sedimentation rate, ESR) &lt;2.6.\nMETHODS: This 1-year, multinational, randomised, double-blind substudy evaluated the efficacy and safety of ~10 mg/kg and ~5 mg/kg abatacept in patients with early RA with poor prognosis who had reached DAS28 (ESR) &lt;2.6 at year 2 of the AGREE study. The primary outcome was time to disease relapse (defined as additional disease-modifying antirheumatic drugs, ≥2 courses high-dose steroids, return to open-label abatacept ~10 mg/kg, or DAS28 (C reactive protein) ≥3.2 at two consecutive visits).\nRESULTS: 108 patients were randomised (~10 mg/kg, n=58; ~5 mg/kg, n=50). Three and five patients, respectively, discontinued, and four per group returned to open-label abatacept. Relapse over time and the proportion of patients relapsing were similar in both groups (31% (~10 mg/kg) vs 34% (~5 mg/kg); HR: 0.87 (95% CI 0.45 to 1.69)). Mean steady-state trough serum concentration for the ~10 mg/kg group was 20.3-24.1 µg/mL, compared with 8.8-12.0 µg/mL for the ~5 mg/kg group.\nCONCLUSIONS: This exploratory study suggests that abatacept dose reduction may be an option in patients with poor prognosis early RA who achieve DAS28 (ESR) &lt;2.6 after ≥1 year on abatacept (~10 mg/kg).\nTRIAL REGISTRATION NUMBER: NCT00989235.","DOI":"10.1136/annrheumdis-2014-206149","ISSN":"1468-2060","note":"PMID: 25550337\nPMCID: PMC4345907","journalAbbreviation":"Ann. Rheum. Dis.","language":"eng","author":[{"family":"Westhovens","given":"Rene"},{"family":"Robles","given":"Manuel"},{"family":"Ximenes","given":"Antonio Carlos"},{"family":"Wollenhaupt","given":"Jurgen"},{"family":"Durez","given":"Patrick"},{"family":"Gomez-Reino","given":"Juan"},{"family":"Grassi","given":"Walter"},{"family":"Haraoui","given":"Boulos"},{"family":"Shergy","given":"William"},{"family":"Park","given":"Sung-Hwan"},{"family":"Genant","given":"Harry"},{"family":"Peterfy","given":"Charles"},{"family":"Becker","given":"Jean-Claude"},{"family":"Murthy","given":"Bindu"}],"issued":{"date-parts":[["2015",3]]}}}],"schema":"https://github.com/citation-style-language/schema/raw/master/csl-citation.json"} </w:instrText>
            </w:r>
            <w:r>
              <w:rPr>
                <w:rFonts w:eastAsia="Times New Roman" w:cs="Times New Roman"/>
                <w:sz w:val="28"/>
                <w:szCs w:val="28"/>
                <w:lang w:eastAsia="fr-FR"/>
              </w:rPr>
              <w:fldChar w:fldCharType="separate"/>
            </w:r>
            <w:r w:rsidR="004C64B1">
              <w:rPr>
                <w:rFonts w:cs="Calibri"/>
                <w:sz w:val="28"/>
              </w:rPr>
              <w:t>(26</w:t>
            </w:r>
            <w:r w:rsidRPr="006E6A5E">
              <w:rPr>
                <w:rFonts w:cs="Calibri"/>
                <w:sz w:val="28"/>
              </w:rPr>
              <w:t>)</w:t>
            </w:r>
            <w:r>
              <w:rPr>
                <w:rFonts w:eastAsia="Times New Roman" w:cs="Times New Roman"/>
                <w:sz w:val="28"/>
                <w:szCs w:val="28"/>
                <w:lang w:eastAsia="fr-FR"/>
              </w:rPr>
              <w:fldChar w:fldCharType="end"/>
            </w:r>
          </w:p>
        </w:tc>
        <w:tc>
          <w:tcPr>
            <w:tcW w:w="664"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4D176283" w14:textId="76A5A20B"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c>
          <w:tcPr>
            <w:tcW w:w="496"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152B29D0"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c>
          <w:tcPr>
            <w:tcW w:w="497"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33EFCB75"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c>
          <w:tcPr>
            <w:tcW w:w="496"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115D1881"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c>
          <w:tcPr>
            <w:tcW w:w="497"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3B81CDE7"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c>
          <w:tcPr>
            <w:tcW w:w="445"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7DC4E3DE"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r>
      <w:tr w:rsidR="004D52B8" w:rsidRPr="00C673EB" w14:paraId="2726C2CB" w14:textId="77777777" w:rsidTr="00C46145">
        <w:trPr>
          <w:trHeight w:val="375"/>
          <w:jc w:val="center"/>
        </w:trPr>
        <w:tc>
          <w:tcPr>
            <w:tcW w:w="479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4EA3AA26" w14:textId="55149236" w:rsidR="004D52B8" w:rsidRPr="00C673EB" w:rsidRDefault="004D52B8" w:rsidP="0079497F">
            <w:pPr>
              <w:pStyle w:val="Standard"/>
              <w:spacing w:after="0" w:line="240" w:lineRule="auto"/>
            </w:pPr>
            <w:r w:rsidRPr="00C673EB">
              <w:rPr>
                <w:rFonts w:eastAsia="Times New Roman" w:cs="Times New Roman"/>
                <w:sz w:val="28"/>
                <w:szCs w:val="28"/>
                <w:lang w:eastAsia="fr-FR"/>
              </w:rPr>
              <w:t xml:space="preserve">Takeuchi </w:t>
            </w:r>
            <w:proofErr w:type="spellStart"/>
            <w:r w:rsidRPr="00C673EB">
              <w:rPr>
                <w:rFonts w:eastAsia="Times New Roman" w:cs="Times New Roman"/>
                <w:sz w:val="28"/>
                <w:szCs w:val="28"/>
                <w:lang w:eastAsia="fr-FR"/>
              </w:rPr>
              <w:t>Rheum</w:t>
            </w:r>
            <w:r>
              <w:rPr>
                <w:rFonts w:eastAsia="Times New Roman" w:cs="Times New Roman"/>
                <w:sz w:val="28"/>
                <w:szCs w:val="28"/>
                <w:lang w:eastAsia="fr-FR"/>
              </w:rPr>
              <w:t>atol</w:t>
            </w:r>
            <w:proofErr w:type="spellEnd"/>
            <w:r>
              <w:rPr>
                <w:rFonts w:eastAsia="Times New Roman" w:cs="Times New Roman"/>
                <w:sz w:val="28"/>
                <w:szCs w:val="28"/>
                <w:lang w:eastAsia="fr-FR"/>
              </w:rPr>
              <w:t xml:space="preserve"> 2015 </w:t>
            </w:r>
            <w:r>
              <w:rPr>
                <w:rFonts w:eastAsia="Times New Roman" w:cs="Times New Roman"/>
                <w:sz w:val="28"/>
                <w:szCs w:val="28"/>
                <w:lang w:eastAsia="fr-FR"/>
              </w:rPr>
              <w:fldChar w:fldCharType="begin"/>
            </w:r>
            <w:r>
              <w:rPr>
                <w:rFonts w:eastAsia="Times New Roman" w:cs="Times New Roman"/>
                <w:sz w:val="28"/>
                <w:szCs w:val="28"/>
                <w:lang w:eastAsia="fr-FR"/>
              </w:rPr>
              <w:instrText xml:space="preserve"> ADDIN ZOTERO_ITEM CSL_CITATION {"citationID":"1r6egieuoo","properties":{"formattedCitation":"(21)","plainCitation":"(21)"},"citationItems":[{"id":177,"uris":["http://zotero.org/users/local/lLXGDNac/items/5SX4DI24"],"uri":["http://zotero.org/users/local/lLXGDNac/items/5SX4DI24"],"itemData":{"id":177,"type":"article-journal","title":"Biologic-free remission of established rheumatoid arthritis after discontinuation of abatacept: a prospective, multicentre, observational study in Japan","container-title":"Rheumatology (Oxford, England)","page":"683-691","volume":"54","issue":"4","source":"PubMed","abstract":"OBJECTIVE: The aim of this study was to determine whether biologic-free remission of RA is possible with discontinuation of abatacept.\nMETHODS: Japanese RA patients in 28-joint DAS with CRP (DAS28-CRP) remission (&lt;2.3) after &gt;2 years of abatacept treatment in a phase II study and its long-term extension entered this 52 week, multicentre, non-blinded, prospective, observational study. At enrolment, the patients were offered the option to continue abatacept or not. The primary endpoint was the proportion of patients who remained biologic-free at 52 weeks after discontinuation. Clinical, functional and structural outcomes were compared between those who continued and those who discontinued abatacept.\nRESULTS: Of 51 patients enrolled, 34 discontinued and 17 continued abatacept treatment. After 52 weeks, 22 of the 34 patients (64.7%) remained biologic-free. Compared with the continuation group, the discontinuation group had a similar remission rate (41.2% vs 64.7%, P = 0.144) although they had a significantly higher mean DAS28-CRP score at week 52 (2.9 vs 2.0, P = 0.012). The two groups were also similar with regard to mean HAQ Disability Index (HAQ-DI) score (0.6 for both, P = 0.920), mean change in total Sharp score (ΔTSS; 0.80 vs 0.32, P = 0.374) and proportion of patients in radiographic remission (ΔTSS ≤ 0.5) at the endpoint (64.3% vs 70.6%, P = 0.752). Those attaining DAS28-CRP &lt; 2.3 or &lt; 2.7 without abatacept at the endpoint had significantly lower HAQ-DI score and/or CRP at enrolment. Non-serious adverse events occurred in three patients who continued or resumed abatacept.\nCONCLUSION: Biologic-free remission of RA is possible in some patients after attaining clinical remission with abatacept. Lower baseline HAQ-DI or CRP may predict maintenance of remission or low disease activity after discontinuation of abatacept.\nTRIAL REGISTRATION: UMIN Clinical Trials Registry, http://www.umin.ac.jp/ctr/ (UMIN000004137).","DOI":"10.1093/rheumatology/keu338","ISSN":"1462-0332","note":"PMID: 25257039\nPMCID: PMC4372674","shortTitle":"Biologic-free remission of established rheumatoid arthritis after discontinuation of abatacept","journalAbbreviation":"Rheumatology (Oxford)","language":"eng","author":[{"family":"Takeuchi","given":"Tsutomu"},{"family":"Matsubara","given":"Tsukasa"},{"family":"Ohta","given":"Shuji"},{"family":"Mukai","given":"Masaya"},{"family":"Amano","given":"Koichi"},{"family":"Tohma","given":"Shigeto"},{"family":"Tanaka","given":"Yoshiya"},{"family":"Yamanaka","given":"Hisashi"},{"family":"Miyasaka","given":"Nobuyuki"}],"issued":{"date-parts":[["2015",4]]}}}],"schema":"https://github.com/citation-style-language/schema/raw/master/csl-citation.json"} </w:instrText>
            </w:r>
            <w:r>
              <w:rPr>
                <w:rFonts w:eastAsia="Times New Roman" w:cs="Times New Roman"/>
                <w:sz w:val="28"/>
                <w:szCs w:val="28"/>
                <w:lang w:eastAsia="fr-FR"/>
              </w:rPr>
              <w:fldChar w:fldCharType="separate"/>
            </w:r>
            <w:r w:rsidR="004C64B1">
              <w:rPr>
                <w:rFonts w:cs="Calibri"/>
                <w:sz w:val="28"/>
              </w:rPr>
              <w:t>(22</w:t>
            </w:r>
            <w:r w:rsidRPr="006E6A5E">
              <w:rPr>
                <w:rFonts w:cs="Calibri"/>
                <w:sz w:val="28"/>
              </w:rPr>
              <w:t>)</w:t>
            </w:r>
            <w:r>
              <w:rPr>
                <w:rFonts w:eastAsia="Times New Roman" w:cs="Times New Roman"/>
                <w:sz w:val="28"/>
                <w:szCs w:val="28"/>
                <w:lang w:eastAsia="fr-FR"/>
              </w:rPr>
              <w:fldChar w:fldCharType="end"/>
            </w:r>
          </w:p>
        </w:tc>
        <w:tc>
          <w:tcPr>
            <w:tcW w:w="664" w:type="dxa"/>
            <w:tcBorders>
              <w:bottom w:val="single" w:sz="4" w:space="0" w:color="00000A"/>
              <w:right w:val="single" w:sz="4" w:space="0" w:color="00000A"/>
            </w:tcBorders>
            <w:shd w:val="clear" w:color="auto" w:fill="FF0000"/>
            <w:tcMar>
              <w:top w:w="0" w:type="dxa"/>
              <w:left w:w="70" w:type="dxa"/>
              <w:bottom w:w="0" w:type="dxa"/>
              <w:right w:w="70" w:type="dxa"/>
            </w:tcMar>
            <w:vAlign w:val="center"/>
          </w:tcPr>
          <w:p w14:paraId="77C35C40" w14:textId="77777777" w:rsidR="004D52B8" w:rsidRPr="00C673EB" w:rsidRDefault="004D52B8" w:rsidP="0079497F">
            <w:pPr>
              <w:pStyle w:val="Standard"/>
              <w:spacing w:after="0" w:line="240" w:lineRule="auto"/>
              <w:jc w:val="center"/>
            </w:pPr>
            <w:r>
              <w:t>H</w:t>
            </w:r>
          </w:p>
        </w:tc>
        <w:tc>
          <w:tcPr>
            <w:tcW w:w="496" w:type="dxa"/>
            <w:tcBorders>
              <w:bottom w:val="single" w:sz="4" w:space="0" w:color="00000A"/>
              <w:right w:val="single" w:sz="4" w:space="0" w:color="00000A"/>
            </w:tcBorders>
            <w:shd w:val="clear" w:color="auto" w:fill="FF0000"/>
            <w:tcMar>
              <w:top w:w="0" w:type="dxa"/>
              <w:left w:w="70" w:type="dxa"/>
              <w:bottom w:w="0" w:type="dxa"/>
              <w:right w:w="70" w:type="dxa"/>
            </w:tcMar>
            <w:vAlign w:val="center"/>
          </w:tcPr>
          <w:p w14:paraId="1CB70B66"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H</w:t>
            </w:r>
          </w:p>
        </w:tc>
        <w:tc>
          <w:tcPr>
            <w:tcW w:w="497" w:type="dxa"/>
            <w:tcBorders>
              <w:bottom w:val="single" w:sz="4" w:space="0" w:color="00000A"/>
              <w:right w:val="single" w:sz="4" w:space="0" w:color="00000A"/>
            </w:tcBorders>
            <w:shd w:val="clear" w:color="auto" w:fill="FF0000"/>
            <w:tcMar>
              <w:top w:w="0" w:type="dxa"/>
              <w:left w:w="70" w:type="dxa"/>
              <w:bottom w:w="0" w:type="dxa"/>
              <w:right w:w="70" w:type="dxa"/>
            </w:tcMar>
            <w:vAlign w:val="center"/>
          </w:tcPr>
          <w:p w14:paraId="353CFD2E"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H</w:t>
            </w:r>
          </w:p>
        </w:tc>
        <w:tc>
          <w:tcPr>
            <w:tcW w:w="496"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7FC99F3B"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c>
          <w:tcPr>
            <w:tcW w:w="497"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74EE8C3F"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c>
          <w:tcPr>
            <w:tcW w:w="445"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7E8749CA"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r>
      <w:tr w:rsidR="004D52B8" w:rsidRPr="00C673EB" w14:paraId="6BB4B41A" w14:textId="77777777" w:rsidTr="00C46145">
        <w:trPr>
          <w:trHeight w:val="375"/>
          <w:jc w:val="center"/>
        </w:trPr>
        <w:tc>
          <w:tcPr>
            <w:tcW w:w="479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150BBBB1" w14:textId="7E50D478" w:rsidR="004D52B8" w:rsidRPr="00C673EB" w:rsidRDefault="004D52B8" w:rsidP="0079497F">
            <w:pPr>
              <w:pStyle w:val="Standard"/>
              <w:spacing w:after="0" w:line="240" w:lineRule="auto"/>
            </w:pPr>
            <w:r w:rsidRPr="00C673EB">
              <w:rPr>
                <w:rFonts w:eastAsia="Times New Roman" w:cs="Times New Roman"/>
                <w:sz w:val="28"/>
                <w:szCs w:val="28"/>
                <w:lang w:eastAsia="fr-FR"/>
              </w:rPr>
              <w:t xml:space="preserve">ADMIRE </w:t>
            </w:r>
            <w:proofErr w:type="spellStart"/>
            <w:r w:rsidRPr="00C673EB">
              <w:rPr>
                <w:rFonts w:eastAsia="Times New Roman" w:cs="Times New Roman"/>
                <w:sz w:val="28"/>
                <w:szCs w:val="28"/>
                <w:lang w:eastAsia="fr-FR"/>
              </w:rPr>
              <w:t>Chatzidionysiou</w:t>
            </w:r>
            <w:proofErr w:type="spellEnd"/>
            <w:r w:rsidRPr="00C673EB">
              <w:rPr>
                <w:rFonts w:eastAsia="Times New Roman" w:cs="Times New Roman"/>
                <w:sz w:val="28"/>
                <w:szCs w:val="28"/>
                <w:lang w:eastAsia="fr-FR"/>
              </w:rPr>
              <w:t xml:space="preserve"> RMD</w:t>
            </w:r>
            <w:r>
              <w:rPr>
                <w:rFonts w:eastAsia="Times New Roman" w:cs="Times New Roman"/>
                <w:sz w:val="28"/>
                <w:szCs w:val="28"/>
                <w:lang w:eastAsia="fr-FR"/>
              </w:rPr>
              <w:t xml:space="preserve"> O</w:t>
            </w:r>
            <w:r w:rsidRPr="00C673EB">
              <w:rPr>
                <w:rFonts w:eastAsia="Times New Roman" w:cs="Times New Roman"/>
                <w:sz w:val="28"/>
                <w:szCs w:val="28"/>
                <w:lang w:eastAsia="fr-FR"/>
              </w:rPr>
              <w:t>pen 2016</w:t>
            </w:r>
            <w:r>
              <w:rPr>
                <w:rFonts w:eastAsia="Times New Roman" w:cs="Times New Roman"/>
                <w:sz w:val="28"/>
                <w:szCs w:val="28"/>
                <w:lang w:eastAsia="fr-FR"/>
              </w:rPr>
              <w:t xml:space="preserve"> </w:t>
            </w:r>
            <w:r>
              <w:rPr>
                <w:rFonts w:eastAsia="Times New Roman" w:cs="Times New Roman"/>
                <w:sz w:val="28"/>
                <w:szCs w:val="28"/>
                <w:lang w:eastAsia="fr-FR"/>
              </w:rPr>
              <w:fldChar w:fldCharType="begin"/>
            </w:r>
            <w:r>
              <w:rPr>
                <w:rFonts w:eastAsia="Times New Roman" w:cs="Times New Roman"/>
                <w:sz w:val="28"/>
                <w:szCs w:val="28"/>
                <w:lang w:eastAsia="fr-FR"/>
              </w:rPr>
              <w:instrText xml:space="preserve"> ADDIN ZOTERO_ITEM CSL_CITATION {"citationID":"1v521msj7u","properties":{"formattedCitation":"(22)","plainCitation":"(22)"},"citationItems":[{"id":256,"uris":["http://zotero.org/users/local/lLXGDNac/items/9ARFTKFT"],"uri":["http://zotero.org/users/local/lLXGDNac/items/9ARFTKFT"],"itemData":{"id":256,"type":"article-journal","title":"A multicentre, randomised, controlled, open-label pilot study on the feasibility of discontinuation of adalimumab in established patients with rheumatoid arthritis in stable clinical remission","container-title":"RMD open","page":"e000133","volume":"2","issue":"1","source":"PubMed","abstract":"OBJECTIVES: Treatment with tumour necrosis factor (TNF) blockers, once started as therapy for rheumatoid arthritis (RA), is usually continued indefinitely. The aim of this trial was to assess the possibility of discontinuing treatment with adalimumab (ADA) while maintaining remission in patients with RA with established disease in stable remission on combination therapy with ADA and methotrexate (MTX).\nMETHODS: In a randomised, controlled, open-label pilot study of patients with RA in stable remission treated with ADA+MTX, patients were randomised in a 1:1 ratio to continue with ADA plus MTX (arm AM) or MTX monotherapy (arm M) for 52 weeks. Flare was defined as Disease Activity Score (DAS28) ≥2.6 or a change in DAS28 (ΔDAS28) of &gt;1.2 from baseline at any time. Patients in arm M with a flare restarted ADA. The primary end point was the proportion of patients in remission at week 28.\nRESULTS: 31 patients were enrolled in the study and randomised to arm AM (n=16) or arm M (n=15). At 28 weeks, 15/16 patients (94%) and 5/15 patients (33%) in arms AM and M, respectively, were in remission (p=0.001). During the first 28 weeks, 50% (8/16) in the AM arm and 80% (12/15) in the M arm had a flare (p=0.08). The number of patients in the AM and M arms with ≥1 ΔDAS28 &gt;1.2 during the first 28 weeks was 1/16 (6%) and 8/15 (53%), respectively (p=0.005).\nCONCLUSIONS: In this study, remission was rarely maintained in patients with long-standing disease who discontinued ADA. Discontinuation may be feasible in only a minority of patients with established RA in stable clinical remission.\nTRIAL REGISTRATION NUMBER: NCT00808509.","DOI":"10.1136/rmdopen-2015-000133","note":"PMID: 26819752\nPMCID: PMC4716561","journalAbbreviation":"RMD Open","language":"ENG","author":[{"family":"Chatzidionysiou","given":"Katerina"},{"family":"Turesson","given":"Carl"},{"family":"Teleman","given":"Annika"},{"family":"Knight","given":"Ann"},{"family":"Lindqvist","given":"Elisabet"},{"family":"Larsson","given":"Per"},{"family":"Cöster","given":"Lars"},{"family":"Forslind","given":"Kristina"},{"family":"Vollenhoven","given":"Ronald","non-dropping-particle":"van"},{"family":"Heimbürger","given":"Mikael"}],"issued":{"date-parts":[["2016"]]}}}],"schema":"https://github.com/citation-style-language/schema/raw/master/csl-citation.json"} </w:instrText>
            </w:r>
            <w:r>
              <w:rPr>
                <w:rFonts w:eastAsia="Times New Roman" w:cs="Times New Roman"/>
                <w:sz w:val="28"/>
                <w:szCs w:val="28"/>
                <w:lang w:eastAsia="fr-FR"/>
              </w:rPr>
              <w:fldChar w:fldCharType="separate"/>
            </w:r>
            <w:r w:rsidR="004C64B1">
              <w:rPr>
                <w:rFonts w:cs="Calibri"/>
                <w:sz w:val="28"/>
              </w:rPr>
              <w:t>(16</w:t>
            </w:r>
            <w:r w:rsidRPr="006E6A5E">
              <w:rPr>
                <w:rFonts w:cs="Calibri"/>
                <w:sz w:val="28"/>
              </w:rPr>
              <w:t>)</w:t>
            </w:r>
            <w:r>
              <w:rPr>
                <w:rFonts w:eastAsia="Times New Roman" w:cs="Times New Roman"/>
                <w:sz w:val="28"/>
                <w:szCs w:val="28"/>
                <w:lang w:eastAsia="fr-FR"/>
              </w:rPr>
              <w:fldChar w:fldCharType="end"/>
            </w:r>
          </w:p>
        </w:tc>
        <w:tc>
          <w:tcPr>
            <w:tcW w:w="664"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7E2C35E3" w14:textId="37A44D89"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c>
          <w:tcPr>
            <w:tcW w:w="496"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011C3556"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c>
          <w:tcPr>
            <w:tcW w:w="497" w:type="dxa"/>
            <w:tcBorders>
              <w:bottom w:val="single" w:sz="4" w:space="0" w:color="00000A"/>
              <w:right w:val="single" w:sz="4" w:space="0" w:color="00000A"/>
            </w:tcBorders>
            <w:shd w:val="clear" w:color="auto" w:fill="FF0000"/>
            <w:tcMar>
              <w:top w:w="0" w:type="dxa"/>
              <w:left w:w="70" w:type="dxa"/>
              <w:bottom w:w="0" w:type="dxa"/>
              <w:right w:w="70" w:type="dxa"/>
            </w:tcMar>
            <w:vAlign w:val="center"/>
          </w:tcPr>
          <w:p w14:paraId="3236DF10"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H</w:t>
            </w:r>
          </w:p>
        </w:tc>
        <w:tc>
          <w:tcPr>
            <w:tcW w:w="496"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7E1832D7" w14:textId="59840FDA"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c>
          <w:tcPr>
            <w:tcW w:w="497"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01635922"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c>
          <w:tcPr>
            <w:tcW w:w="445"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5B5F2253" w14:textId="360824C1"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r>
      <w:tr w:rsidR="004D52B8" w:rsidRPr="00C673EB" w14:paraId="22E1EF1E" w14:textId="77777777" w:rsidTr="00C46145">
        <w:trPr>
          <w:trHeight w:val="375"/>
          <w:jc w:val="center"/>
        </w:trPr>
        <w:tc>
          <w:tcPr>
            <w:tcW w:w="479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0E6E289C" w14:textId="2803B480" w:rsidR="004D52B8" w:rsidRPr="00C673EB" w:rsidRDefault="004D52B8" w:rsidP="0079497F">
            <w:pPr>
              <w:pStyle w:val="Standard"/>
              <w:spacing w:after="0" w:line="240" w:lineRule="auto"/>
            </w:pPr>
            <w:r w:rsidRPr="00C673EB">
              <w:rPr>
                <w:rFonts w:eastAsia="Times New Roman" w:cs="Times New Roman"/>
                <w:sz w:val="28"/>
                <w:szCs w:val="28"/>
                <w:lang w:eastAsia="fr-FR"/>
              </w:rPr>
              <w:t>HONOR Tanaka ARD</w:t>
            </w:r>
            <w:r>
              <w:rPr>
                <w:rFonts w:eastAsia="Times New Roman" w:cs="Times New Roman"/>
                <w:sz w:val="28"/>
                <w:szCs w:val="28"/>
                <w:lang w:eastAsia="fr-FR"/>
              </w:rPr>
              <w:t xml:space="preserve"> </w:t>
            </w:r>
            <w:r w:rsidRPr="00C673EB">
              <w:rPr>
                <w:rFonts w:eastAsia="Times New Roman" w:cs="Times New Roman"/>
                <w:sz w:val="28"/>
                <w:szCs w:val="28"/>
                <w:lang w:eastAsia="fr-FR"/>
              </w:rPr>
              <w:t>2015</w:t>
            </w:r>
            <w:r>
              <w:rPr>
                <w:rFonts w:eastAsia="Times New Roman" w:cs="Times New Roman"/>
                <w:sz w:val="28"/>
                <w:szCs w:val="28"/>
                <w:lang w:eastAsia="fr-FR"/>
              </w:rPr>
              <w:t xml:space="preserve"> </w:t>
            </w:r>
            <w:r>
              <w:rPr>
                <w:rFonts w:eastAsia="Times New Roman" w:cs="Times New Roman"/>
                <w:sz w:val="28"/>
                <w:szCs w:val="28"/>
                <w:lang w:eastAsia="fr-FR"/>
              </w:rPr>
              <w:fldChar w:fldCharType="begin"/>
            </w:r>
            <w:r>
              <w:rPr>
                <w:rFonts w:eastAsia="Times New Roman" w:cs="Times New Roman"/>
                <w:sz w:val="28"/>
                <w:szCs w:val="28"/>
                <w:lang w:eastAsia="fr-FR"/>
              </w:rPr>
              <w:instrText xml:space="preserve"> ADDIN ZOTERO_ITEM CSL_CITATION {"citationID":"3f079mdlk","properties":{"formattedCitation":"(20)","plainCitation":"(20)"},"citationItems":[{"id":222,"uris":["http://zotero.org/users/local/lLXGDNac/items/39DBRD3I"],"uri":["http://zotero.org/users/local/lLXGDNac/items/39DBRD3I"],"itemData":{"id":222,"type":"article-journal","title":"Discontinuation of adalimumab after achieving remission in patients with established rheumatoid arthritis: 1-year outcome of the HONOR study","container-title":"Annals of the Rheumatic Diseases","page":"389-395","volume":"74","issue":"2","source":"PubMed","abstract":"OBJECTIVES: To investigate the possibility of discontinuing adalimumab (ADA) for 1 year without flaring (DAS28-erythrocyte sedimentation rate (ESR) ≥3.2), and to identify factors enabling established patients with rheumatoid arthritis (RA) to remain ADA-free.\nMETHODS: Of 197 RA patients treated with ADA+methotrexate (MTX), 75 patients who met the ADA-free criteria (steroid-free and sustained DAS28-ESR remission for 6 months with stable MTX doses) were studied for 1 year.\nRESULTS: The mean disease duration and DAS28-ESR score in 75 patients was 7.5 years and 5.1 at baseline, respectively. The proportion of patients who sustained DAS28-ESR &lt;2.6 (48%) and DAS28-ESR &lt;3.2 (62%) for 1 year were significantly lower in the ADA discontinuation group than in the ADA continuation group; however, in patients with deep remission (DAS28-ESR ≤1.98) identified by receiver operating characteristics analysis following logistic analysis, these rates increased to 68% and 79%, respectively, with no significant difference between both groups. Remarkably, ADA readministration to patients with flare was effective in returning DAS28-ESR to &lt;3.2 within 6 months in 90% and 9 months in 100% patients; among the patients who sustained DAS28-ESR &lt;3.2 during ADA discontinuation, 100% remained in structural remission and 94% in functional remission.\nCONCLUSIONS: The possibility of remaining ADA-free for 1 year was demonstrated in established patients with RA with outcomes that ADA can be discontinued without flaring in 79% patients with deep remission, with similar rates in the ADA continuation group, and showed no functional or structural damage in patients with DAS28-ESR &lt;3.2. ADA readministration to patients with flare during ADA discontinuation was effective.","DOI":"10.1136/annrheumdis-2013-204016","ISSN":"1468-2060","note":"PMID: 24288014\nPMCID: PMC4316845","shortTitle":"Discontinuation of adalimumab after achieving remission in patients with established rheumatoid arthritis","journalAbbreviation":"Ann. Rheum. Dis.","language":"ENG","author":[{"family":"Tanaka","given":"Yoshiya"},{"family":"Hirata","given":"Shintaro"},{"family":"Kubo","given":"Satoshi"},{"family":"Fukuyo","given":"Shunsuke"},{"family":"Hanami","given":"Kentaro"},{"family":"Sawamukai","given":"Norifumi"},{"family":"Nakano","given":"Kazuhisa"},{"family":"Nakayamada","given":"Shingo"},{"family":"Yamaoka","given":"Kunihiro"},{"family":"Sawamura","given":"Fusae"},{"family":"Saito","given":"Kazuyoshi"}],"issued":{"date-parts":[["2015",2]]}}}],"schema":"https://github.com/citation-style-language/schema/raw/master/csl-citation.json"} </w:instrText>
            </w:r>
            <w:r>
              <w:rPr>
                <w:rFonts w:eastAsia="Times New Roman" w:cs="Times New Roman"/>
                <w:sz w:val="28"/>
                <w:szCs w:val="28"/>
                <w:lang w:eastAsia="fr-FR"/>
              </w:rPr>
              <w:fldChar w:fldCharType="separate"/>
            </w:r>
            <w:r w:rsidR="004C64B1">
              <w:rPr>
                <w:rFonts w:cs="Calibri"/>
                <w:sz w:val="28"/>
              </w:rPr>
              <w:t>(23</w:t>
            </w:r>
            <w:r w:rsidRPr="006E6A5E">
              <w:rPr>
                <w:rFonts w:cs="Calibri"/>
                <w:sz w:val="28"/>
              </w:rPr>
              <w:t>)</w:t>
            </w:r>
            <w:r>
              <w:rPr>
                <w:rFonts w:eastAsia="Times New Roman" w:cs="Times New Roman"/>
                <w:sz w:val="28"/>
                <w:szCs w:val="28"/>
                <w:lang w:eastAsia="fr-FR"/>
              </w:rPr>
              <w:fldChar w:fldCharType="end"/>
            </w:r>
          </w:p>
        </w:tc>
        <w:tc>
          <w:tcPr>
            <w:tcW w:w="664" w:type="dxa"/>
            <w:tcBorders>
              <w:bottom w:val="single" w:sz="4" w:space="0" w:color="00000A"/>
              <w:right w:val="single" w:sz="4" w:space="0" w:color="00000A"/>
            </w:tcBorders>
            <w:shd w:val="clear" w:color="auto" w:fill="FF0000"/>
            <w:tcMar>
              <w:top w:w="0" w:type="dxa"/>
              <w:left w:w="70" w:type="dxa"/>
              <w:bottom w:w="0" w:type="dxa"/>
              <w:right w:w="70" w:type="dxa"/>
            </w:tcMar>
            <w:vAlign w:val="center"/>
          </w:tcPr>
          <w:p w14:paraId="33189029"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H</w:t>
            </w:r>
          </w:p>
        </w:tc>
        <w:tc>
          <w:tcPr>
            <w:tcW w:w="496" w:type="dxa"/>
            <w:tcBorders>
              <w:bottom w:val="single" w:sz="4" w:space="0" w:color="00000A"/>
              <w:right w:val="single" w:sz="4" w:space="0" w:color="00000A"/>
            </w:tcBorders>
            <w:shd w:val="clear" w:color="auto" w:fill="FF0000"/>
            <w:tcMar>
              <w:top w:w="0" w:type="dxa"/>
              <w:left w:w="70" w:type="dxa"/>
              <w:bottom w:w="0" w:type="dxa"/>
              <w:right w:w="70" w:type="dxa"/>
            </w:tcMar>
            <w:vAlign w:val="center"/>
          </w:tcPr>
          <w:p w14:paraId="505F442B"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H</w:t>
            </w:r>
          </w:p>
        </w:tc>
        <w:tc>
          <w:tcPr>
            <w:tcW w:w="497" w:type="dxa"/>
            <w:tcBorders>
              <w:bottom w:val="single" w:sz="4" w:space="0" w:color="00000A"/>
              <w:right w:val="single" w:sz="4" w:space="0" w:color="00000A"/>
            </w:tcBorders>
            <w:shd w:val="clear" w:color="auto" w:fill="FF0000"/>
            <w:tcMar>
              <w:top w:w="0" w:type="dxa"/>
              <w:left w:w="70" w:type="dxa"/>
              <w:bottom w:w="0" w:type="dxa"/>
              <w:right w:w="70" w:type="dxa"/>
            </w:tcMar>
            <w:vAlign w:val="center"/>
          </w:tcPr>
          <w:p w14:paraId="71C70633"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H</w:t>
            </w:r>
          </w:p>
        </w:tc>
        <w:tc>
          <w:tcPr>
            <w:tcW w:w="496"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7B45D7E5" w14:textId="383FFE9A"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c>
          <w:tcPr>
            <w:tcW w:w="497"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417878AF"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c>
          <w:tcPr>
            <w:tcW w:w="445"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45BA9B3B"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r>
      <w:tr w:rsidR="004D52B8" w:rsidRPr="00462228" w14:paraId="4709BCD1" w14:textId="77777777" w:rsidTr="00C46145">
        <w:trPr>
          <w:trHeight w:val="375"/>
          <w:jc w:val="center"/>
        </w:trPr>
        <w:tc>
          <w:tcPr>
            <w:tcW w:w="479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09F0CB7" w14:textId="646A3AE4" w:rsidR="004D52B8" w:rsidRPr="00C673EB" w:rsidRDefault="004D52B8" w:rsidP="0079497F">
            <w:pPr>
              <w:pStyle w:val="Standard"/>
              <w:spacing w:after="0" w:line="240" w:lineRule="auto"/>
            </w:pPr>
            <w:r w:rsidRPr="00C673EB">
              <w:rPr>
                <w:rFonts w:eastAsia="Times New Roman" w:cs="Times New Roman"/>
                <w:sz w:val="28"/>
                <w:szCs w:val="28"/>
                <w:lang w:eastAsia="fr-FR"/>
              </w:rPr>
              <w:t xml:space="preserve">OPTIMA </w:t>
            </w:r>
            <w:proofErr w:type="spellStart"/>
            <w:r w:rsidRPr="00C673EB">
              <w:rPr>
                <w:rFonts w:eastAsia="Times New Roman" w:cs="Times New Roman"/>
                <w:sz w:val="28"/>
                <w:szCs w:val="28"/>
                <w:lang w:eastAsia="fr-FR"/>
              </w:rPr>
              <w:t>Smolen</w:t>
            </w:r>
            <w:proofErr w:type="spellEnd"/>
            <w:r w:rsidRPr="00C673EB">
              <w:rPr>
                <w:rFonts w:eastAsia="Times New Roman" w:cs="Times New Roman"/>
                <w:sz w:val="28"/>
                <w:szCs w:val="28"/>
                <w:lang w:eastAsia="fr-FR"/>
              </w:rPr>
              <w:t xml:space="preserve"> Lancet</w:t>
            </w:r>
            <w:r>
              <w:rPr>
                <w:rFonts w:eastAsia="Times New Roman" w:cs="Times New Roman"/>
                <w:sz w:val="28"/>
                <w:szCs w:val="28"/>
                <w:lang w:eastAsia="fr-FR"/>
              </w:rPr>
              <w:t xml:space="preserve"> </w:t>
            </w:r>
            <w:r w:rsidRPr="00C673EB">
              <w:rPr>
                <w:rFonts w:eastAsia="Times New Roman" w:cs="Times New Roman"/>
                <w:sz w:val="28"/>
                <w:szCs w:val="28"/>
                <w:lang w:eastAsia="fr-FR"/>
              </w:rPr>
              <w:t>2014</w:t>
            </w:r>
            <w:r>
              <w:rPr>
                <w:rFonts w:eastAsia="Times New Roman" w:cs="Times New Roman"/>
                <w:sz w:val="28"/>
                <w:szCs w:val="28"/>
                <w:lang w:eastAsia="fr-FR"/>
              </w:rPr>
              <w:t xml:space="preserve"> </w:t>
            </w:r>
            <w:r>
              <w:rPr>
                <w:rFonts w:eastAsia="Times New Roman" w:cs="Times New Roman"/>
                <w:sz w:val="28"/>
                <w:szCs w:val="28"/>
                <w:lang w:eastAsia="fr-FR"/>
              </w:rPr>
              <w:fldChar w:fldCharType="begin"/>
            </w:r>
            <w:r>
              <w:rPr>
                <w:rFonts w:eastAsia="Times New Roman" w:cs="Times New Roman"/>
                <w:sz w:val="28"/>
                <w:szCs w:val="28"/>
                <w:lang w:eastAsia="fr-FR"/>
              </w:rPr>
              <w:instrText xml:space="preserve"> ADDIN ZOTERO_ITEM CSL_CITATION {"citationID":"19geqhpah3","properties":{"formattedCitation":"(23)","plainCitation":"(23)"},"citationItems":[{"id":258,"uris":["http://zotero.org/users/local/lLXGDNac/items/73PF9K8C"],"uri":["http://zotero.org/users/local/lLXGDNac/items/73PF9K8C"],"itemData":{"id":258,"type":"article-journal","title":"Adjustment of therapy in rheumatoid arthritis on the basis of achievement of stable low disease activity with adalimumab plus methotrexate or methotrexate alone: the randomised controlled OPTIMA trial","container-title":"Lancet (London, England)","page":"321-332","volume":"383","issue":"9914","source":"PubMed","abstract":"BACKGROUND: Biological agents offer good control of rheumatoid arthritis, but the long-term benefits of achieving low disease activity with a biological agent plus methotrexate or methotrexate alone are unclear. The OPTIMA trial assessed different treatment adjustment strategies in patients with early rheumatoid arthritis attaining (or not) stable low disease activity with adalimumab plus methotrexate or methotrexate monotherapy.\nMETHODS: This trial was done at 161 sites worldwide. Patients with early (&lt;1 year duration) rheumatoid arthritis naive to methotrexate were randomly allocated (by interactive voice response system, in a 1:1 ratio, block size four) to adalimumab (40 mg every other week) plus methotrexate (initiated at 7·5 mg/week, increased by 2·5 mg every 1-2 weeks to a maximum weekly dose of 20 mg by week 8) or placebo plus methotrexate for 26 weeks (period 1). Patients in the adalimumab plus methotrexate group who completed period 1 and achieved the stable low disease activity target (28-joint disease activity score with C-reactive protein [DAS28]&lt;3·2 at weeks 22 and 26) were randomised to adalimumab-continuation or adalimumab-withdrawal for an additional 52 weeks (period 2). Patients achieving the target with initial methotrexate continued methotrexate-monotherapy. Inadequate responders were offered adalimumab plus methotrexate. All patients and investigators were masked to treatment allocation in period 1. During period 2, treatment reallocation of patients who achieved the target was masked to patients and investigators; patients who did not achieve the target remained masked to original randomisation, but were aware of the subsequent assignment. The primary endpoint was a composite measure of DAS28 of less than 3·2 at week 78 and radiographic non-progression from baseline to week 78, compared between adalimumab-continuation and methotrexate-monotherapy. Adverse events were monitored throughout period 2. This trial is registered with ClinicalTrials.gov, number NCT00420927.\nFINDINGS: The study was done between Dec 28, 2006, and Aug 3, 2010. 1636 patients were assessed and 1032 were randomised in period 1 (515 to adalimumab plus methotrexate; 517 to placebo plus methotrexate). 466 patients in the adalimumab plus methotrexate group completed period 1; 207 achieved the stable low disease activity target, of whom 105 were rerandomised to adalimumab-continuation. 460 patients in the placebo plus methotrexate group completed period 1; 112 achieved the stable low disease activity target and continued methotrexate-monotherapy. 73 of 105 (70%) patients in the adalimumab-continuation group and 61 of 112 (54%) patients in the methotrexate-monotherapy group achieved the primary endpoint at week 78 (mean difference 15% [95% CI 2-28%], p=0·0225). Patients achieving the stable low disease activity target on adalimumab plus methotrexate who withdrew adalimumab mostly maintained their good responses. Overall, 706 of 926 patients in period 2 had an adverse event, of which 82 were deemed serious; however, distribution of adverse events did not differ between groups.\nINTERPRETATION: Treatment to a stable low disease activity target resulted in improved clinical, functional, and structural outcomes, with both adalimumab-continuation and methotrexate-monotherapy. However, a higher proportion of patients treated with initial adalimumab plus methotrexate achieved the low disease activity target compared with those initially treated with methotrexate alone. Outcomes were much the same whether adalimumab was continued or withdrawn in patients who initially responded to adalimumab plus methotrexate.\nFUNDING: AbbVie.","DOI":"10.1016/S0140-6736(13)61751-1","ISSN":"1474-547X","note":"PMID: 24168956","shortTitle":"Adjustment of therapy in rheumatoid arthritis on the basis of achievement of stable low disease activity with adalimumab plus methotrexate or methotrexate alone","journalAbbreviation":"Lancet","language":"ENG","author":[{"family":"Smolen","given":"Josef S."},{"family":"Emery","given":"Paul"},{"family":"Fleischmann","given":"Roy"},{"family":"Vollenhoven","given":"Ronald F.","non-dropping-particle":"van"},{"family":"Pavelka","given":"Karel"},{"family":"Durez","given":"Patrick"},{"family":"Guérette","given":"Benoît"},{"family":"Kupper","given":"Hartmut"},{"family":"Redden","given":"Laura"},{"family":"Arora","given":"Vipin"},{"family":"Kavanaugh","given":"Arthur"}],"issued":{"date-parts":[["2014",1,25]]}}}],"schema":"https://github.com/citation-style-language/schema/raw/master/csl-citation.json"} </w:instrText>
            </w:r>
            <w:r>
              <w:rPr>
                <w:rFonts w:eastAsia="Times New Roman" w:cs="Times New Roman"/>
                <w:sz w:val="28"/>
                <w:szCs w:val="28"/>
                <w:lang w:eastAsia="fr-FR"/>
              </w:rPr>
              <w:fldChar w:fldCharType="separate"/>
            </w:r>
            <w:r w:rsidR="004C64B1">
              <w:rPr>
                <w:rFonts w:cs="Calibri"/>
                <w:sz w:val="28"/>
              </w:rPr>
              <w:t>(20</w:t>
            </w:r>
            <w:r w:rsidRPr="006E6A5E">
              <w:rPr>
                <w:rFonts w:cs="Calibri"/>
                <w:sz w:val="28"/>
              </w:rPr>
              <w:t>)</w:t>
            </w:r>
            <w:r>
              <w:rPr>
                <w:rFonts w:eastAsia="Times New Roman" w:cs="Times New Roman"/>
                <w:sz w:val="28"/>
                <w:szCs w:val="28"/>
                <w:lang w:eastAsia="fr-FR"/>
              </w:rPr>
              <w:fldChar w:fldCharType="end"/>
            </w:r>
          </w:p>
        </w:tc>
        <w:tc>
          <w:tcPr>
            <w:tcW w:w="664"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00B7B8E1" w14:textId="77777777" w:rsidR="004D52B8" w:rsidRPr="00C673EB" w:rsidRDefault="004D52B8" w:rsidP="0079497F">
            <w:pPr>
              <w:pStyle w:val="Standard"/>
              <w:spacing w:after="0" w:line="240" w:lineRule="auto"/>
              <w:jc w:val="center"/>
            </w:pPr>
            <w:r>
              <w:t>L</w:t>
            </w:r>
          </w:p>
        </w:tc>
        <w:tc>
          <w:tcPr>
            <w:tcW w:w="496"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233C2E89" w14:textId="77777777" w:rsidR="004D52B8" w:rsidRPr="00C673EB" w:rsidRDefault="004D52B8" w:rsidP="0079497F">
            <w:pPr>
              <w:pStyle w:val="Standard"/>
              <w:spacing w:after="0" w:line="240" w:lineRule="auto"/>
              <w:jc w:val="center"/>
            </w:pPr>
            <w:r>
              <w:t>L</w:t>
            </w:r>
          </w:p>
        </w:tc>
        <w:tc>
          <w:tcPr>
            <w:tcW w:w="497"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56D20A59" w14:textId="77777777" w:rsidR="004D52B8" w:rsidRPr="00C673EB" w:rsidRDefault="004D52B8" w:rsidP="0079497F">
            <w:pPr>
              <w:pStyle w:val="Standard"/>
              <w:spacing w:after="0" w:line="240" w:lineRule="auto"/>
              <w:jc w:val="center"/>
            </w:pPr>
            <w:r>
              <w:t>L</w:t>
            </w:r>
          </w:p>
        </w:tc>
        <w:tc>
          <w:tcPr>
            <w:tcW w:w="496"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52E3CFBC"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c>
          <w:tcPr>
            <w:tcW w:w="497"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08A547E7"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c>
          <w:tcPr>
            <w:tcW w:w="445"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47C40BE9"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r>
      <w:tr w:rsidR="004D52B8" w:rsidRPr="00C673EB" w14:paraId="59EF7167" w14:textId="77777777" w:rsidTr="00C46145">
        <w:trPr>
          <w:trHeight w:val="375"/>
          <w:jc w:val="center"/>
        </w:trPr>
        <w:tc>
          <w:tcPr>
            <w:tcW w:w="479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B9D693A" w14:textId="708FA9A1" w:rsidR="004D52B8" w:rsidRPr="00C673EB" w:rsidRDefault="004D52B8" w:rsidP="0079497F">
            <w:pPr>
              <w:pStyle w:val="Standard"/>
              <w:spacing w:after="0" w:line="240" w:lineRule="auto"/>
            </w:pPr>
            <w:r w:rsidRPr="00C673EB">
              <w:rPr>
                <w:rFonts w:eastAsia="Times New Roman" w:cs="Times New Roman"/>
                <w:sz w:val="28"/>
                <w:szCs w:val="28"/>
                <w:lang w:eastAsia="fr-FR"/>
              </w:rPr>
              <w:t>DOSERA van</w:t>
            </w:r>
            <w:r>
              <w:rPr>
                <w:rFonts w:eastAsia="Times New Roman" w:cs="Times New Roman"/>
                <w:sz w:val="28"/>
                <w:szCs w:val="28"/>
                <w:lang w:eastAsia="fr-FR"/>
              </w:rPr>
              <w:t xml:space="preserve"> </w:t>
            </w:r>
            <w:r w:rsidRPr="00C673EB">
              <w:rPr>
                <w:rFonts w:eastAsia="Times New Roman" w:cs="Times New Roman"/>
                <w:sz w:val="28"/>
                <w:szCs w:val="28"/>
                <w:lang w:eastAsia="fr-FR"/>
              </w:rPr>
              <w:t>Vollenhoven ARD</w:t>
            </w:r>
            <w:r>
              <w:rPr>
                <w:rFonts w:eastAsia="Times New Roman" w:cs="Times New Roman"/>
                <w:sz w:val="28"/>
                <w:szCs w:val="28"/>
                <w:lang w:eastAsia="fr-FR"/>
              </w:rPr>
              <w:t xml:space="preserve"> </w:t>
            </w:r>
            <w:r w:rsidRPr="00C673EB">
              <w:rPr>
                <w:rFonts w:eastAsia="Times New Roman" w:cs="Times New Roman"/>
                <w:sz w:val="28"/>
                <w:szCs w:val="28"/>
                <w:lang w:eastAsia="fr-FR"/>
              </w:rPr>
              <w:t>2016</w:t>
            </w:r>
            <w:r>
              <w:rPr>
                <w:rFonts w:eastAsia="Times New Roman" w:cs="Times New Roman"/>
                <w:sz w:val="28"/>
                <w:szCs w:val="28"/>
                <w:lang w:eastAsia="fr-FR"/>
              </w:rPr>
              <w:t xml:space="preserve"> </w:t>
            </w:r>
            <w:r>
              <w:rPr>
                <w:rFonts w:eastAsia="Times New Roman" w:cs="Times New Roman"/>
                <w:sz w:val="28"/>
                <w:szCs w:val="28"/>
                <w:lang w:eastAsia="fr-FR"/>
              </w:rPr>
              <w:fldChar w:fldCharType="begin"/>
            </w:r>
            <w:r>
              <w:rPr>
                <w:rFonts w:eastAsia="Times New Roman" w:cs="Times New Roman"/>
                <w:sz w:val="28"/>
                <w:szCs w:val="28"/>
                <w:lang w:eastAsia="fr-FR"/>
              </w:rPr>
              <w:instrText xml:space="preserve"> ADDIN ZOTERO_ITEM CSL_CITATION {"citationID":"cuv3l364m","properties":{"formattedCitation":"(24)","plainCitation":"(24)"},"citationItems":[{"id":127,"uris":["http://zotero.org/users/local/lLXGDNac/items/9KFSSHFT"],"uri":["http://zotero.org/users/local/lLXGDNac/items/9KFSSHFT"],"itemData":{"id":127,"type":"article-journal","title":"Full dose, reduced dose or discontinuation of etanercept in rheumatoid arthritis","container-title":"Annals of the Rheumatic Diseases","page":"52-58","volume":"75","issue":"1","source":"PubMed","abstract":"BACKGROUND: The aim of the Dose Reduction or Discontinuation of Etanercept in Methotrexate-Treated Rheumatoid Arthritis Patients Who Have Achieved a Stable Low Disease Activity-State study was to investigate the effect of etanercept (ETN) dose maintenance, reduction or withdrawal on patients with rheumatoid arthritis (RA) who had already achieved stable low disease activity (LDA) on ETN 50 mg+methotrexate (MTX).\nMETHODS: Patients with RA (n=91) and stable LDA with ETN 50 mg once weekly (QW)+MTX were included. After 8 weeks with unchanged treatment, 73 patients were randomised in a double-blind design to ETN 50 mg QW+MTX (ETN50), ETN 25 mg QW+MTX (ETN25) or placebo QW+MTX (PBO) for 48 weeks. Patients who flared were declared failures and treated with open-label ETN50 until week 48. The primary outcome was the proportion of patients on ETN50 versus PBO who were non-failures after 48 weeks.\nRESULTS: The proportion of non-failure patients was significantly lower with ETN50 (52%; p=0.007) and ETN25 (44%; p=0.044) versus PBO (13%). Median time to failure was significantly shorter with PBO (6 weeks) compared with ETN50 (48 weeks; p=0.001) and ETN25 (36 weeks; p&lt;0.001). The majority of patients who flared regained LDA with open-label ETN50 quickly. Adverse events were consistent with the known side effect profiles of these medications.\nCONCLUSIONS: In patients with established RA who have achieved stable LDA on ETN50+MTX, continuing both is superior to PBO+MTX. Reduced dose ETN was also more effective than PBO in maintaining a favourable response, suggesting that a maintenance strategy with reduced dose ETN may be possible in a number of patients with established RA.\nTRIAL REGISTRATION NUMBER: NCT00858780.","DOI":"10.1136/annrheumdis-2014-205726","ISSN":"1468-2060","note":"PMID: 25873634\nPMCID: PMC4717401","journalAbbreviation":"Ann. Rheum. Dis.","language":"eng","author":[{"family":"Vollenhoven","given":"Ronald F.","non-dropping-particle":"van"},{"family":"Østergaard","given":"Mikkel"},{"family":"Leirisalo-Repo","given":"Marjatta"},{"family":"Uhlig","given":"Till"},{"family":"Jansson","given":"Marita"},{"family":"Larsson","given":"Esbjörn"},{"family":"Brock","given":"Fiona"},{"family":"Franck-Larsson","given":"Karin"}],"issued":{"date-parts":[["2016",1]]}}}],"schema":"https://github.com/citation-style-language/schema/raw/master/csl-citation.json"} </w:instrText>
            </w:r>
            <w:r>
              <w:rPr>
                <w:rFonts w:eastAsia="Times New Roman" w:cs="Times New Roman"/>
                <w:sz w:val="28"/>
                <w:szCs w:val="28"/>
                <w:lang w:eastAsia="fr-FR"/>
              </w:rPr>
              <w:fldChar w:fldCharType="separate"/>
            </w:r>
            <w:r w:rsidR="004C64B1">
              <w:rPr>
                <w:rFonts w:cs="Calibri"/>
                <w:sz w:val="28"/>
              </w:rPr>
              <w:t>(25</w:t>
            </w:r>
            <w:r w:rsidRPr="006E6A5E">
              <w:rPr>
                <w:rFonts w:cs="Calibri"/>
                <w:sz w:val="28"/>
              </w:rPr>
              <w:t>)</w:t>
            </w:r>
            <w:r>
              <w:rPr>
                <w:rFonts w:eastAsia="Times New Roman" w:cs="Times New Roman"/>
                <w:sz w:val="28"/>
                <w:szCs w:val="28"/>
                <w:lang w:eastAsia="fr-FR"/>
              </w:rPr>
              <w:fldChar w:fldCharType="end"/>
            </w:r>
          </w:p>
        </w:tc>
        <w:tc>
          <w:tcPr>
            <w:tcW w:w="664"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40DAC4F7" w14:textId="7AA2545C"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c>
          <w:tcPr>
            <w:tcW w:w="496"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23C30AFA" w14:textId="48A41C2F"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c>
          <w:tcPr>
            <w:tcW w:w="497"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0C88EB18" w14:textId="77777777" w:rsidR="004D52B8" w:rsidRPr="00C673EB" w:rsidRDefault="004D52B8" w:rsidP="0079497F">
            <w:pPr>
              <w:pStyle w:val="Standard"/>
              <w:spacing w:after="0" w:line="240" w:lineRule="auto"/>
              <w:jc w:val="center"/>
            </w:pPr>
            <w:r>
              <w:t>L</w:t>
            </w:r>
          </w:p>
        </w:tc>
        <w:tc>
          <w:tcPr>
            <w:tcW w:w="496"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7BAFBC20" w14:textId="77777777" w:rsidR="004D52B8" w:rsidRPr="00C673EB" w:rsidRDefault="004D52B8" w:rsidP="0079497F">
            <w:pPr>
              <w:pStyle w:val="Standard"/>
              <w:spacing w:after="0" w:line="240" w:lineRule="auto"/>
              <w:jc w:val="center"/>
            </w:pPr>
            <w:r>
              <w:t>L</w:t>
            </w:r>
          </w:p>
        </w:tc>
        <w:tc>
          <w:tcPr>
            <w:tcW w:w="497"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1FD1119C" w14:textId="77777777" w:rsidR="004D52B8" w:rsidRPr="00C673EB" w:rsidRDefault="004D52B8" w:rsidP="0079497F">
            <w:pPr>
              <w:pStyle w:val="Standard"/>
              <w:spacing w:after="0" w:line="240" w:lineRule="auto"/>
              <w:jc w:val="center"/>
            </w:pPr>
            <w:r>
              <w:t>L</w:t>
            </w:r>
          </w:p>
        </w:tc>
        <w:tc>
          <w:tcPr>
            <w:tcW w:w="445"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329D5C6C"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r>
      <w:tr w:rsidR="004D52B8" w:rsidRPr="003D48C6" w14:paraId="65D711C2" w14:textId="77777777" w:rsidTr="00C46145">
        <w:trPr>
          <w:trHeight w:val="375"/>
          <w:jc w:val="center"/>
        </w:trPr>
        <w:tc>
          <w:tcPr>
            <w:tcW w:w="479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1DE51E9" w14:textId="48E12E69" w:rsidR="004D52B8" w:rsidRPr="00C673EB" w:rsidRDefault="004D52B8" w:rsidP="0079497F">
            <w:pPr>
              <w:pStyle w:val="Standard"/>
              <w:spacing w:after="0" w:line="240" w:lineRule="auto"/>
            </w:pPr>
            <w:r w:rsidRPr="00C673EB">
              <w:rPr>
                <w:rFonts w:eastAsia="Times New Roman" w:cs="Times New Roman"/>
                <w:sz w:val="28"/>
                <w:szCs w:val="28"/>
                <w:lang w:eastAsia="fr-FR"/>
              </w:rPr>
              <w:t xml:space="preserve">PRESERVE </w:t>
            </w:r>
            <w:proofErr w:type="spellStart"/>
            <w:r w:rsidRPr="00C673EB">
              <w:rPr>
                <w:rFonts w:eastAsia="Times New Roman" w:cs="Times New Roman"/>
                <w:sz w:val="28"/>
                <w:szCs w:val="28"/>
                <w:lang w:eastAsia="fr-FR"/>
              </w:rPr>
              <w:t>Smolen</w:t>
            </w:r>
            <w:proofErr w:type="spellEnd"/>
            <w:r w:rsidRPr="00C673EB">
              <w:rPr>
                <w:rFonts w:eastAsia="Times New Roman" w:cs="Times New Roman"/>
                <w:sz w:val="28"/>
                <w:szCs w:val="28"/>
                <w:lang w:eastAsia="fr-FR"/>
              </w:rPr>
              <w:t xml:space="preserve"> Lancet 2013</w:t>
            </w:r>
            <w:r>
              <w:rPr>
                <w:rFonts w:eastAsia="Times New Roman" w:cs="Times New Roman"/>
                <w:sz w:val="28"/>
                <w:szCs w:val="28"/>
                <w:lang w:eastAsia="fr-FR"/>
              </w:rPr>
              <w:t xml:space="preserve"> </w:t>
            </w:r>
            <w:r>
              <w:rPr>
                <w:rFonts w:eastAsia="Times New Roman" w:cs="Times New Roman"/>
                <w:sz w:val="28"/>
                <w:szCs w:val="28"/>
                <w:lang w:eastAsia="fr-FR"/>
              </w:rPr>
              <w:fldChar w:fldCharType="begin"/>
            </w:r>
            <w:r>
              <w:rPr>
                <w:rFonts w:eastAsia="Times New Roman" w:cs="Times New Roman"/>
                <w:sz w:val="28"/>
                <w:szCs w:val="28"/>
                <w:lang w:eastAsia="fr-FR"/>
              </w:rPr>
              <w:instrText xml:space="preserve"> ADDIN ZOTERO_ITEM CSL_CITATION {"citationID":"28f90pcl6n","properties":{"formattedCitation":"(25)","plainCitation":"(25)"},"citationItems":[{"id":234,"uris":["http://zotero.org/users/local/lLXGDNac/items/U7744H3D"],"uri":["http://zotero.org/users/local/lLXGDNac/items/U7744H3D"],"itemData":{"id":234,"type":"article-journal","title":"Maintenance, reduction, or withdrawal of etanercept after treatment with etanercept and methotrexate in patients with moderate rheumatoid arthritis (PRESERVE): a randomised controlled trial","container-title":"Lancet (London, England)","page":"918-929","volume":"381","issue":"9870","source":"PubMed","abstract":"BACKGROUND: Clinical remission and low disease activity are essential treatment targets in patients with rheumatoid arthritis. Although moderately active rheumatoid arthritis is common, treatment effects in moderate disease have not been well studied. Additionally, optimum use of biologics needs further investigation, including the use of induction, maintenance, and withdrawal treatment strategies. The aim of the PRESERVE trial was to assess whether low disease activity would be sustained with reduced doses or withdrawal of etanercept in patients with moderately active disease.\nMETHODS: In a randomised controlled trial, patients aged between 18 and 70 years with moderately active rheumatoid arthritis (disease activity score in 28 joints [DAS28] &gt;3.2 and ≤5.1) despite treatment with methotrexate were enrolled at 80 centres in Europe, Latin America, Asia, and Australia between March 6, 2008, and Sept 9, 2009. To be eligible, patients had to have been receiving 15-25 mg of methotrexate every week for at least 8 weeks. In an open-label period of 36 weeks, all patients were given 50 mg etanercept plus methotrexate every week. To be eligible for a subsequent double-blind period of 52 weeks, participants had to have achieved sustained low disease activity. These patients were randomly assigned (1:1:1) by an interactive voice-response system to one of three treatment groups: 50 mg etanercept plus methotrexate, 25 mg etanercept plus methotrexate, or placebo plus methotrexate. Patients were stratified in blocks of three by DAS28 response (low disease activity or remission) at week 36. Patients, investigators, data analysts, and study staff were all masked to treatment allocation. The primary endpoint was the proportion of patients with low disease activity at week 88 in the groups given 50 mg etanercept or placebo in the double-blind period. A conditional primary endpoint was the proportion of patients receiving 25 mg etanercept who achieved low disease activity. Modified intention-to-treat populations were used for analyses. This trial is registered with ClinicalTrials.gov, number NCT00565409.\nFINDINGS: 604 (72.4%) of 834 enrolled patients were eligible for the double-blind period, of whom 202 were assigned to 50 mg etanercept plus methotrexate, 202 to 25 mg etanercept plus methotrexate, and 200 to placebo plus methotrexate. At week 88, 166 (82.6%) of 201 patients who had received at least one dose of 50 mg etanercept and one or more DAS28 evaluations had low disease activity, compared with 84 (42.6%) of 197 who had received placebo (mean difference 40.8%, 95% CI 32.5-49.1%; p&lt;0.0001). Additionally, 159 (79.1%) of 201 patients given 25 mg etanercept had low disease activity at week 88 (mean difference from placebo 35.9%, 27.0-44.8%; p&lt;0.0001).\nINTERPRETATION: Conventional or reduced doses of etanercept with methotrexate in patients with moderately active rheumatoid arthritis more effectively maintain low disease activity than does methotrexate alone after withdrawal of etanercept.\nFUNDING: Pfizer.","DOI":"10.1016/S0140-6736(12)61811-X","ISSN":"1474-547X","note":"PMID: 23332236","shortTitle":"Maintenance, reduction, or withdrawal of etanercept after treatment with etanercept and methotrexate in patients with moderate rheumatoid arthritis (PRESERVE)","journalAbbreviation":"Lancet","language":"ENG","author":[{"family":"Smolen","given":"Josef S."},{"family":"Nash","given":"Peter"},{"family":"Durez","given":"Patrick"},{"family":"Hall","given":"Stephen"},{"family":"Ilivanova","given":"Elena"},{"family":"Irazoque-Palazuelos","given":"Fedra"},{"family":"Miranda","given":"Pedro"},{"family":"Park","given":"Min-Chan"},{"family":"Pavelka","given":"Karel"},{"family":"Pedersen","given":"Ronald"},{"family":"Szumski","given":"Annette"},{"family":"Hammond","given":"Constance"},{"family":"Koenig","given":"Andrew S."},{"family":"Vlahos","given":"Bonnie"}],"issued":{"date-parts":[["2013",3,16]]}}}],"schema":"https://github.com/citation-style-language/schema/raw/master/csl-citation.json"} </w:instrText>
            </w:r>
            <w:r>
              <w:rPr>
                <w:rFonts w:eastAsia="Times New Roman" w:cs="Times New Roman"/>
                <w:sz w:val="28"/>
                <w:szCs w:val="28"/>
                <w:lang w:eastAsia="fr-FR"/>
              </w:rPr>
              <w:fldChar w:fldCharType="separate"/>
            </w:r>
            <w:r w:rsidR="004C64B1">
              <w:rPr>
                <w:rFonts w:cs="Calibri"/>
                <w:sz w:val="28"/>
              </w:rPr>
              <w:t>(21</w:t>
            </w:r>
            <w:r w:rsidRPr="006E6A5E">
              <w:rPr>
                <w:rFonts w:cs="Calibri"/>
                <w:sz w:val="28"/>
              </w:rPr>
              <w:t>)</w:t>
            </w:r>
            <w:r>
              <w:rPr>
                <w:rFonts w:eastAsia="Times New Roman" w:cs="Times New Roman"/>
                <w:sz w:val="28"/>
                <w:szCs w:val="28"/>
                <w:lang w:eastAsia="fr-FR"/>
              </w:rPr>
              <w:fldChar w:fldCharType="end"/>
            </w:r>
          </w:p>
        </w:tc>
        <w:tc>
          <w:tcPr>
            <w:tcW w:w="664"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58F93B26"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c>
          <w:tcPr>
            <w:tcW w:w="496"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6C5F0309"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c>
          <w:tcPr>
            <w:tcW w:w="497"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14044F22"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c>
          <w:tcPr>
            <w:tcW w:w="496"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045C7D55" w14:textId="1A7607ED"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c>
          <w:tcPr>
            <w:tcW w:w="497"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6B40DF46"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c>
          <w:tcPr>
            <w:tcW w:w="445"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32C25F84"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r>
      <w:tr w:rsidR="004D52B8" w:rsidRPr="003D48C6" w14:paraId="38177FA6" w14:textId="77777777" w:rsidTr="00C46145">
        <w:trPr>
          <w:trHeight w:val="375"/>
          <w:jc w:val="center"/>
        </w:trPr>
        <w:tc>
          <w:tcPr>
            <w:tcW w:w="479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06D13245" w14:textId="09D8F304" w:rsidR="004D52B8" w:rsidRPr="00C673EB" w:rsidRDefault="004D52B8" w:rsidP="0079497F">
            <w:pPr>
              <w:pStyle w:val="Standard"/>
              <w:spacing w:after="0" w:line="240" w:lineRule="auto"/>
            </w:pPr>
            <w:r w:rsidRPr="00C673EB">
              <w:rPr>
                <w:rFonts w:eastAsia="Times New Roman" w:cs="Times New Roman"/>
                <w:sz w:val="28"/>
                <w:szCs w:val="28"/>
                <w:lang w:eastAsia="fr-FR"/>
              </w:rPr>
              <w:t>DRESS van</w:t>
            </w:r>
            <w:r>
              <w:rPr>
                <w:rFonts w:eastAsia="Times New Roman" w:cs="Times New Roman"/>
                <w:sz w:val="28"/>
                <w:szCs w:val="28"/>
                <w:lang w:eastAsia="fr-FR"/>
              </w:rPr>
              <w:t xml:space="preserve"> </w:t>
            </w:r>
            <w:proofErr w:type="spellStart"/>
            <w:r w:rsidRPr="00C673EB">
              <w:rPr>
                <w:rFonts w:eastAsia="Times New Roman" w:cs="Times New Roman"/>
                <w:sz w:val="28"/>
                <w:szCs w:val="28"/>
                <w:lang w:eastAsia="fr-FR"/>
              </w:rPr>
              <w:t>Herwaarden</w:t>
            </w:r>
            <w:proofErr w:type="spellEnd"/>
            <w:r w:rsidRPr="00C673EB">
              <w:rPr>
                <w:rFonts w:eastAsia="Times New Roman" w:cs="Times New Roman"/>
                <w:sz w:val="28"/>
                <w:szCs w:val="28"/>
                <w:lang w:eastAsia="fr-FR"/>
              </w:rPr>
              <w:t xml:space="preserve"> BMJ</w:t>
            </w:r>
            <w:r>
              <w:rPr>
                <w:rFonts w:eastAsia="Times New Roman" w:cs="Times New Roman"/>
                <w:sz w:val="28"/>
                <w:szCs w:val="28"/>
                <w:lang w:eastAsia="fr-FR"/>
              </w:rPr>
              <w:t xml:space="preserve"> </w:t>
            </w:r>
            <w:r w:rsidRPr="00C673EB">
              <w:rPr>
                <w:rFonts w:eastAsia="Times New Roman" w:cs="Times New Roman"/>
                <w:sz w:val="28"/>
                <w:szCs w:val="28"/>
                <w:lang w:eastAsia="fr-FR"/>
              </w:rPr>
              <w:t>2015</w:t>
            </w:r>
            <w:r>
              <w:rPr>
                <w:rFonts w:eastAsia="Times New Roman" w:cs="Times New Roman"/>
                <w:sz w:val="28"/>
                <w:szCs w:val="28"/>
                <w:lang w:eastAsia="fr-FR"/>
              </w:rPr>
              <w:t xml:space="preserve"> </w:t>
            </w:r>
            <w:r>
              <w:rPr>
                <w:rFonts w:eastAsia="Times New Roman" w:cs="Times New Roman"/>
                <w:sz w:val="28"/>
                <w:szCs w:val="28"/>
                <w:lang w:eastAsia="fr-FR"/>
              </w:rPr>
              <w:fldChar w:fldCharType="begin"/>
            </w:r>
            <w:r>
              <w:rPr>
                <w:rFonts w:eastAsia="Times New Roman" w:cs="Times New Roman"/>
                <w:sz w:val="28"/>
                <w:szCs w:val="28"/>
                <w:lang w:eastAsia="fr-FR"/>
              </w:rPr>
              <w:instrText xml:space="preserve"> ADDIN ZOTERO_ITEM CSL_CITATION {"citationID":"1ch8i60h4r","properties":{"formattedCitation":"(19)","plainCitation":"(19)"},"citationItems":[{"id":106,"uris":["http://zotero.org/users/local/lLXGDNac/items/PRR8GMG9"],"uri":["http://zotero.org/users/local/lLXGDNac/items/PRR8GMG9"],"itemData":{"id":106,"type":"article-journal","title":"Disease activity guided dose reduction and withdrawal of adalimumab or etanercept compared with usual care in rheumatoid arthritis: open label, randomised controlled, non-inferiority trial","container-title":"BMJ (Clinical research ed.)","page":"h1389","volume":"350","source":"PubMed","abstract":"OBJECTIVE: To evaluate whether a disease activity guided strategy of dose reduction of two tumour necrosis factor (TNF) inhibitors, adalimumab or etanercept, is non-inferior in maintaining disease control in patients with rheumatoid arthritis compared with usual care.\nDESIGN: Randomised controlled, open label, non-inferiority strategy trial.\nSETTING: Two rheumatology outpatient clinics in the Netherlands, from December 2011 to May 2014.\nPARTICIPANTS: 180 patients with rheumatoid arthritis and low disease activity using adalimumab or etanercept; 121 allocated to the dose reduction strategy, 59 to usual care.\nINTERVENTIONS: Disease activity guided dose reduction (advice to stepwise increase the injection interval every three months, until flare of disease activity or discontinuation) or usual care (no dose reduction advice). Flare was defined as increase in DAS28-CRP (a composite score measuring disease activity) greater than 1.2, or increase greater than 0.6 and current score of at least 3.2. In the case of flare, TNF inhibitor use was restarted or escalated.\nMAIN OUTCOME MEASURES: Difference in proportions of patients with major flare (DAS28-CRP based flare longer than three months) between the two groups at 18 months, compared against a non-inferiority margin of 20%. Secondary outcomes included TNF inhibitor use at study end, functioning, quality of life, radiographic progression, and adverse events.\nRESULTS: Dose reduction of adalimumab or etanercept was non-inferior to usual care (proportion of patients with major flare at 18 months, 12% v 10%; difference 2%, 95% confidence interval -12% to 12%). In the dose reduction group, TNF inhibitor use could successfully be stopped in 20% (95% confidence interval 13% to 28%), the injection interval successfully increased in 43% (34% to 53%), but no dose reduction was possible in 37% (28% to 46%). Functional status, quality of life, relevant radiographic progression, and adverse events did not differ between the groups, although short lived flares (73% v 27%) and minimal radiographic progression (32% v 15%) were more frequent in dose reduction than usual care.\nCONCLUSIONS: A disease activity guided, dose reduction strategy of adalimumab or etanercept to treat rheumatoid arthritis is non-inferior to usual care with regard to major flaring, while resulting in the successful dose reduction or stopping in two thirds of patients.Trial registration Dutch trial register (www.trialregister.nl), NTR 3216.","ISSN":"1756-1833","note":"PMID: 25858265\nPMCID: PMC4391970","shortTitle":"Disease activity guided dose reduction and withdrawal of adalimumab or etanercept compared with usual care in rheumatoid arthritis","journalAbbreviation":"BMJ","language":"eng","author":[{"family":"Herwaarden","given":"Noortje","non-dropping-particle":"van"},{"family":"Maas","given":"Aatke","non-dropping-particle":"van der"},{"family":"Minten","given":"Michiel J. M."},{"family":"Hoogen","given":"Frank H. J.","non-dropping-particle":"van den"},{"family":"Kievit","given":"Wietske"},{"family":"Vollenhoven","given":"Ronald F.","non-dropping-particle":"van"},{"family":"Bijlsma","given":"Johannes W. J."},{"family":"Bemt","given":"Bart J. F.","non-dropping-particle":"van den"},{"family":"Broeder","given":"Alfons A.","non-dropping-particle":"den"}],"issued":{"date-parts":[["2015"]]}}}],"schema":"https://github.com/citation-style-language/schema/raw/master/csl-citation.json"} </w:instrText>
            </w:r>
            <w:r>
              <w:rPr>
                <w:rFonts w:eastAsia="Times New Roman" w:cs="Times New Roman"/>
                <w:sz w:val="28"/>
                <w:szCs w:val="28"/>
                <w:lang w:eastAsia="fr-FR"/>
              </w:rPr>
              <w:fldChar w:fldCharType="separate"/>
            </w:r>
            <w:r w:rsidR="004C64B1">
              <w:rPr>
                <w:rFonts w:cs="Calibri"/>
                <w:sz w:val="28"/>
              </w:rPr>
              <w:t>(24</w:t>
            </w:r>
            <w:r w:rsidRPr="006E6A5E">
              <w:rPr>
                <w:rFonts w:cs="Calibri"/>
                <w:sz w:val="28"/>
              </w:rPr>
              <w:t>)</w:t>
            </w:r>
            <w:r>
              <w:rPr>
                <w:rFonts w:eastAsia="Times New Roman" w:cs="Times New Roman"/>
                <w:sz w:val="28"/>
                <w:szCs w:val="28"/>
                <w:lang w:eastAsia="fr-FR"/>
              </w:rPr>
              <w:fldChar w:fldCharType="end"/>
            </w:r>
          </w:p>
        </w:tc>
        <w:tc>
          <w:tcPr>
            <w:tcW w:w="664"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22823F09"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c>
          <w:tcPr>
            <w:tcW w:w="496"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79B8F80F"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c>
          <w:tcPr>
            <w:tcW w:w="497" w:type="dxa"/>
            <w:tcBorders>
              <w:bottom w:val="single" w:sz="4" w:space="0" w:color="00000A"/>
              <w:right w:val="single" w:sz="4" w:space="0" w:color="00000A"/>
            </w:tcBorders>
            <w:shd w:val="clear" w:color="auto" w:fill="FF0000"/>
            <w:tcMar>
              <w:top w:w="0" w:type="dxa"/>
              <w:left w:w="70" w:type="dxa"/>
              <w:bottom w:w="0" w:type="dxa"/>
              <w:right w:w="70" w:type="dxa"/>
            </w:tcMar>
            <w:vAlign w:val="center"/>
          </w:tcPr>
          <w:p w14:paraId="481155B4"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H</w:t>
            </w:r>
          </w:p>
        </w:tc>
        <w:tc>
          <w:tcPr>
            <w:tcW w:w="496"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5C11B6C7"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c>
          <w:tcPr>
            <w:tcW w:w="497"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2E9DC8B6" w14:textId="77777777" w:rsidR="004D52B8" w:rsidRPr="00C673EB" w:rsidRDefault="004D52B8" w:rsidP="0079497F">
            <w:pPr>
              <w:pStyle w:val="Standard"/>
              <w:spacing w:after="0" w:line="240" w:lineRule="auto"/>
              <w:jc w:val="center"/>
            </w:pPr>
            <w:r>
              <w:t>L</w:t>
            </w:r>
          </w:p>
        </w:tc>
        <w:tc>
          <w:tcPr>
            <w:tcW w:w="445"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7629AE7A"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r>
      <w:tr w:rsidR="004D52B8" w:rsidRPr="00C673EB" w14:paraId="40CC2737" w14:textId="77777777" w:rsidTr="00C46145">
        <w:trPr>
          <w:trHeight w:val="375"/>
          <w:jc w:val="center"/>
        </w:trPr>
        <w:tc>
          <w:tcPr>
            <w:tcW w:w="479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7888CA8F" w14:textId="4802F118" w:rsidR="004D52B8" w:rsidRPr="00C673EB" w:rsidRDefault="004D52B8" w:rsidP="0079497F">
            <w:pPr>
              <w:pStyle w:val="Standard"/>
              <w:spacing w:after="0" w:line="240" w:lineRule="auto"/>
            </w:pPr>
            <w:r w:rsidRPr="00C673EB">
              <w:rPr>
                <w:rFonts w:eastAsia="Times New Roman" w:cs="Times New Roman"/>
                <w:sz w:val="28"/>
                <w:szCs w:val="28"/>
                <w:lang w:eastAsia="fr-FR"/>
              </w:rPr>
              <w:t xml:space="preserve">POET </w:t>
            </w:r>
            <w:proofErr w:type="spellStart"/>
            <w:r w:rsidR="004C64B1">
              <w:rPr>
                <w:rFonts w:eastAsia="Times New Roman" w:cs="Times New Roman"/>
                <w:sz w:val="28"/>
                <w:szCs w:val="28"/>
                <w:lang w:eastAsia="fr-FR"/>
              </w:rPr>
              <w:t>Ghiti</w:t>
            </w:r>
            <w:proofErr w:type="spellEnd"/>
            <w:r w:rsidR="004C64B1">
              <w:rPr>
                <w:rFonts w:eastAsia="Times New Roman" w:cs="Times New Roman"/>
                <w:sz w:val="28"/>
                <w:szCs w:val="28"/>
                <w:lang w:eastAsia="fr-FR"/>
              </w:rPr>
              <w:t xml:space="preserve"> </w:t>
            </w:r>
            <w:r w:rsidRPr="00C673EB">
              <w:rPr>
                <w:rFonts w:eastAsia="Times New Roman" w:cs="Times New Roman"/>
                <w:sz w:val="28"/>
                <w:szCs w:val="28"/>
                <w:lang w:eastAsia="fr-FR"/>
              </w:rPr>
              <w:t xml:space="preserve">Moghadam </w:t>
            </w:r>
            <w:r>
              <w:rPr>
                <w:rFonts w:eastAsia="Times New Roman" w:cs="Times New Roman"/>
                <w:sz w:val="28"/>
                <w:szCs w:val="28"/>
                <w:lang w:eastAsia="fr-FR"/>
              </w:rPr>
              <w:t>A</w:t>
            </w:r>
            <w:r w:rsidRPr="00C673EB">
              <w:rPr>
                <w:rFonts w:eastAsia="Times New Roman" w:cs="Times New Roman"/>
                <w:sz w:val="28"/>
                <w:szCs w:val="28"/>
                <w:lang w:eastAsia="fr-FR"/>
              </w:rPr>
              <w:t xml:space="preserve">rthritis </w:t>
            </w:r>
            <w:proofErr w:type="spellStart"/>
            <w:r>
              <w:rPr>
                <w:rFonts w:eastAsia="Times New Roman" w:cs="Times New Roman"/>
                <w:sz w:val="28"/>
                <w:szCs w:val="28"/>
                <w:lang w:eastAsia="fr-FR"/>
              </w:rPr>
              <w:t>R</w:t>
            </w:r>
            <w:r w:rsidRPr="00C673EB">
              <w:rPr>
                <w:rFonts w:eastAsia="Times New Roman" w:cs="Times New Roman"/>
                <w:sz w:val="28"/>
                <w:szCs w:val="28"/>
                <w:lang w:eastAsia="fr-FR"/>
              </w:rPr>
              <w:t>heum</w:t>
            </w:r>
            <w:r>
              <w:rPr>
                <w:rFonts w:eastAsia="Times New Roman" w:cs="Times New Roman"/>
                <w:sz w:val="28"/>
                <w:szCs w:val="28"/>
                <w:lang w:eastAsia="fr-FR"/>
              </w:rPr>
              <w:t>atol</w:t>
            </w:r>
            <w:proofErr w:type="spellEnd"/>
            <w:r w:rsidRPr="00C673EB">
              <w:rPr>
                <w:rFonts w:eastAsia="Times New Roman" w:cs="Times New Roman"/>
                <w:sz w:val="28"/>
                <w:szCs w:val="28"/>
                <w:lang w:eastAsia="fr-FR"/>
              </w:rPr>
              <w:t xml:space="preserve"> 2016</w:t>
            </w:r>
            <w:r>
              <w:rPr>
                <w:rFonts w:eastAsia="Times New Roman" w:cs="Times New Roman"/>
                <w:sz w:val="28"/>
                <w:szCs w:val="28"/>
                <w:lang w:eastAsia="fr-FR"/>
              </w:rPr>
              <w:t xml:space="preserve"> </w:t>
            </w:r>
            <w:r>
              <w:rPr>
                <w:rFonts w:eastAsia="Times New Roman" w:cs="Times New Roman"/>
                <w:sz w:val="28"/>
                <w:szCs w:val="28"/>
                <w:lang w:eastAsia="fr-FR"/>
              </w:rPr>
              <w:fldChar w:fldCharType="begin"/>
            </w:r>
            <w:r>
              <w:rPr>
                <w:rFonts w:eastAsia="Times New Roman" w:cs="Times New Roman"/>
                <w:sz w:val="28"/>
                <w:szCs w:val="28"/>
                <w:lang w:eastAsia="fr-FR"/>
              </w:rPr>
              <w:instrText xml:space="preserve"> ADDIN ZOTERO_ITEM CSL_CITATION {"citationID":"10a962eprv","properties":{"formattedCitation":"(26)","plainCitation":"(26)"},"citationItems":[{"id":151,"uris":["http://zotero.org/users/local/lLXGDNac/items/JUND7EXJ"],"uri":["http://zotero.org/users/local/lLXGDNac/items/JUND7EXJ"],"itemData":{"id":151,"type":"article-journal","title":"Stopping Tumor Necrosis Factor Inhibitor Treatment in Patients With Established Rheumatoid Arthritis in Remission or With Stable Low Disease Activity: A Pragmatic Multicenter, Open-Label Randomized Controlled Trial","container-title":"Arthritis &amp; Rheumatology (Hoboken, N.J.)","page":"1810-1817","volume":"68","issue":"8","source":"PubMed","abstract":"OBJECTIVE: Tumor necrosis factor inhibitor (TNFi) biologic agents are an effective treatment for rheumatoid arthritis (RA). It is unclear whether patients whose disease is in remission or who have stable low disease activity need to continue use of TNFi or can stop this treatment. This study was undertaken to assess whether patients with established RA who are in remission or have stable low disease activity can effectively and safely stop their TNFi therapy.\nMETHODS: The study was designed as a pragmatic multicenter, open-label randomized controlled trial. Inclusion criteria were a diagnosis of RA according to the American College of Rheumatology 1987 classification criteria, as well as use of a TNFi for at least 1 year along with a stable dose of disease-modifying antirheumatic drugs and a Disease Activity Score in 28 joints (DAS28) of &lt;3.2 over the 6 months preceding trial inclusion. Patients were randomized in a 2:1 ratio to either stop or continue treatment with their current TNFi. Flare was defined as a DAS28 of ≥3.2 during the 12-month follow-up period and an increase in score of ≥0.6 compared to the baseline DAS28.\nRESULTS: In total, 531 patients were allocated to the stop group and 286 to the TNFi continuation group. At 12 months, more patients had experienced a flare in the stop group (272 [51.2%] of 531) than in the continuation group (52 [18.2%] of 286; P &lt; 0.001). The hazard ratio for occurrence of a flare after stopping TNFi was 3.50 (95% confidence interval [95% CI] 2.60-4.72). The mean DAS28 in the stop group was significantly higher during the follow-up period compared to that in the continuation group (P &lt; 0.001). Of the 195 patients who restarted TNFi treatment after experiencing a flare and within 26 weeks after stopping, 165 (84.6%) had regained a DAS28 of &lt;3.2 by 6 months later, and the median time to a regained DAS28 of &lt;3.2 was 12 weeks (95% Cl 10.7-13.3). There were more hospitalizations in the stop group than in the continuation group (6.4% versus 2.4%).\nCONCLUSION: Stopping TNFi treatment results in substantially more flares than does continuation of TNFi in patients with established RA in remission or with stable low disease activity.","DOI":"10.1002/art.39626","ISSN":"2326-5205","note":"PMID: 26866428","shortTitle":"Stopping Tumor Necrosis Factor Inhibitor Treatment in Patients With Established Rheumatoid Arthritis in Remission or With Stable Low Disease Activity","language":"eng","author":[{"family":"Ghiti Moghadam","given":"Marjan"},{"family":"Vonkeman","given":"Harald E."},{"family":"Ten Klooster","given":"Peter M."},{"family":"Tekstra","given":"Janneke"},{"family":"Schaardenburg","given":"Dirkjan","non-dropping-particle":"van"},{"family":"Starmans-Kool","given":"Mirian"},{"family":"Brouwer","given":"Elisabeth"},{"family":"Bos","given":"Reinhard"},{"family":"Lems","given":"Willem F."},{"family":"Colin","given":"Edgar M."},{"family":"Allaart","given":"Cornelia F."},{"family":"Meek","given":"Inger L."},{"family":"Landewé","given":"Robert"},{"family":"Bernelot Moens","given":"Hein J."},{"family":"Riel","given":"Piet L. C. M.","non-dropping-particle":"van"},{"family":"Laar","given":"Mart A. F. J.","non-dropping-particle":"van de"},{"family":"Jansen","given":"Tim L."},{"literal":"Dutch National POET Collaboration"}],"issued":{"date-parts":[["2016",8]]}}}],"schema":"https://github.com/citation-style-language/schema/raw/master/csl-citation.json"} </w:instrText>
            </w:r>
            <w:r>
              <w:rPr>
                <w:rFonts w:eastAsia="Times New Roman" w:cs="Times New Roman"/>
                <w:sz w:val="28"/>
                <w:szCs w:val="28"/>
                <w:lang w:eastAsia="fr-FR"/>
              </w:rPr>
              <w:fldChar w:fldCharType="separate"/>
            </w:r>
            <w:r w:rsidR="004C64B1">
              <w:rPr>
                <w:rFonts w:cs="Calibri"/>
                <w:sz w:val="28"/>
              </w:rPr>
              <w:t>(18</w:t>
            </w:r>
            <w:r w:rsidRPr="006E6A5E">
              <w:rPr>
                <w:rFonts w:cs="Calibri"/>
                <w:sz w:val="28"/>
              </w:rPr>
              <w:t>)</w:t>
            </w:r>
            <w:r>
              <w:rPr>
                <w:rFonts w:eastAsia="Times New Roman" w:cs="Times New Roman"/>
                <w:sz w:val="28"/>
                <w:szCs w:val="28"/>
                <w:lang w:eastAsia="fr-FR"/>
              </w:rPr>
              <w:fldChar w:fldCharType="end"/>
            </w:r>
          </w:p>
        </w:tc>
        <w:tc>
          <w:tcPr>
            <w:tcW w:w="664"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32CFC630"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c>
          <w:tcPr>
            <w:tcW w:w="496" w:type="dxa"/>
            <w:tcBorders>
              <w:bottom w:val="single" w:sz="4" w:space="0" w:color="auto"/>
            </w:tcBorders>
            <w:shd w:val="clear" w:color="auto" w:fill="92D050"/>
            <w:tcMar>
              <w:top w:w="0" w:type="dxa"/>
              <w:left w:w="70" w:type="dxa"/>
              <w:bottom w:w="0" w:type="dxa"/>
              <w:right w:w="70" w:type="dxa"/>
            </w:tcMar>
            <w:vAlign w:val="center"/>
          </w:tcPr>
          <w:p w14:paraId="67F2EB30" w14:textId="77777777" w:rsidR="004D52B8" w:rsidRPr="00C673EB" w:rsidRDefault="004D52B8" w:rsidP="0079497F">
            <w:pPr>
              <w:pStyle w:val="Standard"/>
              <w:spacing w:after="0" w:line="240" w:lineRule="auto"/>
              <w:jc w:val="center"/>
            </w:pPr>
            <w:r>
              <w:rPr>
                <w:rFonts w:eastAsia="Times New Roman" w:cs="Times New Roman"/>
                <w:color w:val="000000"/>
                <w:sz w:val="24"/>
                <w:szCs w:val="24"/>
                <w:lang w:eastAsia="fr-FR"/>
              </w:rPr>
              <w:t>L</w:t>
            </w:r>
          </w:p>
        </w:tc>
        <w:tc>
          <w:tcPr>
            <w:tcW w:w="497" w:type="dxa"/>
            <w:tcBorders>
              <w:left w:val="single" w:sz="4" w:space="0" w:color="00000A"/>
              <w:bottom w:val="single" w:sz="4" w:space="0" w:color="00000A"/>
              <w:right w:val="single" w:sz="4" w:space="0" w:color="00000A"/>
            </w:tcBorders>
            <w:shd w:val="clear" w:color="auto" w:fill="FF0000"/>
            <w:tcMar>
              <w:top w:w="0" w:type="dxa"/>
              <w:left w:w="70" w:type="dxa"/>
              <w:bottom w:w="0" w:type="dxa"/>
              <w:right w:w="70" w:type="dxa"/>
            </w:tcMar>
            <w:vAlign w:val="center"/>
          </w:tcPr>
          <w:p w14:paraId="6D3582C7"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H</w:t>
            </w:r>
          </w:p>
        </w:tc>
        <w:tc>
          <w:tcPr>
            <w:tcW w:w="496"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38E6ED2D"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c>
          <w:tcPr>
            <w:tcW w:w="497"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0E25ABF2"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c>
          <w:tcPr>
            <w:tcW w:w="445"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56421929"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r>
      <w:tr w:rsidR="004D52B8" w:rsidRPr="00D82389" w14:paraId="06257401" w14:textId="77777777" w:rsidTr="00C46145">
        <w:trPr>
          <w:trHeight w:val="375"/>
          <w:jc w:val="center"/>
        </w:trPr>
        <w:tc>
          <w:tcPr>
            <w:tcW w:w="479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73094357" w14:textId="405622BE" w:rsidR="004D52B8" w:rsidRPr="00C673EB" w:rsidRDefault="004D52B8" w:rsidP="0079497F">
            <w:pPr>
              <w:pStyle w:val="Standard"/>
              <w:spacing w:after="0" w:line="240" w:lineRule="auto"/>
            </w:pPr>
            <w:r w:rsidRPr="00C673EB">
              <w:rPr>
                <w:rFonts w:eastAsia="Times New Roman" w:cs="Times New Roman"/>
                <w:sz w:val="28"/>
                <w:szCs w:val="28"/>
                <w:lang w:eastAsia="fr-FR"/>
              </w:rPr>
              <w:t xml:space="preserve">STRASS </w:t>
            </w:r>
            <w:proofErr w:type="spellStart"/>
            <w:r w:rsidRPr="00C673EB">
              <w:rPr>
                <w:rFonts w:eastAsia="Times New Roman" w:cs="Times New Roman"/>
                <w:sz w:val="28"/>
                <w:szCs w:val="28"/>
                <w:lang w:eastAsia="fr-FR"/>
              </w:rPr>
              <w:t>Fautrel</w:t>
            </w:r>
            <w:proofErr w:type="spellEnd"/>
            <w:r w:rsidRPr="00C673EB">
              <w:rPr>
                <w:rFonts w:eastAsia="Times New Roman" w:cs="Times New Roman"/>
                <w:sz w:val="28"/>
                <w:szCs w:val="28"/>
                <w:lang w:eastAsia="fr-FR"/>
              </w:rPr>
              <w:t xml:space="preserve"> ARD</w:t>
            </w:r>
            <w:r>
              <w:rPr>
                <w:rFonts w:eastAsia="Times New Roman" w:cs="Times New Roman"/>
                <w:sz w:val="28"/>
                <w:szCs w:val="28"/>
                <w:lang w:eastAsia="fr-FR"/>
              </w:rPr>
              <w:t xml:space="preserve"> </w:t>
            </w:r>
            <w:r w:rsidRPr="00C673EB">
              <w:rPr>
                <w:rFonts w:eastAsia="Times New Roman" w:cs="Times New Roman"/>
                <w:sz w:val="28"/>
                <w:szCs w:val="28"/>
                <w:lang w:eastAsia="fr-FR"/>
              </w:rPr>
              <w:t>2016</w:t>
            </w:r>
            <w:r>
              <w:rPr>
                <w:rFonts w:eastAsia="Times New Roman" w:cs="Times New Roman"/>
                <w:sz w:val="28"/>
                <w:szCs w:val="28"/>
                <w:lang w:eastAsia="fr-FR"/>
              </w:rPr>
              <w:t xml:space="preserve"> </w:t>
            </w:r>
            <w:r>
              <w:rPr>
                <w:rFonts w:eastAsia="Times New Roman" w:cs="Times New Roman"/>
                <w:sz w:val="28"/>
                <w:szCs w:val="28"/>
                <w:lang w:eastAsia="fr-FR"/>
              </w:rPr>
              <w:fldChar w:fldCharType="begin"/>
            </w:r>
            <w:r>
              <w:rPr>
                <w:rFonts w:eastAsia="Times New Roman" w:cs="Times New Roman"/>
                <w:sz w:val="28"/>
                <w:szCs w:val="28"/>
                <w:lang w:eastAsia="fr-FR"/>
              </w:rPr>
              <w:instrText xml:space="preserve"> ADDIN ZOTERO_ITEM CSL_CITATION {"citationID":"1diifp18b7","properties":{"formattedCitation":"(18)","plainCitation":"(18)"},"citationItems":[{"id":102,"uris":["http://zotero.org/users/local/lLXGDNac/items/UUJ7BVKD"],"uri":["http://zotero.org/users/local/lLXGDNac/items/UUJ7BVKD"],"itemData":{"id":102,"type":"article-journal","title":"Step-down strategy of spacing TNF-blocker injections for established rheumatoid arthritis in remission: results of the multicentre non-inferiority randomised open-label controlled trial (STRASS: Spacing of TNF-blocker injections in Rheumatoid ArthritiS Study)","container-title":"Annals of the Rheumatic Diseases","page":"59-67","volume":"75","issue":"1","source":"PubMed","abstract":"Tumour necrosis factor (TNF)-blocker tapering has been proposed for patients with rheumatoid arthritis (RA) in remission.\nOBJECTIVE: The trial aims to compare the effect of progressive spacing of TNF-blocker injections (S-arm) to their maintenance (M-arm) for established patients with RA in remission.\nMETHODS: The study was an 18-month equivalence trial which included patients receiving etanercept or adalimumab at stable dose for ≥1 year, patients in remission on 28-joint Disease Activity Score (DAS28) for ≥6 months and patients with stable joint damage. Patients were randomised into two arms: maintenance or injections spacing by 50% every 3 months up to complete stop. Spacing was reversed to the previous interval in case of relapse, and eventually reattempted after remission was reachieved. The primary outcome was the standardised difference of DAS28 slopes, based on a linear mixed-effects model (equivalence interval set at ±30%).\nRESULTS: 64 and 73 patients were included in the S-arm and M-arm, respectively, which was less than planned. In the S-arm, TNF blockers were stopped for 39.1%, only tapered for 35.9% and maintained full dose for 20.3%. The equivalence was not demonstrated with a standardised difference of 19% (95% CI -5% to 46%). Relapse was more common in the S-arm (76.6% vs 46.5%, p=0.0004). However, there was no difference in structural damage progression.\nCONCLUSIONS: Tapering was not equivalent to maintenance strategy, resulting in more relapses without impacting structural damage progression. Further studies are needed to identify patients who could benefit from such a strategy associated with substantial cost savings.\nTRIAL REGISTRATION NUMBER: ClinicalTrials.gov: NCT00780793; EudraCT identifier: 2007-004483-41.","DOI":"10.1136/annrheumdis-2014-206696","ISSN":"1468-2060","note":"PMID: 26103979","shortTitle":"Step-down strategy of spacing TNF-blocker injections for established rheumatoid arthritis in remission","journalAbbreviation":"Ann. Rheum. Dis.","language":"eng","author":[{"family":"Fautrel","given":"Bruno"},{"family":"Pham","given":"Thao"},{"family":"Alfaiate","given":"Toni"},{"family":"Gandjbakhch","given":"Frédérique"},{"family":"Foltz","given":"Violaine"},{"family":"Morel","given":"Jacques"},{"family":"Dernis","given":"Emmanuelle"},{"family":"Gaudin","given":"Philippe"},{"family":"Brocq","given":"Olivier"},{"family":"Solau-Gervais","given":"Elisabeth"},{"family":"Berthelot","given":"Jean-Marie"},{"family":"Balblanc","given":"Jean-Charles"},{"family":"Mariette","given":"Xavier"},{"family":"Tubach","given":"Florence"}],"issued":{"date-parts":[["2016",1]]}}}],"schema":"https://github.com/citation-style-language/schema/raw/master/csl-citation.json"} </w:instrText>
            </w:r>
            <w:r>
              <w:rPr>
                <w:rFonts w:eastAsia="Times New Roman" w:cs="Times New Roman"/>
                <w:sz w:val="28"/>
                <w:szCs w:val="28"/>
                <w:lang w:eastAsia="fr-FR"/>
              </w:rPr>
              <w:fldChar w:fldCharType="separate"/>
            </w:r>
            <w:r w:rsidR="004C64B1">
              <w:rPr>
                <w:rFonts w:cs="Calibri"/>
                <w:sz w:val="28"/>
              </w:rPr>
              <w:t>(17</w:t>
            </w:r>
            <w:r w:rsidRPr="006E6A5E">
              <w:rPr>
                <w:rFonts w:cs="Calibri"/>
                <w:sz w:val="28"/>
              </w:rPr>
              <w:t>)</w:t>
            </w:r>
            <w:r>
              <w:rPr>
                <w:rFonts w:eastAsia="Times New Roman" w:cs="Times New Roman"/>
                <w:sz w:val="28"/>
                <w:szCs w:val="28"/>
                <w:lang w:eastAsia="fr-FR"/>
              </w:rPr>
              <w:fldChar w:fldCharType="end"/>
            </w:r>
          </w:p>
        </w:tc>
        <w:tc>
          <w:tcPr>
            <w:tcW w:w="664" w:type="dxa"/>
            <w:tcBorders>
              <w:bottom w:val="single" w:sz="4" w:space="0" w:color="00000A"/>
              <w:right w:val="single" w:sz="4" w:space="0" w:color="auto"/>
            </w:tcBorders>
            <w:shd w:val="clear" w:color="auto" w:fill="92D050"/>
            <w:tcMar>
              <w:top w:w="0" w:type="dxa"/>
              <w:left w:w="70" w:type="dxa"/>
              <w:bottom w:w="0" w:type="dxa"/>
              <w:right w:w="70" w:type="dxa"/>
            </w:tcMar>
            <w:vAlign w:val="center"/>
          </w:tcPr>
          <w:p w14:paraId="4569630E"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c>
          <w:tcPr>
            <w:tcW w:w="496" w:type="dxa"/>
            <w:tcBorders>
              <w:top w:val="single" w:sz="4" w:space="0" w:color="auto"/>
              <w:left w:val="single" w:sz="4" w:space="0" w:color="auto"/>
              <w:bottom w:val="single" w:sz="4" w:space="0" w:color="auto"/>
              <w:right w:val="single" w:sz="4" w:space="0" w:color="auto"/>
            </w:tcBorders>
            <w:shd w:val="clear" w:color="auto" w:fill="FFFF00"/>
            <w:tcMar>
              <w:top w:w="0" w:type="dxa"/>
              <w:left w:w="70" w:type="dxa"/>
              <w:bottom w:w="0" w:type="dxa"/>
              <w:right w:w="70" w:type="dxa"/>
            </w:tcMar>
            <w:vAlign w:val="center"/>
          </w:tcPr>
          <w:p w14:paraId="7709F310" w14:textId="7FE3126E"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c>
          <w:tcPr>
            <w:tcW w:w="497" w:type="dxa"/>
            <w:tcBorders>
              <w:left w:val="single" w:sz="4" w:space="0" w:color="auto"/>
              <w:bottom w:val="single" w:sz="4" w:space="0" w:color="00000A"/>
              <w:right w:val="single" w:sz="4" w:space="0" w:color="00000A"/>
            </w:tcBorders>
            <w:shd w:val="clear" w:color="auto" w:fill="FF0000"/>
            <w:tcMar>
              <w:top w:w="0" w:type="dxa"/>
              <w:left w:w="70" w:type="dxa"/>
              <w:bottom w:w="0" w:type="dxa"/>
              <w:right w:w="70" w:type="dxa"/>
            </w:tcMar>
            <w:vAlign w:val="center"/>
          </w:tcPr>
          <w:p w14:paraId="53BEAAFE"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H</w:t>
            </w:r>
          </w:p>
        </w:tc>
        <w:tc>
          <w:tcPr>
            <w:tcW w:w="496"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54B2A79E" w14:textId="4EB64299"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c>
          <w:tcPr>
            <w:tcW w:w="497"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64D52DF7"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c>
          <w:tcPr>
            <w:tcW w:w="445"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61514734"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r>
      <w:tr w:rsidR="004D52B8" w:rsidRPr="00C673EB" w14:paraId="4B8DFB81" w14:textId="77777777" w:rsidTr="00C46145">
        <w:trPr>
          <w:trHeight w:val="375"/>
          <w:jc w:val="center"/>
        </w:trPr>
        <w:tc>
          <w:tcPr>
            <w:tcW w:w="479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5E0033B" w14:textId="50B6E5F3" w:rsidR="004D52B8" w:rsidRPr="00C673EB" w:rsidRDefault="004D52B8" w:rsidP="0079497F">
            <w:pPr>
              <w:pStyle w:val="Standard"/>
              <w:spacing w:after="0" w:line="240" w:lineRule="auto"/>
            </w:pPr>
            <w:proofErr w:type="spellStart"/>
            <w:r w:rsidRPr="00C673EB">
              <w:rPr>
                <w:rFonts w:eastAsia="Times New Roman" w:cs="Times New Roman"/>
                <w:sz w:val="28"/>
                <w:szCs w:val="28"/>
                <w:lang w:eastAsia="fr-FR"/>
              </w:rPr>
              <w:t>Raffeiner</w:t>
            </w:r>
            <w:proofErr w:type="spellEnd"/>
            <w:r w:rsidRPr="00C673EB">
              <w:rPr>
                <w:rFonts w:eastAsia="Times New Roman" w:cs="Times New Roman"/>
                <w:sz w:val="28"/>
                <w:szCs w:val="28"/>
                <w:lang w:eastAsia="fr-FR"/>
              </w:rPr>
              <w:t xml:space="preserve"> </w:t>
            </w:r>
            <w:proofErr w:type="spellStart"/>
            <w:r w:rsidRPr="00C673EB">
              <w:rPr>
                <w:rFonts w:eastAsia="Times New Roman" w:cs="Times New Roman"/>
                <w:sz w:val="28"/>
                <w:szCs w:val="28"/>
                <w:lang w:eastAsia="fr-FR"/>
              </w:rPr>
              <w:t>Clin</w:t>
            </w:r>
            <w:proofErr w:type="spellEnd"/>
            <w:r>
              <w:rPr>
                <w:rFonts w:eastAsia="Times New Roman" w:cs="Times New Roman"/>
                <w:sz w:val="28"/>
                <w:szCs w:val="28"/>
                <w:lang w:eastAsia="fr-FR"/>
              </w:rPr>
              <w:t xml:space="preserve"> </w:t>
            </w:r>
            <w:proofErr w:type="spellStart"/>
            <w:r w:rsidRPr="00C673EB">
              <w:rPr>
                <w:rFonts w:eastAsia="Times New Roman" w:cs="Times New Roman"/>
                <w:sz w:val="28"/>
                <w:szCs w:val="28"/>
                <w:lang w:eastAsia="fr-FR"/>
              </w:rPr>
              <w:t>Exp</w:t>
            </w:r>
            <w:proofErr w:type="spellEnd"/>
            <w:r>
              <w:rPr>
                <w:rFonts w:eastAsia="Times New Roman" w:cs="Times New Roman"/>
                <w:sz w:val="28"/>
                <w:szCs w:val="28"/>
                <w:lang w:eastAsia="fr-FR"/>
              </w:rPr>
              <w:t xml:space="preserve"> </w:t>
            </w:r>
            <w:proofErr w:type="spellStart"/>
            <w:r w:rsidRPr="00C673EB">
              <w:rPr>
                <w:rFonts w:eastAsia="Times New Roman" w:cs="Times New Roman"/>
                <w:sz w:val="28"/>
                <w:szCs w:val="28"/>
                <w:lang w:eastAsia="fr-FR"/>
              </w:rPr>
              <w:t>Rheum</w:t>
            </w:r>
            <w:r>
              <w:rPr>
                <w:rFonts w:eastAsia="Times New Roman" w:cs="Times New Roman"/>
                <w:sz w:val="28"/>
                <w:szCs w:val="28"/>
                <w:lang w:eastAsia="fr-FR"/>
              </w:rPr>
              <w:t>atol</w:t>
            </w:r>
            <w:proofErr w:type="spellEnd"/>
            <w:r w:rsidRPr="00C673EB">
              <w:rPr>
                <w:rFonts w:eastAsia="Times New Roman" w:cs="Times New Roman"/>
                <w:sz w:val="28"/>
                <w:szCs w:val="28"/>
                <w:lang w:eastAsia="fr-FR"/>
              </w:rPr>
              <w:t xml:space="preserve"> 2015</w:t>
            </w:r>
            <w:r>
              <w:rPr>
                <w:rFonts w:eastAsia="Times New Roman" w:cs="Times New Roman"/>
                <w:sz w:val="28"/>
                <w:szCs w:val="28"/>
                <w:lang w:eastAsia="fr-FR"/>
              </w:rPr>
              <w:t xml:space="preserve"> </w:t>
            </w:r>
            <w:r>
              <w:rPr>
                <w:rFonts w:eastAsia="Times New Roman" w:cs="Times New Roman"/>
                <w:sz w:val="28"/>
                <w:szCs w:val="28"/>
                <w:lang w:eastAsia="fr-FR"/>
              </w:rPr>
              <w:fldChar w:fldCharType="begin"/>
            </w:r>
            <w:r>
              <w:rPr>
                <w:rFonts w:eastAsia="Times New Roman" w:cs="Times New Roman"/>
                <w:sz w:val="28"/>
                <w:szCs w:val="28"/>
                <w:lang w:eastAsia="fr-FR"/>
              </w:rPr>
              <w:instrText xml:space="preserve"> ADDIN ZOTERO_ITEM CSL_CITATION {"citationID":"r12upa0h5","properties":{"formattedCitation":"(27)","plainCitation":"(27)"},"citationItems":[{"id":125,"uris":["http://zotero.org/users/local/lLXGDNac/items/RX4KQAJ9"],"uri":["http://zotero.org/users/local/lLXGDNac/items/RX4KQAJ9"],"itemData":{"id":125,"type":"article-journal","title":"Effects of half dose etanercept (25 mg once a week) on clinical remission and radiographic progression in patients with rheumatoid arthritis in clinical remission achieved with standard dose","container-title":"Clinical and Experimental Rheumatology","page":"63-68","volume":"33","issue":"1","source":"PubMed","abstract":"OBJECTIVES: This prospective long-term follow-up study evaluated the effects of half-dose etanercept (25 mg weekly) on clinical remission and radiographic progression in a large cohort of patients with rheumatoid arthritis (RA) in clinical remission after etanercept 25 mg bi-weekly.\nMETHODS: 524 biologic-naïve RA patients were treated with etanercept 25 mg bi-weekly after failure of conventional drugs. Patients achieving remission (DAS28 &lt;2.6) for ≥12 months were randomised to receive etanercept 25 mg weekly or 25 mg bi-weekly. Patients were assessed at baseline and every 12 weeks. Remission rates, radiographic progression, incidence of infections and costs of the regimens were compared.\nRESULTS: After a mean follow-up of 18±11 months, 347 patients (66.2%) achieved DAS28 remission; 323 were randomised to one of two dose regimens: etanercept 25 weekly (group A, 159 patients) and etanercept 25 mg bi-weekly (group B, 164 patients). At the end of follow-up, 81.8% patients of group A maintained remission for a mean of 3.6±1.5 years. Radiographic progression occurred in a small number of patients of group A and the rate of radiographic progression (TSS &gt;0) was not significantly different in the two groups (18.85% vs. 19.0% after the first year and 16.9% vs. 21.6% after the second year, respectively). The incidence ratio of severe infections was 2.3/1.000 patient-years in group A. Etanercept half-dose regimen resulted in a saving of €3.190.545 with a cost saving up to €827.318 per year.\nCONCLUSIONS: Clinical remission and arrest of radiographic progression persisted in a substantial percentage of patients with RA even after reduction of standard-dose etanercept.","ISSN":"0392-856X","note":"PMID: 25535985","journalAbbreviation":"Clin. Exp. Rheumatol.","language":"eng","author":[{"family":"Raffeiner","given":"Bernd"},{"family":"Botsios","given":"Costantino"},{"family":"Ometto","given":"Francesca"},{"family":"Bernardi","given":"Livio"},{"family":"Stramare","given":"Roberto"},{"family":"Todesco","given":"Silvano"},{"family":"Sfriso","given":"Paolo"},{"family":"Punzi","given":"Leonardo"}],"issued":{"date-parts":[["2015",2]]}}}],"schema":"https://github.com/citation-style-language/schema/raw/master/csl-citation.json"} </w:instrText>
            </w:r>
            <w:r>
              <w:rPr>
                <w:rFonts w:eastAsia="Times New Roman" w:cs="Times New Roman"/>
                <w:sz w:val="28"/>
                <w:szCs w:val="28"/>
                <w:lang w:eastAsia="fr-FR"/>
              </w:rPr>
              <w:fldChar w:fldCharType="separate"/>
            </w:r>
            <w:r w:rsidR="004C64B1">
              <w:rPr>
                <w:rFonts w:cs="Calibri"/>
                <w:sz w:val="28"/>
              </w:rPr>
              <w:t>(19</w:t>
            </w:r>
            <w:r w:rsidRPr="006E6A5E">
              <w:rPr>
                <w:rFonts w:cs="Calibri"/>
                <w:sz w:val="28"/>
              </w:rPr>
              <w:t>)</w:t>
            </w:r>
            <w:r>
              <w:rPr>
                <w:rFonts w:eastAsia="Times New Roman" w:cs="Times New Roman"/>
                <w:sz w:val="28"/>
                <w:szCs w:val="28"/>
                <w:lang w:eastAsia="fr-FR"/>
              </w:rPr>
              <w:fldChar w:fldCharType="end"/>
            </w:r>
          </w:p>
        </w:tc>
        <w:tc>
          <w:tcPr>
            <w:tcW w:w="664" w:type="dxa"/>
            <w:tcBorders>
              <w:bottom w:val="single" w:sz="4" w:space="0" w:color="00000A"/>
              <w:right w:val="single" w:sz="4" w:space="0" w:color="00000A"/>
            </w:tcBorders>
            <w:shd w:val="clear" w:color="auto" w:fill="FF0000"/>
            <w:tcMar>
              <w:top w:w="0" w:type="dxa"/>
              <w:left w:w="70" w:type="dxa"/>
              <w:bottom w:w="0" w:type="dxa"/>
              <w:right w:w="70" w:type="dxa"/>
            </w:tcMar>
            <w:vAlign w:val="center"/>
          </w:tcPr>
          <w:p w14:paraId="5DE8E977"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H</w:t>
            </w:r>
          </w:p>
        </w:tc>
        <w:tc>
          <w:tcPr>
            <w:tcW w:w="496" w:type="dxa"/>
            <w:tcBorders>
              <w:top w:val="single" w:sz="4" w:space="0" w:color="auto"/>
              <w:bottom w:val="single" w:sz="4" w:space="0" w:color="00000A"/>
              <w:right w:val="single" w:sz="4" w:space="0" w:color="00000A"/>
            </w:tcBorders>
            <w:shd w:val="clear" w:color="auto" w:fill="92D050"/>
            <w:tcMar>
              <w:top w:w="0" w:type="dxa"/>
              <w:left w:w="70" w:type="dxa"/>
              <w:bottom w:w="0" w:type="dxa"/>
              <w:right w:w="70" w:type="dxa"/>
            </w:tcMar>
            <w:vAlign w:val="center"/>
          </w:tcPr>
          <w:p w14:paraId="4B515DCF"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c>
          <w:tcPr>
            <w:tcW w:w="497"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0B88B767"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c>
          <w:tcPr>
            <w:tcW w:w="496"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16F09ECC" w14:textId="5E71D550"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c>
          <w:tcPr>
            <w:tcW w:w="497"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2808AA50"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c>
          <w:tcPr>
            <w:tcW w:w="445"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6F7A8D5C"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L</w:t>
            </w:r>
          </w:p>
        </w:tc>
      </w:tr>
      <w:tr w:rsidR="00C46145" w:rsidRPr="00C673EB" w14:paraId="03B82442" w14:textId="77777777" w:rsidTr="00C46145">
        <w:trPr>
          <w:trHeight w:val="375"/>
          <w:jc w:val="center"/>
        </w:trPr>
        <w:tc>
          <w:tcPr>
            <w:tcW w:w="479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20F67216" w14:textId="02683B73" w:rsidR="00C46145" w:rsidRPr="00C673EB" w:rsidRDefault="004C64B1" w:rsidP="0079497F">
            <w:pPr>
              <w:pStyle w:val="Standard"/>
              <w:spacing w:after="0" w:line="240" w:lineRule="auto"/>
              <w:rPr>
                <w:rFonts w:eastAsia="Times New Roman" w:cs="Times New Roman"/>
                <w:sz w:val="28"/>
                <w:szCs w:val="28"/>
                <w:lang w:eastAsia="fr-FR"/>
              </w:rPr>
            </w:pPr>
            <w:r>
              <w:rPr>
                <w:rFonts w:eastAsia="Times New Roman" w:cs="Times New Roman"/>
                <w:sz w:val="28"/>
                <w:szCs w:val="28"/>
                <w:lang w:eastAsia="fr-FR"/>
              </w:rPr>
              <w:t xml:space="preserve">Yamanaka Mod </w:t>
            </w:r>
            <w:proofErr w:type="spellStart"/>
            <w:r>
              <w:rPr>
                <w:rFonts w:eastAsia="Times New Roman" w:cs="Times New Roman"/>
                <w:sz w:val="28"/>
                <w:szCs w:val="28"/>
                <w:lang w:eastAsia="fr-FR"/>
              </w:rPr>
              <w:t>Rheumatol</w:t>
            </w:r>
            <w:proofErr w:type="spellEnd"/>
            <w:r>
              <w:rPr>
                <w:rFonts w:eastAsia="Times New Roman" w:cs="Times New Roman"/>
                <w:sz w:val="28"/>
                <w:szCs w:val="28"/>
                <w:lang w:eastAsia="fr-FR"/>
              </w:rPr>
              <w:t xml:space="preserve"> 2016 (27</w:t>
            </w:r>
            <w:r w:rsidR="00C46145">
              <w:rPr>
                <w:rFonts w:eastAsia="Times New Roman" w:cs="Times New Roman"/>
                <w:sz w:val="28"/>
                <w:szCs w:val="28"/>
                <w:lang w:eastAsia="fr-FR"/>
              </w:rPr>
              <w:t>)</w:t>
            </w:r>
          </w:p>
        </w:tc>
        <w:tc>
          <w:tcPr>
            <w:tcW w:w="664" w:type="dxa"/>
            <w:tcBorders>
              <w:bottom w:val="single" w:sz="4" w:space="0" w:color="00000A"/>
              <w:right w:val="single" w:sz="4" w:space="0" w:color="00000A"/>
            </w:tcBorders>
            <w:shd w:val="clear" w:color="auto" w:fill="FF0000"/>
            <w:tcMar>
              <w:top w:w="0" w:type="dxa"/>
              <w:left w:w="70" w:type="dxa"/>
              <w:bottom w:w="0" w:type="dxa"/>
              <w:right w:w="70" w:type="dxa"/>
            </w:tcMar>
            <w:vAlign w:val="center"/>
          </w:tcPr>
          <w:p w14:paraId="298370E3" w14:textId="77777777" w:rsidR="00C46145" w:rsidRDefault="00C46145" w:rsidP="0079497F">
            <w:pPr>
              <w:pStyle w:val="Standard"/>
              <w:spacing w:after="0" w:line="240" w:lineRule="auto"/>
              <w:jc w:val="center"/>
              <w:rPr>
                <w:rFonts w:eastAsia="Times New Roman" w:cs="Times New Roman"/>
                <w:sz w:val="24"/>
                <w:szCs w:val="24"/>
                <w:lang w:eastAsia="fr-FR"/>
              </w:rPr>
            </w:pPr>
            <w:r>
              <w:rPr>
                <w:rFonts w:eastAsia="Times New Roman" w:cs="Times New Roman"/>
                <w:sz w:val="24"/>
                <w:szCs w:val="24"/>
                <w:lang w:eastAsia="fr-FR"/>
              </w:rPr>
              <w:t>H</w:t>
            </w:r>
          </w:p>
        </w:tc>
        <w:tc>
          <w:tcPr>
            <w:tcW w:w="496" w:type="dxa"/>
            <w:tcBorders>
              <w:top w:val="single" w:sz="4" w:space="0" w:color="auto"/>
              <w:bottom w:val="single" w:sz="4" w:space="0" w:color="00000A"/>
              <w:right w:val="single" w:sz="4" w:space="0" w:color="00000A"/>
            </w:tcBorders>
            <w:shd w:val="clear" w:color="auto" w:fill="92D050"/>
            <w:tcMar>
              <w:top w:w="0" w:type="dxa"/>
              <w:left w:w="70" w:type="dxa"/>
              <w:bottom w:w="0" w:type="dxa"/>
              <w:right w:w="70" w:type="dxa"/>
            </w:tcMar>
            <w:vAlign w:val="center"/>
          </w:tcPr>
          <w:p w14:paraId="328E8577" w14:textId="77777777" w:rsidR="00C46145" w:rsidRDefault="00C46145" w:rsidP="0079497F">
            <w:pPr>
              <w:pStyle w:val="Standard"/>
              <w:spacing w:after="0" w:line="240" w:lineRule="auto"/>
              <w:jc w:val="center"/>
              <w:rPr>
                <w:rFonts w:eastAsia="Times New Roman" w:cs="Times New Roman"/>
                <w:sz w:val="24"/>
                <w:szCs w:val="24"/>
                <w:lang w:eastAsia="fr-FR"/>
              </w:rPr>
            </w:pPr>
            <w:r>
              <w:rPr>
                <w:rFonts w:eastAsia="Times New Roman" w:cs="Times New Roman"/>
                <w:sz w:val="24"/>
                <w:szCs w:val="24"/>
                <w:lang w:eastAsia="fr-FR"/>
              </w:rPr>
              <w:t>L</w:t>
            </w:r>
          </w:p>
        </w:tc>
        <w:tc>
          <w:tcPr>
            <w:tcW w:w="497"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20A2E745" w14:textId="77777777" w:rsidR="00C46145" w:rsidRDefault="00C46145" w:rsidP="0079497F">
            <w:pPr>
              <w:pStyle w:val="Standard"/>
              <w:spacing w:after="0" w:line="240" w:lineRule="auto"/>
              <w:jc w:val="center"/>
              <w:rPr>
                <w:rFonts w:eastAsia="Times New Roman" w:cs="Times New Roman"/>
                <w:sz w:val="24"/>
                <w:szCs w:val="24"/>
                <w:lang w:eastAsia="fr-FR"/>
              </w:rPr>
            </w:pPr>
            <w:r>
              <w:rPr>
                <w:rFonts w:eastAsia="Times New Roman" w:cs="Times New Roman"/>
                <w:sz w:val="24"/>
                <w:szCs w:val="24"/>
                <w:lang w:eastAsia="fr-FR"/>
              </w:rPr>
              <w:t>L</w:t>
            </w:r>
          </w:p>
        </w:tc>
        <w:tc>
          <w:tcPr>
            <w:tcW w:w="496"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248F0F05" w14:textId="4215AE02" w:rsidR="00C46145" w:rsidRPr="00C673EB" w:rsidRDefault="00126E84" w:rsidP="0079497F">
            <w:pPr>
              <w:pStyle w:val="Standard"/>
              <w:spacing w:after="0" w:line="240" w:lineRule="auto"/>
              <w:jc w:val="center"/>
              <w:rPr>
                <w:rFonts w:eastAsia="Times New Roman" w:cs="Times New Roman"/>
                <w:sz w:val="24"/>
                <w:szCs w:val="24"/>
                <w:lang w:eastAsia="fr-FR"/>
              </w:rPr>
            </w:pPr>
            <w:r>
              <w:rPr>
                <w:rFonts w:eastAsia="Times New Roman" w:cs="Times New Roman"/>
                <w:sz w:val="24"/>
                <w:szCs w:val="24"/>
                <w:lang w:eastAsia="fr-FR"/>
              </w:rPr>
              <w:t>U</w:t>
            </w:r>
          </w:p>
        </w:tc>
        <w:tc>
          <w:tcPr>
            <w:tcW w:w="497"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1F3FFB33" w14:textId="77777777" w:rsidR="00C46145" w:rsidRDefault="00C46145" w:rsidP="0079497F">
            <w:pPr>
              <w:pStyle w:val="Standard"/>
              <w:spacing w:after="0" w:line="240" w:lineRule="auto"/>
              <w:jc w:val="center"/>
              <w:rPr>
                <w:rFonts w:eastAsia="Times New Roman" w:cs="Times New Roman"/>
                <w:sz w:val="24"/>
                <w:szCs w:val="24"/>
                <w:lang w:eastAsia="fr-FR"/>
              </w:rPr>
            </w:pPr>
            <w:r>
              <w:rPr>
                <w:rFonts w:eastAsia="Times New Roman" w:cs="Times New Roman"/>
                <w:sz w:val="24"/>
                <w:szCs w:val="24"/>
                <w:lang w:eastAsia="fr-FR"/>
              </w:rPr>
              <w:t>L</w:t>
            </w:r>
          </w:p>
        </w:tc>
        <w:tc>
          <w:tcPr>
            <w:tcW w:w="445"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749498D5" w14:textId="77777777" w:rsidR="00C46145" w:rsidRDefault="00C46145" w:rsidP="0079497F">
            <w:pPr>
              <w:pStyle w:val="Standard"/>
              <w:spacing w:after="0" w:line="240" w:lineRule="auto"/>
              <w:jc w:val="center"/>
              <w:rPr>
                <w:rFonts w:eastAsia="Times New Roman" w:cs="Times New Roman"/>
                <w:sz w:val="24"/>
                <w:szCs w:val="24"/>
                <w:lang w:eastAsia="fr-FR"/>
              </w:rPr>
            </w:pPr>
            <w:r>
              <w:rPr>
                <w:rFonts w:eastAsia="Times New Roman" w:cs="Times New Roman"/>
                <w:sz w:val="24"/>
                <w:szCs w:val="24"/>
                <w:lang w:eastAsia="fr-FR"/>
              </w:rPr>
              <w:t>L</w:t>
            </w:r>
          </w:p>
        </w:tc>
      </w:tr>
      <w:tr w:rsidR="000023C5" w:rsidRPr="00C673EB" w14:paraId="24326B95" w14:textId="77777777" w:rsidTr="00896070">
        <w:trPr>
          <w:trHeight w:val="375"/>
          <w:jc w:val="center"/>
        </w:trPr>
        <w:tc>
          <w:tcPr>
            <w:tcW w:w="479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0D6CCBFE" w14:textId="6FB67946" w:rsidR="000023C5" w:rsidRDefault="000023C5" w:rsidP="0079497F">
            <w:pPr>
              <w:pStyle w:val="Standard"/>
              <w:spacing w:after="0" w:line="240" w:lineRule="auto"/>
              <w:rPr>
                <w:rFonts w:eastAsia="Times New Roman" w:cs="Times New Roman"/>
                <w:sz w:val="28"/>
                <w:szCs w:val="28"/>
                <w:lang w:eastAsia="fr-FR"/>
              </w:rPr>
            </w:pPr>
            <w:proofErr w:type="spellStart"/>
            <w:r>
              <w:rPr>
                <w:rFonts w:eastAsia="Times New Roman" w:cs="Times New Roman"/>
                <w:sz w:val="28"/>
                <w:szCs w:val="28"/>
                <w:lang w:eastAsia="fr-FR"/>
              </w:rPr>
              <w:t>Weinblatt</w:t>
            </w:r>
            <w:proofErr w:type="spellEnd"/>
            <w:r>
              <w:rPr>
                <w:rFonts w:eastAsia="Times New Roman" w:cs="Times New Roman"/>
                <w:sz w:val="28"/>
                <w:szCs w:val="28"/>
                <w:lang w:eastAsia="fr-FR"/>
              </w:rPr>
              <w:t xml:space="preserve"> </w:t>
            </w:r>
            <w:r w:rsidR="00896070">
              <w:rPr>
                <w:rFonts w:eastAsia="Times New Roman" w:cs="Times New Roman"/>
                <w:sz w:val="28"/>
                <w:szCs w:val="28"/>
                <w:lang w:eastAsia="fr-FR"/>
              </w:rPr>
              <w:t>ARD 2017 (26)</w:t>
            </w:r>
          </w:p>
        </w:tc>
        <w:tc>
          <w:tcPr>
            <w:tcW w:w="664"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21DA9196" w14:textId="1F0739F4" w:rsidR="000023C5" w:rsidRDefault="00896070" w:rsidP="0079497F">
            <w:pPr>
              <w:pStyle w:val="Standard"/>
              <w:spacing w:after="0" w:line="240" w:lineRule="auto"/>
              <w:jc w:val="center"/>
              <w:rPr>
                <w:rFonts w:eastAsia="Times New Roman" w:cs="Times New Roman"/>
                <w:sz w:val="24"/>
                <w:szCs w:val="24"/>
                <w:lang w:eastAsia="fr-FR"/>
              </w:rPr>
            </w:pPr>
            <w:r>
              <w:rPr>
                <w:rFonts w:eastAsia="Times New Roman" w:cs="Times New Roman"/>
                <w:sz w:val="24"/>
                <w:szCs w:val="24"/>
                <w:lang w:eastAsia="fr-FR"/>
              </w:rPr>
              <w:t>L</w:t>
            </w:r>
          </w:p>
        </w:tc>
        <w:tc>
          <w:tcPr>
            <w:tcW w:w="496" w:type="dxa"/>
            <w:tcBorders>
              <w:top w:val="single" w:sz="4" w:space="0" w:color="auto"/>
              <w:bottom w:val="single" w:sz="4" w:space="0" w:color="00000A"/>
              <w:right w:val="single" w:sz="4" w:space="0" w:color="00000A"/>
            </w:tcBorders>
            <w:shd w:val="clear" w:color="auto" w:fill="92D050"/>
            <w:tcMar>
              <w:top w:w="0" w:type="dxa"/>
              <w:left w:w="70" w:type="dxa"/>
              <w:bottom w:w="0" w:type="dxa"/>
              <w:right w:w="70" w:type="dxa"/>
            </w:tcMar>
            <w:vAlign w:val="center"/>
          </w:tcPr>
          <w:p w14:paraId="590FF7D0" w14:textId="46575290" w:rsidR="000023C5" w:rsidRDefault="00896070" w:rsidP="0079497F">
            <w:pPr>
              <w:pStyle w:val="Standard"/>
              <w:spacing w:after="0" w:line="240" w:lineRule="auto"/>
              <w:jc w:val="center"/>
              <w:rPr>
                <w:rFonts w:eastAsia="Times New Roman" w:cs="Times New Roman"/>
                <w:sz w:val="24"/>
                <w:szCs w:val="24"/>
                <w:lang w:eastAsia="fr-FR"/>
              </w:rPr>
            </w:pPr>
            <w:r>
              <w:rPr>
                <w:rFonts w:eastAsia="Times New Roman" w:cs="Times New Roman"/>
                <w:sz w:val="24"/>
                <w:szCs w:val="24"/>
                <w:lang w:eastAsia="fr-FR"/>
              </w:rPr>
              <w:t>L</w:t>
            </w:r>
          </w:p>
        </w:tc>
        <w:tc>
          <w:tcPr>
            <w:tcW w:w="497"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54A2DBF9" w14:textId="007C514F" w:rsidR="000023C5" w:rsidRDefault="00896070" w:rsidP="0079497F">
            <w:pPr>
              <w:pStyle w:val="Standard"/>
              <w:spacing w:after="0" w:line="240" w:lineRule="auto"/>
              <w:jc w:val="center"/>
              <w:rPr>
                <w:rFonts w:eastAsia="Times New Roman" w:cs="Times New Roman"/>
                <w:sz w:val="24"/>
                <w:szCs w:val="24"/>
                <w:lang w:eastAsia="fr-FR"/>
              </w:rPr>
            </w:pPr>
            <w:r>
              <w:rPr>
                <w:rFonts w:eastAsia="Times New Roman" w:cs="Times New Roman"/>
                <w:sz w:val="24"/>
                <w:szCs w:val="24"/>
                <w:lang w:eastAsia="fr-FR"/>
              </w:rPr>
              <w:t>L</w:t>
            </w:r>
          </w:p>
        </w:tc>
        <w:tc>
          <w:tcPr>
            <w:tcW w:w="496"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06DDD180" w14:textId="3C47E844" w:rsidR="000023C5" w:rsidRDefault="00896070" w:rsidP="0079497F">
            <w:pPr>
              <w:pStyle w:val="Standard"/>
              <w:spacing w:after="0" w:line="240" w:lineRule="auto"/>
              <w:jc w:val="center"/>
              <w:rPr>
                <w:rFonts w:eastAsia="Times New Roman" w:cs="Times New Roman"/>
                <w:sz w:val="24"/>
                <w:szCs w:val="24"/>
                <w:lang w:eastAsia="fr-FR"/>
              </w:rPr>
            </w:pPr>
            <w:r>
              <w:rPr>
                <w:rFonts w:eastAsia="Times New Roman" w:cs="Times New Roman"/>
                <w:sz w:val="24"/>
                <w:szCs w:val="24"/>
                <w:lang w:eastAsia="fr-FR"/>
              </w:rPr>
              <w:t>L</w:t>
            </w:r>
          </w:p>
        </w:tc>
        <w:tc>
          <w:tcPr>
            <w:tcW w:w="497"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06BAE083" w14:textId="2DA644C2" w:rsidR="000023C5" w:rsidRDefault="00896070" w:rsidP="0079497F">
            <w:pPr>
              <w:pStyle w:val="Standard"/>
              <w:spacing w:after="0" w:line="240" w:lineRule="auto"/>
              <w:jc w:val="center"/>
              <w:rPr>
                <w:rFonts w:eastAsia="Times New Roman" w:cs="Times New Roman"/>
                <w:sz w:val="24"/>
                <w:szCs w:val="24"/>
                <w:lang w:eastAsia="fr-FR"/>
              </w:rPr>
            </w:pPr>
            <w:r>
              <w:rPr>
                <w:rFonts w:eastAsia="Times New Roman" w:cs="Times New Roman"/>
                <w:sz w:val="24"/>
                <w:szCs w:val="24"/>
                <w:lang w:eastAsia="fr-FR"/>
              </w:rPr>
              <w:t>L</w:t>
            </w:r>
          </w:p>
        </w:tc>
        <w:tc>
          <w:tcPr>
            <w:tcW w:w="445" w:type="dxa"/>
            <w:tcBorders>
              <w:bottom w:val="single" w:sz="4" w:space="0" w:color="00000A"/>
              <w:right w:val="single" w:sz="4" w:space="0" w:color="00000A"/>
            </w:tcBorders>
            <w:shd w:val="clear" w:color="auto" w:fill="92D050"/>
            <w:tcMar>
              <w:top w:w="0" w:type="dxa"/>
              <w:left w:w="70" w:type="dxa"/>
              <w:bottom w:w="0" w:type="dxa"/>
              <w:right w:w="70" w:type="dxa"/>
            </w:tcMar>
            <w:vAlign w:val="center"/>
          </w:tcPr>
          <w:p w14:paraId="4A43C03B" w14:textId="5EA8936D" w:rsidR="000023C5" w:rsidRDefault="00896070" w:rsidP="0079497F">
            <w:pPr>
              <w:pStyle w:val="Standard"/>
              <w:spacing w:after="0" w:line="240" w:lineRule="auto"/>
              <w:jc w:val="center"/>
              <w:rPr>
                <w:rFonts w:eastAsia="Times New Roman" w:cs="Times New Roman"/>
                <w:sz w:val="24"/>
                <w:szCs w:val="24"/>
                <w:lang w:eastAsia="fr-FR"/>
              </w:rPr>
            </w:pPr>
            <w:r>
              <w:rPr>
                <w:rFonts w:eastAsia="Times New Roman" w:cs="Times New Roman"/>
                <w:sz w:val="24"/>
                <w:szCs w:val="24"/>
                <w:lang w:eastAsia="fr-FR"/>
              </w:rPr>
              <w:t>L</w:t>
            </w:r>
          </w:p>
        </w:tc>
      </w:tr>
      <w:tr w:rsidR="004D52B8" w:rsidRPr="00C673EB" w14:paraId="67EFF14F" w14:textId="77777777" w:rsidTr="00C46145">
        <w:trPr>
          <w:trHeight w:val="375"/>
          <w:jc w:val="center"/>
        </w:trPr>
        <w:tc>
          <w:tcPr>
            <w:tcW w:w="479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4A53BBA3" w14:textId="023A2585" w:rsidR="004D52B8" w:rsidRPr="00646E58" w:rsidRDefault="004C64B1" w:rsidP="0079497F">
            <w:pPr>
              <w:pStyle w:val="Standard"/>
              <w:spacing w:after="0" w:line="240" w:lineRule="auto"/>
            </w:pPr>
            <w:proofErr w:type="spellStart"/>
            <w:r>
              <w:rPr>
                <w:rFonts w:eastAsia="Times New Roman" w:cs="Times New Roman"/>
                <w:sz w:val="28"/>
                <w:szCs w:val="28"/>
                <w:lang w:eastAsia="fr-FR"/>
              </w:rPr>
              <w:t>Botsios</w:t>
            </w:r>
            <w:proofErr w:type="spellEnd"/>
            <w:r>
              <w:rPr>
                <w:rFonts w:eastAsia="Times New Roman" w:cs="Times New Roman"/>
                <w:sz w:val="28"/>
                <w:szCs w:val="28"/>
                <w:lang w:eastAsia="fr-FR"/>
              </w:rPr>
              <w:t xml:space="preserve"> EULAR ARD 2007 (28</w:t>
            </w:r>
            <w:r w:rsidR="004D52B8" w:rsidRPr="00646E58">
              <w:rPr>
                <w:rFonts w:eastAsia="Times New Roman" w:cs="Times New Roman"/>
                <w:sz w:val="28"/>
                <w:szCs w:val="28"/>
                <w:lang w:eastAsia="fr-FR"/>
              </w:rPr>
              <w:t>)</w:t>
            </w:r>
          </w:p>
        </w:tc>
        <w:tc>
          <w:tcPr>
            <w:tcW w:w="664"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095236E2" w14:textId="03017BE7"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c>
          <w:tcPr>
            <w:tcW w:w="496"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32102756" w14:textId="7083BB4E"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c>
          <w:tcPr>
            <w:tcW w:w="497"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30C1E0AA" w14:textId="38B0DA29"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c>
          <w:tcPr>
            <w:tcW w:w="496"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18D4AC1B" w14:textId="79B92EAF"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c>
          <w:tcPr>
            <w:tcW w:w="497"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31DB5330" w14:textId="6732ABEA"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c>
          <w:tcPr>
            <w:tcW w:w="445"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461327F0" w14:textId="21B3BDD1"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r>
      <w:tr w:rsidR="004D52B8" w:rsidRPr="00C673EB" w14:paraId="3867CDD9" w14:textId="77777777" w:rsidTr="00C46145">
        <w:trPr>
          <w:trHeight w:val="375"/>
          <w:jc w:val="center"/>
        </w:trPr>
        <w:tc>
          <w:tcPr>
            <w:tcW w:w="479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7B095CB5" w14:textId="00B30D9D" w:rsidR="004D52B8" w:rsidRPr="00646E58" w:rsidRDefault="004D52B8" w:rsidP="0079497F">
            <w:pPr>
              <w:pStyle w:val="Standard"/>
              <w:spacing w:after="0" w:line="240" w:lineRule="auto"/>
            </w:pPr>
            <w:r w:rsidRPr="00646E58">
              <w:rPr>
                <w:rFonts w:eastAsia="Times New Roman" w:cs="Times New Roman"/>
                <w:color w:val="000000"/>
                <w:sz w:val="28"/>
                <w:szCs w:val="28"/>
                <w:lang w:eastAsia="fr-FR"/>
              </w:rPr>
              <w:t>OP</w:t>
            </w:r>
            <w:r w:rsidR="004C64B1">
              <w:rPr>
                <w:rFonts w:eastAsia="Times New Roman" w:cs="Times New Roman"/>
                <w:color w:val="000000"/>
                <w:sz w:val="28"/>
                <w:szCs w:val="28"/>
                <w:lang w:eastAsia="fr-FR"/>
              </w:rPr>
              <w:t>TTIRA Galloway EULAR ARD 2015 (29</w:t>
            </w:r>
            <w:r w:rsidRPr="00646E58">
              <w:rPr>
                <w:rFonts w:eastAsia="Times New Roman" w:cs="Times New Roman"/>
                <w:color w:val="000000"/>
                <w:sz w:val="28"/>
                <w:szCs w:val="28"/>
                <w:lang w:eastAsia="fr-FR"/>
              </w:rPr>
              <w:t>)</w:t>
            </w:r>
          </w:p>
        </w:tc>
        <w:tc>
          <w:tcPr>
            <w:tcW w:w="664"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31367302" w14:textId="32CD658F"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c>
          <w:tcPr>
            <w:tcW w:w="496"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10E6D2E5" w14:textId="6E1B1945"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c>
          <w:tcPr>
            <w:tcW w:w="497"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02355364" w14:textId="023227AE"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c>
          <w:tcPr>
            <w:tcW w:w="496"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52CCDFA5" w14:textId="1439CE31"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c>
          <w:tcPr>
            <w:tcW w:w="497"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18AC9F41" w14:textId="2B29B616"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c>
          <w:tcPr>
            <w:tcW w:w="445"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316630B8" w14:textId="4EA0544F"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r>
      <w:tr w:rsidR="004D52B8" w:rsidRPr="00C673EB" w14:paraId="15000D98" w14:textId="77777777" w:rsidTr="00C46145">
        <w:trPr>
          <w:trHeight w:val="375"/>
          <w:jc w:val="center"/>
        </w:trPr>
        <w:tc>
          <w:tcPr>
            <w:tcW w:w="479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0150D0DB" w14:textId="60833278" w:rsidR="004D52B8" w:rsidRPr="00646E58" w:rsidRDefault="004C64B1" w:rsidP="0079497F">
            <w:pPr>
              <w:pStyle w:val="Standard"/>
              <w:spacing w:after="0" w:line="240" w:lineRule="auto"/>
            </w:pPr>
            <w:r>
              <w:rPr>
                <w:rFonts w:eastAsia="Times New Roman" w:cs="Times New Roman"/>
                <w:color w:val="000000"/>
                <w:sz w:val="28"/>
                <w:szCs w:val="28"/>
                <w:lang w:eastAsia="fr-FR"/>
              </w:rPr>
              <w:t>Okano EULAR ARD 2015 (31</w:t>
            </w:r>
            <w:r w:rsidR="004D52B8" w:rsidRPr="00646E58">
              <w:rPr>
                <w:rFonts w:eastAsia="Times New Roman" w:cs="Times New Roman"/>
                <w:color w:val="000000"/>
                <w:sz w:val="28"/>
                <w:szCs w:val="28"/>
                <w:lang w:eastAsia="fr-FR"/>
              </w:rPr>
              <w:t>)</w:t>
            </w:r>
          </w:p>
        </w:tc>
        <w:tc>
          <w:tcPr>
            <w:tcW w:w="664"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14691EEE" w14:textId="644A565A"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c>
          <w:tcPr>
            <w:tcW w:w="496"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1FD43AE0" w14:textId="2B096720"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c>
          <w:tcPr>
            <w:tcW w:w="497"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2BE35B03" w14:textId="22B4BF71"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c>
          <w:tcPr>
            <w:tcW w:w="496"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4C2743B0" w14:textId="0D50D88C"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c>
          <w:tcPr>
            <w:tcW w:w="497"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195CA4F9" w14:textId="40555759"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c>
          <w:tcPr>
            <w:tcW w:w="445"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1231A127" w14:textId="43B9AB3E"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r>
      <w:tr w:rsidR="004D52B8" w:rsidRPr="00C673EB" w14:paraId="7F39A9CA" w14:textId="77777777" w:rsidTr="00C46145">
        <w:trPr>
          <w:trHeight w:val="375"/>
          <w:jc w:val="center"/>
        </w:trPr>
        <w:tc>
          <w:tcPr>
            <w:tcW w:w="479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3E162B14" w14:textId="69C3D7A4" w:rsidR="004D52B8" w:rsidRPr="00646E58" w:rsidRDefault="004C64B1" w:rsidP="0079497F">
            <w:pPr>
              <w:pStyle w:val="Standard"/>
              <w:spacing w:after="0" w:line="240" w:lineRule="auto"/>
            </w:pPr>
            <w:proofErr w:type="spellStart"/>
            <w:r>
              <w:rPr>
                <w:rFonts w:eastAsia="Times New Roman" w:cs="Times New Roman"/>
                <w:color w:val="000000"/>
                <w:sz w:val="28"/>
                <w:szCs w:val="28"/>
                <w:lang w:eastAsia="fr-FR"/>
              </w:rPr>
              <w:t>Giollo</w:t>
            </w:r>
            <w:proofErr w:type="spellEnd"/>
            <w:r>
              <w:rPr>
                <w:rFonts w:eastAsia="Times New Roman" w:cs="Times New Roman"/>
                <w:color w:val="000000"/>
                <w:sz w:val="28"/>
                <w:szCs w:val="28"/>
                <w:lang w:eastAsia="fr-FR"/>
              </w:rPr>
              <w:t xml:space="preserve"> EULAR ARD 2015 (30</w:t>
            </w:r>
            <w:r w:rsidR="004D52B8" w:rsidRPr="00646E58">
              <w:rPr>
                <w:rFonts w:eastAsia="Times New Roman" w:cs="Times New Roman"/>
                <w:color w:val="000000"/>
                <w:sz w:val="28"/>
                <w:szCs w:val="28"/>
                <w:lang w:eastAsia="fr-FR"/>
              </w:rPr>
              <w:t>)</w:t>
            </w:r>
          </w:p>
        </w:tc>
        <w:tc>
          <w:tcPr>
            <w:tcW w:w="664" w:type="dxa"/>
            <w:tcBorders>
              <w:bottom w:val="single" w:sz="4" w:space="0" w:color="00000A"/>
              <w:right w:val="single" w:sz="4" w:space="0" w:color="00000A"/>
            </w:tcBorders>
            <w:shd w:val="clear" w:color="auto" w:fill="FF0000"/>
            <w:tcMar>
              <w:top w:w="0" w:type="dxa"/>
              <w:left w:w="70" w:type="dxa"/>
              <w:bottom w:w="0" w:type="dxa"/>
              <w:right w:w="70" w:type="dxa"/>
            </w:tcMar>
            <w:vAlign w:val="center"/>
          </w:tcPr>
          <w:p w14:paraId="737F7435" w14:textId="77777777" w:rsidR="004D52B8" w:rsidRPr="00C673EB" w:rsidRDefault="004D52B8" w:rsidP="0079497F">
            <w:pPr>
              <w:pStyle w:val="Standard"/>
              <w:spacing w:after="0" w:line="240" w:lineRule="auto"/>
              <w:jc w:val="center"/>
            </w:pPr>
            <w:r>
              <w:rPr>
                <w:rFonts w:eastAsia="Times New Roman" w:cs="Times New Roman"/>
                <w:sz w:val="24"/>
                <w:szCs w:val="24"/>
                <w:lang w:eastAsia="fr-FR"/>
              </w:rPr>
              <w:t>H</w:t>
            </w:r>
          </w:p>
        </w:tc>
        <w:tc>
          <w:tcPr>
            <w:tcW w:w="496"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7B99FC34" w14:textId="114D4F68"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c>
          <w:tcPr>
            <w:tcW w:w="497"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5D6D46E8" w14:textId="43EB229C"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c>
          <w:tcPr>
            <w:tcW w:w="496"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44462166" w14:textId="22CDE98E"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c>
          <w:tcPr>
            <w:tcW w:w="497"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517C2E34" w14:textId="34CFAFA7"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c>
          <w:tcPr>
            <w:tcW w:w="445" w:type="dxa"/>
            <w:tcBorders>
              <w:bottom w:val="single" w:sz="4" w:space="0" w:color="00000A"/>
              <w:right w:val="single" w:sz="4" w:space="0" w:color="00000A"/>
            </w:tcBorders>
            <w:shd w:val="clear" w:color="auto" w:fill="FFFF00"/>
            <w:tcMar>
              <w:top w:w="0" w:type="dxa"/>
              <w:left w:w="70" w:type="dxa"/>
              <w:bottom w:w="0" w:type="dxa"/>
              <w:right w:w="70" w:type="dxa"/>
            </w:tcMar>
            <w:vAlign w:val="center"/>
          </w:tcPr>
          <w:p w14:paraId="24056D2A" w14:textId="72D65A5D" w:rsidR="004D52B8" w:rsidRPr="00C673EB" w:rsidRDefault="00126E84" w:rsidP="0079497F">
            <w:pPr>
              <w:pStyle w:val="Standard"/>
              <w:spacing w:after="0" w:line="240" w:lineRule="auto"/>
              <w:jc w:val="center"/>
            </w:pPr>
            <w:r>
              <w:rPr>
                <w:rFonts w:eastAsia="Times New Roman" w:cs="Times New Roman"/>
                <w:sz w:val="24"/>
                <w:szCs w:val="24"/>
                <w:lang w:eastAsia="fr-FR"/>
              </w:rPr>
              <w:t>U</w:t>
            </w:r>
          </w:p>
        </w:tc>
      </w:tr>
    </w:tbl>
    <w:p w14:paraId="5C0117A3" w14:textId="77777777" w:rsidR="00126E84" w:rsidRDefault="00126E84">
      <w:pPr>
        <w:rPr>
          <w:lang w:val="en-GB"/>
        </w:rPr>
      </w:pPr>
    </w:p>
    <w:p w14:paraId="510EC6C0" w14:textId="77777777" w:rsidR="00D57A54" w:rsidRDefault="00D57A54">
      <w:pPr>
        <w:rPr>
          <w:lang w:val="en-GB"/>
        </w:rPr>
      </w:pPr>
      <w:r>
        <w:rPr>
          <w:lang w:val="en-GB"/>
        </w:rPr>
        <w:br w:type="page"/>
      </w:r>
    </w:p>
    <w:p w14:paraId="56343F81" w14:textId="50D9DD62" w:rsidR="00896070" w:rsidRPr="00602067" w:rsidRDefault="00896070">
      <w:pPr>
        <w:rPr>
          <w:lang w:val="en-GB"/>
        </w:rPr>
      </w:pPr>
      <w:r w:rsidRPr="00602067">
        <w:rPr>
          <w:lang w:val="en-GB"/>
        </w:rPr>
        <w:lastRenderedPageBreak/>
        <w:t>Interpretation of risk of bias</w:t>
      </w:r>
      <w:r w:rsidR="00126E84" w:rsidRPr="00602067">
        <w:rPr>
          <w:lang w:val="en-GB"/>
        </w:rPr>
        <w:t xml:space="preserve"> (Cochran tool)</w:t>
      </w:r>
      <w:r w:rsidRPr="00602067">
        <w:rPr>
          <w:lang w:val="en-GB"/>
        </w:rPr>
        <w:t>:</w:t>
      </w:r>
    </w:p>
    <w:tbl>
      <w:tblPr>
        <w:tblStyle w:val="Grilledutableau"/>
        <w:tblW w:w="9387" w:type="dxa"/>
        <w:tblInd w:w="360" w:type="dxa"/>
        <w:tblLook w:val="04A0" w:firstRow="1" w:lastRow="0" w:firstColumn="1" w:lastColumn="0" w:noHBand="0" w:noVBand="1"/>
      </w:tblPr>
      <w:tblGrid>
        <w:gridCol w:w="1591"/>
        <w:gridCol w:w="2552"/>
        <w:gridCol w:w="2551"/>
        <w:gridCol w:w="2693"/>
      </w:tblGrid>
      <w:tr w:rsidR="00126E84" w:rsidRPr="00602067" w14:paraId="25921BE5" w14:textId="77777777" w:rsidTr="00DD6DAD">
        <w:tc>
          <w:tcPr>
            <w:tcW w:w="1591" w:type="dxa"/>
          </w:tcPr>
          <w:p w14:paraId="2F6930A9" w14:textId="007C77E8" w:rsidR="00896070" w:rsidRPr="00602067" w:rsidRDefault="00126E84" w:rsidP="00896070">
            <w:pPr>
              <w:pStyle w:val="Paragraphedeliste"/>
              <w:ind w:left="0"/>
              <w:rPr>
                <w:lang w:val="en-US"/>
              </w:rPr>
            </w:pPr>
            <w:r w:rsidRPr="00602067">
              <w:rPr>
                <w:lang w:val="en-US"/>
              </w:rPr>
              <w:t>Risk of bias</w:t>
            </w:r>
          </w:p>
        </w:tc>
        <w:tc>
          <w:tcPr>
            <w:tcW w:w="2552" w:type="dxa"/>
          </w:tcPr>
          <w:p w14:paraId="717C8ACC" w14:textId="45D00201" w:rsidR="00896070" w:rsidRPr="00602067" w:rsidRDefault="00126E84" w:rsidP="00896070">
            <w:pPr>
              <w:pStyle w:val="Paragraphedeliste"/>
              <w:ind w:left="0"/>
              <w:rPr>
                <w:lang w:val="en-US"/>
              </w:rPr>
            </w:pPr>
            <w:r w:rsidRPr="00602067">
              <w:rPr>
                <w:lang w:val="en-US"/>
              </w:rPr>
              <w:t>Low risk</w:t>
            </w:r>
          </w:p>
        </w:tc>
        <w:tc>
          <w:tcPr>
            <w:tcW w:w="2551" w:type="dxa"/>
          </w:tcPr>
          <w:p w14:paraId="51E5B848" w14:textId="45A1FA57" w:rsidR="00896070" w:rsidRPr="00602067" w:rsidRDefault="00126E84" w:rsidP="00896070">
            <w:pPr>
              <w:pStyle w:val="Paragraphedeliste"/>
              <w:ind w:left="0"/>
              <w:rPr>
                <w:lang w:val="en-US"/>
              </w:rPr>
            </w:pPr>
            <w:r w:rsidRPr="00602067">
              <w:rPr>
                <w:lang w:val="en-US"/>
              </w:rPr>
              <w:t xml:space="preserve">High risk </w:t>
            </w:r>
          </w:p>
        </w:tc>
        <w:tc>
          <w:tcPr>
            <w:tcW w:w="2693" w:type="dxa"/>
          </w:tcPr>
          <w:p w14:paraId="74DB8BE1" w14:textId="1E344883" w:rsidR="00896070" w:rsidRPr="00602067" w:rsidRDefault="00126E84" w:rsidP="00896070">
            <w:pPr>
              <w:pStyle w:val="Paragraphedeliste"/>
              <w:ind w:left="0"/>
              <w:rPr>
                <w:lang w:val="en-US"/>
              </w:rPr>
            </w:pPr>
            <w:r w:rsidRPr="00602067">
              <w:rPr>
                <w:lang w:val="en-US"/>
              </w:rPr>
              <w:t>Unclear</w:t>
            </w:r>
          </w:p>
        </w:tc>
      </w:tr>
      <w:tr w:rsidR="00D57A54" w:rsidRPr="003D48C6" w14:paraId="607CD748" w14:textId="77777777" w:rsidTr="00DD6DAD">
        <w:tc>
          <w:tcPr>
            <w:tcW w:w="1591" w:type="dxa"/>
          </w:tcPr>
          <w:p w14:paraId="7144DC0E" w14:textId="1ABA1078" w:rsidR="00D57A54" w:rsidRPr="00602067" w:rsidRDefault="00D57A54" w:rsidP="00D57A54">
            <w:pPr>
              <w:pStyle w:val="Paragraphedeliste"/>
              <w:ind w:left="0"/>
              <w:rPr>
                <w:lang w:val="en-US"/>
              </w:rPr>
            </w:pPr>
            <w:r w:rsidRPr="00602067">
              <w:rPr>
                <w:lang w:val="en-US"/>
              </w:rPr>
              <w:t>Allocation concealment</w:t>
            </w:r>
          </w:p>
        </w:tc>
        <w:tc>
          <w:tcPr>
            <w:tcW w:w="2552" w:type="dxa"/>
          </w:tcPr>
          <w:p w14:paraId="79BB0A4E" w14:textId="4EC5DBF3" w:rsidR="00D57A54" w:rsidRPr="00602067" w:rsidRDefault="00D57A54" w:rsidP="00D57A54">
            <w:pPr>
              <w:pStyle w:val="Paragraphedeliste"/>
              <w:ind w:left="0"/>
              <w:rPr>
                <w:lang w:val="en-US"/>
              </w:rPr>
            </w:pPr>
            <w:r w:rsidRPr="00602067">
              <w:rPr>
                <w:lang w:val="en-US"/>
              </w:rPr>
              <w:t>Intervention allocations likely could not have been foreseen in before or during enrollment</w:t>
            </w:r>
          </w:p>
        </w:tc>
        <w:tc>
          <w:tcPr>
            <w:tcW w:w="2551" w:type="dxa"/>
          </w:tcPr>
          <w:p w14:paraId="1787510B" w14:textId="3EF125E3" w:rsidR="00D57A54" w:rsidRPr="00602067" w:rsidRDefault="00D57A54" w:rsidP="00D57A54">
            <w:pPr>
              <w:pStyle w:val="Paragraphedeliste"/>
              <w:ind w:left="0"/>
              <w:rPr>
                <w:lang w:val="en-US"/>
              </w:rPr>
            </w:pPr>
            <w:r w:rsidRPr="00602067">
              <w:rPr>
                <w:lang w:val="en-US"/>
              </w:rPr>
              <w:t>Selection bias (biased allocation to interventions) due to inadequate concealment of allocations prior to assignment</w:t>
            </w:r>
          </w:p>
        </w:tc>
        <w:tc>
          <w:tcPr>
            <w:tcW w:w="2693" w:type="dxa"/>
          </w:tcPr>
          <w:p w14:paraId="3D3CCC77" w14:textId="4D973650" w:rsidR="00D57A54" w:rsidRPr="00602067" w:rsidRDefault="00D57A54" w:rsidP="00D57A54">
            <w:pPr>
              <w:pStyle w:val="Paragraphedeliste"/>
              <w:ind w:left="0"/>
              <w:rPr>
                <w:lang w:val="en-US"/>
              </w:rPr>
            </w:pPr>
            <w:r w:rsidRPr="00602067">
              <w:rPr>
                <w:lang w:val="en-US"/>
              </w:rPr>
              <w:t>Not described in sufficient detail</w:t>
            </w:r>
          </w:p>
        </w:tc>
      </w:tr>
      <w:tr w:rsidR="00D57A54" w:rsidRPr="003D48C6" w14:paraId="075DC66C" w14:textId="77777777" w:rsidTr="00DD6DAD">
        <w:tc>
          <w:tcPr>
            <w:tcW w:w="1591" w:type="dxa"/>
          </w:tcPr>
          <w:p w14:paraId="305BCE22" w14:textId="6A9C0497" w:rsidR="00D57A54" w:rsidRPr="00602067" w:rsidRDefault="00D57A54" w:rsidP="00D57A54">
            <w:pPr>
              <w:pStyle w:val="Paragraphedeliste"/>
              <w:ind w:left="0"/>
              <w:rPr>
                <w:lang w:val="en-US"/>
              </w:rPr>
            </w:pPr>
            <w:r w:rsidRPr="00602067">
              <w:rPr>
                <w:lang w:val="en-US"/>
              </w:rPr>
              <w:t>Random sequence generation</w:t>
            </w:r>
          </w:p>
        </w:tc>
        <w:tc>
          <w:tcPr>
            <w:tcW w:w="2552" w:type="dxa"/>
          </w:tcPr>
          <w:p w14:paraId="4CFFB42F" w14:textId="1A0F737A" w:rsidR="00D57A54" w:rsidRPr="00602067" w:rsidRDefault="00D57A54" w:rsidP="00D57A54">
            <w:pPr>
              <w:pStyle w:val="Paragraphedeliste"/>
              <w:ind w:left="0"/>
              <w:rPr>
                <w:lang w:val="en-US"/>
              </w:rPr>
            </w:pPr>
            <w:r w:rsidRPr="00602067">
              <w:rPr>
                <w:lang w:val="en-US"/>
              </w:rPr>
              <w:t>Random sequence generation method should produce comparable group</w:t>
            </w:r>
          </w:p>
        </w:tc>
        <w:tc>
          <w:tcPr>
            <w:tcW w:w="2551" w:type="dxa"/>
          </w:tcPr>
          <w:p w14:paraId="08B05402" w14:textId="34C1B591" w:rsidR="00D57A54" w:rsidRPr="00602067" w:rsidRDefault="00D57A54" w:rsidP="00D57A54">
            <w:pPr>
              <w:pStyle w:val="Paragraphedeliste"/>
              <w:ind w:left="0"/>
              <w:rPr>
                <w:lang w:val="en-US"/>
              </w:rPr>
            </w:pPr>
            <w:r w:rsidRPr="00602067">
              <w:rPr>
                <w:lang w:val="en-US"/>
              </w:rPr>
              <w:t>Selection bias (biased allocation to interventions) due to inadequate generation of a randomized sequence</w:t>
            </w:r>
          </w:p>
        </w:tc>
        <w:tc>
          <w:tcPr>
            <w:tcW w:w="2693" w:type="dxa"/>
          </w:tcPr>
          <w:p w14:paraId="6F937789" w14:textId="6275D785" w:rsidR="00D57A54" w:rsidRPr="00602067" w:rsidRDefault="00D57A54" w:rsidP="00D57A54">
            <w:pPr>
              <w:pStyle w:val="Paragraphedeliste"/>
              <w:ind w:left="0"/>
              <w:rPr>
                <w:lang w:val="en-US"/>
              </w:rPr>
            </w:pPr>
            <w:r w:rsidRPr="00602067">
              <w:rPr>
                <w:lang w:val="en-US"/>
              </w:rPr>
              <w:t>Not described in sufficient detail</w:t>
            </w:r>
          </w:p>
        </w:tc>
      </w:tr>
      <w:tr w:rsidR="00D57A54" w:rsidRPr="003D48C6" w14:paraId="519A0E76" w14:textId="77777777" w:rsidTr="00DD6DAD">
        <w:tc>
          <w:tcPr>
            <w:tcW w:w="1591" w:type="dxa"/>
          </w:tcPr>
          <w:p w14:paraId="3391D642" w14:textId="1724A3C8" w:rsidR="00D57A54" w:rsidRPr="00602067" w:rsidRDefault="00D57A54" w:rsidP="00D57A54">
            <w:pPr>
              <w:pStyle w:val="Paragraphedeliste"/>
              <w:ind w:left="0"/>
              <w:rPr>
                <w:lang w:val="en-US"/>
              </w:rPr>
            </w:pPr>
            <w:r w:rsidRPr="00602067">
              <w:rPr>
                <w:lang w:val="en-US"/>
              </w:rPr>
              <w:t>Blinding</w:t>
            </w:r>
          </w:p>
        </w:tc>
        <w:tc>
          <w:tcPr>
            <w:tcW w:w="2552" w:type="dxa"/>
          </w:tcPr>
          <w:p w14:paraId="7CD55E37" w14:textId="191F0D82" w:rsidR="00D57A54" w:rsidRPr="00602067" w:rsidRDefault="00D57A54" w:rsidP="00D57A54">
            <w:pPr>
              <w:pStyle w:val="Paragraphedeliste"/>
              <w:ind w:left="0"/>
              <w:rPr>
                <w:lang w:val="en-US"/>
              </w:rPr>
            </w:pPr>
            <w:r w:rsidRPr="00602067">
              <w:rPr>
                <w:lang w:val="en-US"/>
              </w:rPr>
              <w:t>Blinding was likely effective.</w:t>
            </w:r>
          </w:p>
        </w:tc>
        <w:tc>
          <w:tcPr>
            <w:tcW w:w="2551" w:type="dxa"/>
          </w:tcPr>
          <w:p w14:paraId="208C65AF" w14:textId="5E5C9284" w:rsidR="00D57A54" w:rsidRPr="00602067" w:rsidRDefault="00D57A54" w:rsidP="00D57A54">
            <w:pPr>
              <w:pStyle w:val="Paragraphedeliste"/>
              <w:ind w:left="0"/>
              <w:rPr>
                <w:lang w:val="en-US"/>
              </w:rPr>
            </w:pPr>
            <w:r w:rsidRPr="00602067">
              <w:rPr>
                <w:lang w:val="en-US"/>
              </w:rPr>
              <w:t>Performance bias due to knowledge of the allocated interventions by participants and personnel during the study.</w:t>
            </w:r>
          </w:p>
        </w:tc>
        <w:tc>
          <w:tcPr>
            <w:tcW w:w="2693" w:type="dxa"/>
          </w:tcPr>
          <w:p w14:paraId="4525AE3C" w14:textId="5721B059" w:rsidR="00D57A54" w:rsidRPr="00602067" w:rsidRDefault="00D57A54" w:rsidP="00D57A54">
            <w:pPr>
              <w:pStyle w:val="Paragraphedeliste"/>
              <w:ind w:left="0"/>
              <w:rPr>
                <w:lang w:val="en-US"/>
              </w:rPr>
            </w:pPr>
            <w:r w:rsidRPr="00602067">
              <w:rPr>
                <w:lang w:val="en-US"/>
              </w:rPr>
              <w:t>Not described in sufficient detail</w:t>
            </w:r>
          </w:p>
        </w:tc>
      </w:tr>
      <w:tr w:rsidR="00D57A54" w:rsidRPr="00602067" w14:paraId="4F2D28E1" w14:textId="77777777" w:rsidTr="00DD6DAD">
        <w:tc>
          <w:tcPr>
            <w:tcW w:w="1591" w:type="dxa"/>
          </w:tcPr>
          <w:p w14:paraId="1E299677" w14:textId="63302A40" w:rsidR="00D57A54" w:rsidRPr="00602067" w:rsidRDefault="00D57A54" w:rsidP="00D57A54">
            <w:pPr>
              <w:pStyle w:val="Paragraphedeliste"/>
              <w:ind w:left="0"/>
              <w:rPr>
                <w:lang w:val="en-US"/>
              </w:rPr>
            </w:pPr>
            <w:r w:rsidRPr="00602067">
              <w:rPr>
                <w:lang w:val="en-US"/>
              </w:rPr>
              <w:t>Selective reporting</w:t>
            </w:r>
          </w:p>
        </w:tc>
        <w:tc>
          <w:tcPr>
            <w:tcW w:w="2552" w:type="dxa"/>
          </w:tcPr>
          <w:p w14:paraId="3C7E25A7" w14:textId="65CBFF0B" w:rsidR="00D57A54" w:rsidRPr="00602067" w:rsidRDefault="00D57A54" w:rsidP="00D57A54">
            <w:pPr>
              <w:pStyle w:val="Paragraphedeliste"/>
              <w:ind w:left="0"/>
              <w:rPr>
                <w:lang w:val="en-US"/>
              </w:rPr>
            </w:pPr>
            <w:r w:rsidRPr="00602067">
              <w:rPr>
                <w:lang w:val="en-US"/>
              </w:rPr>
              <w:t>Selective outcome reporting bias not detected</w:t>
            </w:r>
          </w:p>
        </w:tc>
        <w:tc>
          <w:tcPr>
            <w:tcW w:w="2551" w:type="dxa"/>
          </w:tcPr>
          <w:p w14:paraId="4E774A03" w14:textId="6A4D8417" w:rsidR="00D57A54" w:rsidRPr="00602067" w:rsidRDefault="00D57A54" w:rsidP="00D57A54">
            <w:pPr>
              <w:pStyle w:val="Paragraphedeliste"/>
              <w:ind w:left="0"/>
              <w:rPr>
                <w:lang w:val="en-US"/>
              </w:rPr>
            </w:pPr>
            <w:r w:rsidRPr="00602067">
              <w:rPr>
                <w:lang w:val="en-US"/>
              </w:rPr>
              <w:t>Reporting bias due to selective outcome reporting</w:t>
            </w:r>
          </w:p>
        </w:tc>
        <w:tc>
          <w:tcPr>
            <w:tcW w:w="2693" w:type="dxa"/>
          </w:tcPr>
          <w:p w14:paraId="515F46D5" w14:textId="4418A24A" w:rsidR="00D57A54" w:rsidRPr="00602067" w:rsidRDefault="00D57A54" w:rsidP="00D57A54">
            <w:pPr>
              <w:pStyle w:val="Paragraphedeliste"/>
              <w:ind w:left="0"/>
              <w:rPr>
                <w:lang w:val="en-US"/>
              </w:rPr>
            </w:pPr>
            <w:r w:rsidRPr="00602067">
              <w:rPr>
                <w:lang w:val="en-US"/>
              </w:rPr>
              <w:t>Insufficient information to permit judgment</w:t>
            </w:r>
          </w:p>
        </w:tc>
      </w:tr>
      <w:tr w:rsidR="00D57A54" w:rsidRPr="003D48C6" w14:paraId="5CC16EC2" w14:textId="77777777" w:rsidTr="00DD6DAD">
        <w:tc>
          <w:tcPr>
            <w:tcW w:w="1591" w:type="dxa"/>
          </w:tcPr>
          <w:p w14:paraId="12860EDE" w14:textId="6683AF7A" w:rsidR="00D57A54" w:rsidRPr="00602067" w:rsidRDefault="00D57A54" w:rsidP="00D57A54">
            <w:pPr>
              <w:pStyle w:val="Paragraphedeliste"/>
              <w:ind w:left="0"/>
              <w:rPr>
                <w:lang w:val="en-US"/>
              </w:rPr>
            </w:pPr>
            <w:r w:rsidRPr="00602067">
              <w:rPr>
                <w:lang w:val="en-US"/>
              </w:rPr>
              <w:t>Other bias</w:t>
            </w:r>
          </w:p>
        </w:tc>
        <w:tc>
          <w:tcPr>
            <w:tcW w:w="2552" w:type="dxa"/>
          </w:tcPr>
          <w:p w14:paraId="3BF506EE" w14:textId="06B3A38B" w:rsidR="00D57A54" w:rsidRPr="00602067" w:rsidRDefault="00D57A54" w:rsidP="00D57A54">
            <w:pPr>
              <w:pStyle w:val="Paragraphedeliste"/>
              <w:ind w:left="0"/>
              <w:rPr>
                <w:lang w:val="en-US"/>
              </w:rPr>
            </w:pPr>
            <w:r w:rsidRPr="00602067">
              <w:rPr>
                <w:lang w:val="en-US"/>
              </w:rPr>
              <w:t>No other bias detected</w:t>
            </w:r>
          </w:p>
        </w:tc>
        <w:tc>
          <w:tcPr>
            <w:tcW w:w="2551" w:type="dxa"/>
          </w:tcPr>
          <w:p w14:paraId="4217BFB6" w14:textId="08031605" w:rsidR="00D57A54" w:rsidRPr="00602067" w:rsidRDefault="00D57A54" w:rsidP="00D57A54">
            <w:pPr>
              <w:pStyle w:val="Paragraphedeliste"/>
              <w:ind w:left="0"/>
              <w:rPr>
                <w:lang w:val="en-US"/>
              </w:rPr>
            </w:pPr>
            <w:r w:rsidRPr="00602067">
              <w:rPr>
                <w:lang w:val="en-US"/>
              </w:rPr>
              <w:t>Bias due to problems not covered elsewhere in the table</w:t>
            </w:r>
          </w:p>
        </w:tc>
        <w:tc>
          <w:tcPr>
            <w:tcW w:w="2693" w:type="dxa"/>
          </w:tcPr>
          <w:p w14:paraId="24228E7F" w14:textId="190A83D9" w:rsidR="00D57A54" w:rsidRPr="00D57A54" w:rsidRDefault="00D57A54" w:rsidP="00D57A54">
            <w:pPr>
              <w:pStyle w:val="Paragraphedeliste"/>
              <w:ind w:left="0"/>
              <w:rPr>
                <w:lang w:val="en-US"/>
              </w:rPr>
            </w:pPr>
            <w:r w:rsidRPr="00602067">
              <w:rPr>
                <w:lang w:val="en-US"/>
              </w:rPr>
              <w:t>There may be a risk of bias, but there is either insufficient information to assess whether an important risk of bias exists or insufficient rationale or evidence that an identified problem will introduce bias</w:t>
            </w:r>
          </w:p>
        </w:tc>
      </w:tr>
    </w:tbl>
    <w:p w14:paraId="3357B81C" w14:textId="3BC0CFE0" w:rsidR="00462228" w:rsidRPr="00896070" w:rsidRDefault="00462228" w:rsidP="00896070">
      <w:pPr>
        <w:pStyle w:val="Paragraphedeliste"/>
        <w:ind w:left="360"/>
        <w:rPr>
          <w:lang w:val="en-GB"/>
        </w:rPr>
      </w:pPr>
      <w:r w:rsidRPr="00896070">
        <w:rPr>
          <w:lang w:val="en-GB"/>
        </w:rPr>
        <w:br w:type="page"/>
      </w:r>
    </w:p>
    <w:p w14:paraId="63F84742" w14:textId="01DBE027" w:rsidR="001B6534" w:rsidRPr="00602067" w:rsidRDefault="00C674C6">
      <w:pPr>
        <w:rPr>
          <w:lang w:val="en-GB"/>
        </w:rPr>
      </w:pPr>
      <w:r w:rsidRPr="00602067">
        <w:rPr>
          <w:lang w:val="en-GB"/>
        </w:rPr>
        <w:lastRenderedPageBreak/>
        <w:t>Figures S2: Funnel plot representing</w:t>
      </w:r>
      <w:r w:rsidR="001B6534" w:rsidRPr="00602067">
        <w:rPr>
          <w:lang w:val="en-GB"/>
        </w:rPr>
        <w:t xml:space="preserve"> selection bias risk:</w:t>
      </w:r>
    </w:p>
    <w:p w14:paraId="0E076DDD" w14:textId="107E96DF" w:rsidR="009D4525" w:rsidRPr="00602067" w:rsidRDefault="009D4525" w:rsidP="009D4525">
      <w:pPr>
        <w:pStyle w:val="Paragraphedeliste"/>
        <w:numPr>
          <w:ilvl w:val="0"/>
          <w:numId w:val="1"/>
        </w:numPr>
        <w:rPr>
          <w:lang w:val="en-GB"/>
        </w:rPr>
      </w:pPr>
      <w:r w:rsidRPr="00602067">
        <w:rPr>
          <w:lang w:val="en-GB"/>
        </w:rPr>
        <w:t>Risk of losing remission in case of bDMARD discontinuation versus continuation</w:t>
      </w:r>
    </w:p>
    <w:p w14:paraId="24B2C1E1" w14:textId="77777777" w:rsidR="009D4525" w:rsidRPr="001634FD" w:rsidRDefault="009D4525">
      <w:pPr>
        <w:rPr>
          <w:highlight w:val="yellow"/>
          <w:lang w:val="en-GB"/>
        </w:rPr>
      </w:pPr>
      <w:r w:rsidRPr="001634FD">
        <w:rPr>
          <w:noProof/>
          <w:highlight w:val="yellow"/>
        </w:rPr>
        <w:drawing>
          <wp:inline distT="0" distB="0" distL="0" distR="0" wp14:anchorId="58DB26C4" wp14:editId="194F9CC6">
            <wp:extent cx="4391025" cy="306626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11433" cy="3080515"/>
                    </a:xfrm>
                    <a:prstGeom prst="rect">
                      <a:avLst/>
                    </a:prstGeom>
                  </pic:spPr>
                </pic:pic>
              </a:graphicData>
            </a:graphic>
          </wp:inline>
        </w:drawing>
      </w:r>
    </w:p>
    <w:p w14:paraId="2DD2BAC4" w14:textId="77777777" w:rsidR="009D4525" w:rsidRPr="00602067" w:rsidRDefault="009D4525">
      <w:pPr>
        <w:rPr>
          <w:lang w:val="en-GB"/>
        </w:rPr>
      </w:pPr>
      <w:r w:rsidRPr="00602067">
        <w:rPr>
          <w:lang w:val="en-GB"/>
        </w:rPr>
        <w:t>P value (Egger test) = 0.445</w:t>
      </w:r>
    </w:p>
    <w:p w14:paraId="0D659E6E" w14:textId="77777777" w:rsidR="009D4525" w:rsidRPr="00602067" w:rsidRDefault="009D4525">
      <w:pPr>
        <w:rPr>
          <w:lang w:val="en-GB"/>
        </w:rPr>
      </w:pPr>
    </w:p>
    <w:p w14:paraId="4FEBE810" w14:textId="1037D72C" w:rsidR="00D82389" w:rsidRPr="00602067" w:rsidRDefault="009D4525" w:rsidP="00D82389">
      <w:pPr>
        <w:pStyle w:val="Paragraphedeliste"/>
        <w:numPr>
          <w:ilvl w:val="0"/>
          <w:numId w:val="1"/>
        </w:numPr>
        <w:rPr>
          <w:lang w:val="en-GB"/>
        </w:rPr>
      </w:pPr>
      <w:r w:rsidRPr="00602067">
        <w:rPr>
          <w:lang w:val="en-GB"/>
        </w:rPr>
        <w:t xml:space="preserve">Risk of </w:t>
      </w:r>
      <w:r w:rsidR="00AA4AC2" w:rsidRPr="00602067">
        <w:rPr>
          <w:lang w:val="en-GB"/>
        </w:rPr>
        <w:t>losing LDA in case of bDMARD</w:t>
      </w:r>
      <w:r w:rsidRPr="00602067">
        <w:rPr>
          <w:lang w:val="en-GB"/>
        </w:rPr>
        <w:t xml:space="preserve"> discontinuation versus continuation</w:t>
      </w:r>
    </w:p>
    <w:p w14:paraId="676DFDD1" w14:textId="77777777" w:rsidR="00D82389" w:rsidRPr="001634FD" w:rsidRDefault="00D82389">
      <w:pPr>
        <w:rPr>
          <w:highlight w:val="yellow"/>
          <w:lang w:val="en-GB"/>
        </w:rPr>
      </w:pPr>
      <w:r w:rsidRPr="001634FD">
        <w:rPr>
          <w:noProof/>
          <w:highlight w:val="yellow"/>
        </w:rPr>
        <w:drawing>
          <wp:inline distT="0" distB="0" distL="0" distR="0" wp14:anchorId="364916F1" wp14:editId="1D56A5B1">
            <wp:extent cx="4291927" cy="30003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02024" cy="3007434"/>
                    </a:xfrm>
                    <a:prstGeom prst="rect">
                      <a:avLst/>
                    </a:prstGeom>
                  </pic:spPr>
                </pic:pic>
              </a:graphicData>
            </a:graphic>
          </wp:inline>
        </w:drawing>
      </w:r>
    </w:p>
    <w:p w14:paraId="0A3CBA35" w14:textId="77777777" w:rsidR="00D82389" w:rsidRPr="00602067" w:rsidRDefault="00D82389">
      <w:pPr>
        <w:rPr>
          <w:lang w:val="en-GB"/>
        </w:rPr>
      </w:pPr>
      <w:r w:rsidRPr="00602067">
        <w:rPr>
          <w:lang w:val="en-GB"/>
        </w:rPr>
        <w:t>P value (Egger test) = 0.615</w:t>
      </w:r>
    </w:p>
    <w:p w14:paraId="26905AA7" w14:textId="77777777" w:rsidR="00D82389" w:rsidRPr="00602067" w:rsidRDefault="00D82389">
      <w:pPr>
        <w:rPr>
          <w:lang w:val="en-GB"/>
        </w:rPr>
      </w:pPr>
    </w:p>
    <w:p w14:paraId="12312D59" w14:textId="77777777" w:rsidR="00D82389" w:rsidRPr="00602067" w:rsidRDefault="00D82389">
      <w:pPr>
        <w:rPr>
          <w:lang w:val="en-GB"/>
        </w:rPr>
      </w:pPr>
    </w:p>
    <w:p w14:paraId="6C069386" w14:textId="0CFC8929" w:rsidR="00AA4AC2" w:rsidRPr="00602067" w:rsidRDefault="00D82389" w:rsidP="00D82389">
      <w:pPr>
        <w:pStyle w:val="Paragraphedeliste"/>
        <w:numPr>
          <w:ilvl w:val="0"/>
          <w:numId w:val="1"/>
        </w:numPr>
        <w:rPr>
          <w:lang w:val="en-GB"/>
        </w:rPr>
      </w:pPr>
      <w:r w:rsidRPr="00602067">
        <w:rPr>
          <w:lang w:val="en-GB"/>
        </w:rPr>
        <w:lastRenderedPageBreak/>
        <w:t>Risk of structural progression in case of</w:t>
      </w:r>
      <w:r w:rsidR="00AA4AC2" w:rsidRPr="00602067">
        <w:rPr>
          <w:lang w:val="en-GB"/>
        </w:rPr>
        <w:t xml:space="preserve"> bDMARD discontinuation versus continuation</w:t>
      </w:r>
    </w:p>
    <w:p w14:paraId="28BDED5D" w14:textId="77777777" w:rsidR="00AA4AC2" w:rsidRPr="001634FD" w:rsidRDefault="00AA4AC2" w:rsidP="00AA4AC2">
      <w:pPr>
        <w:rPr>
          <w:highlight w:val="yellow"/>
          <w:lang w:val="en-GB"/>
        </w:rPr>
      </w:pPr>
    </w:p>
    <w:p w14:paraId="6A545CEF" w14:textId="77777777" w:rsidR="00AA4AC2" w:rsidRPr="001634FD" w:rsidRDefault="00AA4AC2" w:rsidP="00AA4AC2">
      <w:pPr>
        <w:rPr>
          <w:highlight w:val="yellow"/>
          <w:lang w:val="en-GB"/>
        </w:rPr>
      </w:pPr>
      <w:r w:rsidRPr="001634FD">
        <w:rPr>
          <w:noProof/>
          <w:highlight w:val="yellow"/>
        </w:rPr>
        <w:drawing>
          <wp:inline distT="0" distB="0" distL="0" distR="0" wp14:anchorId="02B8AFE7" wp14:editId="5974535A">
            <wp:extent cx="3667125" cy="264374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86916" cy="2658009"/>
                    </a:xfrm>
                    <a:prstGeom prst="rect">
                      <a:avLst/>
                    </a:prstGeom>
                  </pic:spPr>
                </pic:pic>
              </a:graphicData>
            </a:graphic>
          </wp:inline>
        </w:drawing>
      </w:r>
    </w:p>
    <w:p w14:paraId="403BF1EF" w14:textId="77777777" w:rsidR="00AA4AC2" w:rsidRPr="00602067" w:rsidRDefault="00AA4AC2" w:rsidP="00AA4AC2">
      <w:pPr>
        <w:rPr>
          <w:lang w:val="en-GB"/>
        </w:rPr>
      </w:pPr>
      <w:r w:rsidRPr="00602067">
        <w:rPr>
          <w:lang w:val="en-GB"/>
        </w:rPr>
        <w:t>P value (Egger test) = 0.591</w:t>
      </w:r>
    </w:p>
    <w:p w14:paraId="3332D042" w14:textId="77777777" w:rsidR="00AA4AC2" w:rsidRPr="00602067" w:rsidRDefault="00AA4AC2" w:rsidP="00AA4AC2">
      <w:pPr>
        <w:rPr>
          <w:lang w:val="en-GB"/>
        </w:rPr>
      </w:pPr>
    </w:p>
    <w:p w14:paraId="26AF6254" w14:textId="05F8B02E" w:rsidR="00AA4AC2" w:rsidRPr="00602067" w:rsidRDefault="00AA4AC2" w:rsidP="00AA4AC2">
      <w:pPr>
        <w:pStyle w:val="Paragraphedeliste"/>
        <w:numPr>
          <w:ilvl w:val="0"/>
          <w:numId w:val="1"/>
        </w:numPr>
        <w:rPr>
          <w:lang w:val="en-GB"/>
        </w:rPr>
      </w:pPr>
      <w:r w:rsidRPr="00602067">
        <w:rPr>
          <w:lang w:val="en-GB"/>
        </w:rPr>
        <w:t xml:space="preserve">Risk of losing remission in case of bDMARD </w:t>
      </w:r>
      <w:r w:rsidR="00661921" w:rsidRPr="00602067">
        <w:rPr>
          <w:rFonts w:cs="Times New Roman"/>
          <w:sz w:val="24"/>
          <w:szCs w:val="24"/>
          <w:lang w:val="en-US"/>
        </w:rPr>
        <w:t>tapering</w:t>
      </w:r>
      <w:r w:rsidRPr="00602067">
        <w:rPr>
          <w:lang w:val="en-GB"/>
        </w:rPr>
        <w:t xml:space="preserve"> versus continuation</w:t>
      </w:r>
    </w:p>
    <w:p w14:paraId="1B4D01C4" w14:textId="77777777" w:rsidR="00AA4AC2" w:rsidRPr="001634FD" w:rsidRDefault="00AA4AC2" w:rsidP="00AA4AC2">
      <w:pPr>
        <w:rPr>
          <w:highlight w:val="yellow"/>
          <w:lang w:val="en-GB"/>
        </w:rPr>
      </w:pPr>
      <w:r w:rsidRPr="001634FD">
        <w:rPr>
          <w:noProof/>
          <w:highlight w:val="yellow"/>
        </w:rPr>
        <w:drawing>
          <wp:inline distT="0" distB="0" distL="0" distR="0" wp14:anchorId="38931E69" wp14:editId="37E85E62">
            <wp:extent cx="4088673" cy="28098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96235" cy="2815072"/>
                    </a:xfrm>
                    <a:prstGeom prst="rect">
                      <a:avLst/>
                    </a:prstGeom>
                  </pic:spPr>
                </pic:pic>
              </a:graphicData>
            </a:graphic>
          </wp:inline>
        </w:drawing>
      </w:r>
    </w:p>
    <w:p w14:paraId="0B9B047B" w14:textId="77777777" w:rsidR="00AA4AC2" w:rsidRPr="00602067" w:rsidRDefault="00AA4AC2" w:rsidP="00AA4AC2">
      <w:pPr>
        <w:rPr>
          <w:lang w:val="en-GB"/>
        </w:rPr>
      </w:pPr>
      <w:r w:rsidRPr="00602067">
        <w:rPr>
          <w:lang w:val="en-GB"/>
        </w:rPr>
        <w:t>P value (Egger test) = 0.425</w:t>
      </w:r>
    </w:p>
    <w:p w14:paraId="212C3CA5" w14:textId="77777777" w:rsidR="00AA4AC2" w:rsidRPr="00602067" w:rsidRDefault="00AA4AC2" w:rsidP="00AA4AC2">
      <w:pPr>
        <w:rPr>
          <w:lang w:val="en-GB"/>
        </w:rPr>
      </w:pPr>
    </w:p>
    <w:p w14:paraId="7E9427E9" w14:textId="77777777" w:rsidR="00AA4AC2" w:rsidRPr="00602067" w:rsidRDefault="00AA4AC2" w:rsidP="00AA4AC2">
      <w:pPr>
        <w:rPr>
          <w:lang w:val="en-GB"/>
        </w:rPr>
      </w:pPr>
    </w:p>
    <w:p w14:paraId="726C6EA7" w14:textId="77777777" w:rsidR="00AA4AC2" w:rsidRPr="00602067" w:rsidRDefault="00AA4AC2" w:rsidP="00AA4AC2">
      <w:pPr>
        <w:rPr>
          <w:lang w:val="en-GB"/>
        </w:rPr>
      </w:pPr>
    </w:p>
    <w:p w14:paraId="0EBA1CB2" w14:textId="77777777" w:rsidR="00AA4AC2" w:rsidRPr="00602067" w:rsidRDefault="00AA4AC2" w:rsidP="00AA4AC2">
      <w:pPr>
        <w:rPr>
          <w:lang w:val="en-GB"/>
        </w:rPr>
      </w:pPr>
    </w:p>
    <w:p w14:paraId="5274D5B2" w14:textId="73B52DF4" w:rsidR="00AA4AC2" w:rsidRPr="00602067" w:rsidRDefault="00AA4AC2" w:rsidP="00AA4AC2">
      <w:pPr>
        <w:pStyle w:val="Paragraphedeliste"/>
        <w:numPr>
          <w:ilvl w:val="0"/>
          <w:numId w:val="1"/>
        </w:numPr>
        <w:rPr>
          <w:lang w:val="en-GB"/>
        </w:rPr>
      </w:pPr>
      <w:r w:rsidRPr="00602067">
        <w:rPr>
          <w:lang w:val="en-GB"/>
        </w:rPr>
        <w:lastRenderedPageBreak/>
        <w:t xml:space="preserve">Risk of losing LDA in case of bDMARD </w:t>
      </w:r>
      <w:r w:rsidR="00661921" w:rsidRPr="00602067">
        <w:rPr>
          <w:rFonts w:cs="Times New Roman"/>
          <w:sz w:val="24"/>
          <w:szCs w:val="24"/>
          <w:lang w:val="en-US"/>
        </w:rPr>
        <w:t>tapering</w:t>
      </w:r>
      <w:r w:rsidRPr="00602067">
        <w:rPr>
          <w:lang w:val="en-GB"/>
        </w:rPr>
        <w:t xml:space="preserve"> versus continuation</w:t>
      </w:r>
    </w:p>
    <w:p w14:paraId="42849F0A" w14:textId="77777777" w:rsidR="00AA4AC2" w:rsidRPr="001634FD" w:rsidRDefault="00AA4AC2" w:rsidP="00AA4AC2">
      <w:pPr>
        <w:rPr>
          <w:highlight w:val="yellow"/>
          <w:lang w:val="en-GB"/>
        </w:rPr>
      </w:pPr>
      <w:r w:rsidRPr="001634FD">
        <w:rPr>
          <w:noProof/>
          <w:highlight w:val="yellow"/>
        </w:rPr>
        <w:drawing>
          <wp:inline distT="0" distB="0" distL="0" distR="0" wp14:anchorId="7F0B0D41" wp14:editId="27AD4111">
            <wp:extent cx="4117596" cy="28956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1043" cy="2898024"/>
                    </a:xfrm>
                    <a:prstGeom prst="rect">
                      <a:avLst/>
                    </a:prstGeom>
                  </pic:spPr>
                </pic:pic>
              </a:graphicData>
            </a:graphic>
          </wp:inline>
        </w:drawing>
      </w:r>
    </w:p>
    <w:p w14:paraId="6F3994D7" w14:textId="77777777" w:rsidR="00AA4AC2" w:rsidRPr="00602067" w:rsidRDefault="00AA4AC2" w:rsidP="00AA4AC2">
      <w:pPr>
        <w:rPr>
          <w:lang w:val="en-GB"/>
        </w:rPr>
      </w:pPr>
      <w:r w:rsidRPr="00602067">
        <w:rPr>
          <w:lang w:val="en-GB"/>
        </w:rPr>
        <w:t>P value (Egger test) = 0.985</w:t>
      </w:r>
    </w:p>
    <w:p w14:paraId="72386C74" w14:textId="77777777" w:rsidR="00AA4AC2" w:rsidRPr="00602067" w:rsidRDefault="00AA4AC2" w:rsidP="00AA4AC2">
      <w:pPr>
        <w:rPr>
          <w:lang w:val="en-GB"/>
        </w:rPr>
      </w:pPr>
    </w:p>
    <w:p w14:paraId="273D5A2C" w14:textId="024D8028" w:rsidR="00AA4AC2" w:rsidRPr="00602067" w:rsidRDefault="00AA4AC2" w:rsidP="00AA4AC2">
      <w:pPr>
        <w:pStyle w:val="Paragraphedeliste"/>
        <w:numPr>
          <w:ilvl w:val="0"/>
          <w:numId w:val="1"/>
        </w:numPr>
        <w:rPr>
          <w:lang w:val="en-GB"/>
        </w:rPr>
      </w:pPr>
      <w:r w:rsidRPr="00602067">
        <w:rPr>
          <w:lang w:val="en-GB"/>
        </w:rPr>
        <w:t xml:space="preserve">Risk of structural progression in case of bDMARD </w:t>
      </w:r>
      <w:r w:rsidR="00661921" w:rsidRPr="00602067">
        <w:rPr>
          <w:rFonts w:cs="Times New Roman"/>
          <w:sz w:val="24"/>
          <w:szCs w:val="24"/>
          <w:lang w:val="en-US"/>
        </w:rPr>
        <w:t>tapering</w:t>
      </w:r>
      <w:r w:rsidRPr="00602067">
        <w:rPr>
          <w:lang w:val="en-GB"/>
        </w:rPr>
        <w:t xml:space="preserve"> versus continuation</w:t>
      </w:r>
    </w:p>
    <w:p w14:paraId="6D8BC0CD" w14:textId="77777777" w:rsidR="00AA4AC2" w:rsidRPr="001634FD" w:rsidRDefault="00AA4AC2" w:rsidP="00AA4AC2">
      <w:pPr>
        <w:rPr>
          <w:highlight w:val="yellow"/>
          <w:lang w:val="en-GB"/>
        </w:rPr>
      </w:pPr>
      <w:r w:rsidRPr="001634FD">
        <w:rPr>
          <w:noProof/>
          <w:highlight w:val="yellow"/>
        </w:rPr>
        <w:drawing>
          <wp:inline distT="0" distB="0" distL="0" distR="0" wp14:anchorId="1990D7AD" wp14:editId="632263C8">
            <wp:extent cx="4219575" cy="301268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24629" cy="3016294"/>
                    </a:xfrm>
                    <a:prstGeom prst="rect">
                      <a:avLst/>
                    </a:prstGeom>
                  </pic:spPr>
                </pic:pic>
              </a:graphicData>
            </a:graphic>
          </wp:inline>
        </w:drawing>
      </w:r>
    </w:p>
    <w:p w14:paraId="5D16A5F7" w14:textId="0869F353" w:rsidR="001B6534" w:rsidRPr="00602067" w:rsidRDefault="00AA4AC2" w:rsidP="00AA4AC2">
      <w:pPr>
        <w:rPr>
          <w:lang w:val="en-GB"/>
        </w:rPr>
      </w:pPr>
      <w:r w:rsidRPr="00602067">
        <w:rPr>
          <w:lang w:val="en-GB"/>
        </w:rPr>
        <w:t>P value (Egger test) = 0.534</w:t>
      </w:r>
      <w:r w:rsidR="001B6534" w:rsidRPr="00602067">
        <w:rPr>
          <w:lang w:val="en-GB"/>
        </w:rPr>
        <w:br w:type="page"/>
      </w:r>
    </w:p>
    <w:p w14:paraId="351E10AC" w14:textId="40A034CE" w:rsidR="00462228" w:rsidRDefault="001B6534">
      <w:pPr>
        <w:rPr>
          <w:lang w:val="en-GB"/>
        </w:rPr>
      </w:pPr>
      <w:r w:rsidRPr="00602067">
        <w:rPr>
          <w:lang w:val="en-GB"/>
        </w:rPr>
        <w:lastRenderedPageBreak/>
        <w:t>Figure S3</w:t>
      </w:r>
      <w:r w:rsidR="00462228" w:rsidRPr="00602067">
        <w:rPr>
          <w:lang w:val="en-GB"/>
        </w:rPr>
        <w:t>: Risk of losing remission, LDA or structural progression in case of bDMARD discontinuation versus continuation, sensibility analysis removing observational studies.</w:t>
      </w:r>
    </w:p>
    <w:p w14:paraId="70A02B35" w14:textId="6A14F13B" w:rsidR="008D787F" w:rsidRDefault="00844E2B">
      <w:pPr>
        <w:rPr>
          <w:lang w:val="en-GB"/>
        </w:rPr>
      </w:pPr>
      <w:r>
        <w:rPr>
          <w:noProof/>
          <w:lang w:val="en-GB"/>
        </w:rPr>
        <w:drawing>
          <wp:inline distT="0" distB="0" distL="0" distR="0" wp14:anchorId="40775DE5" wp14:editId="01B500E2">
            <wp:extent cx="6248400" cy="559457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s supplementaires.jpg"/>
                    <pic:cNvPicPr/>
                  </pic:nvPicPr>
                  <pic:blipFill rotWithShape="1">
                    <a:blip r:embed="rId11">
                      <a:extLst>
                        <a:ext uri="{28A0092B-C50C-407E-A947-70E740481C1C}">
                          <a14:useLocalDpi xmlns:a14="http://schemas.microsoft.com/office/drawing/2010/main" val="0"/>
                        </a:ext>
                      </a:extLst>
                    </a:blip>
                    <a:srcRect r="20383"/>
                    <a:stretch/>
                  </pic:blipFill>
                  <pic:spPr bwMode="auto">
                    <a:xfrm>
                      <a:off x="0" y="0"/>
                      <a:ext cx="6288733" cy="5630691"/>
                    </a:xfrm>
                    <a:prstGeom prst="rect">
                      <a:avLst/>
                    </a:prstGeom>
                    <a:ln>
                      <a:noFill/>
                    </a:ln>
                    <a:extLst>
                      <a:ext uri="{53640926-AAD7-44D8-BBD7-CCE9431645EC}">
                        <a14:shadowObscured xmlns:a14="http://schemas.microsoft.com/office/drawing/2010/main"/>
                      </a:ext>
                    </a:extLst>
                  </pic:spPr>
                </pic:pic>
              </a:graphicData>
            </a:graphic>
          </wp:inline>
        </w:drawing>
      </w:r>
      <w:r w:rsidR="008D787F">
        <w:rPr>
          <w:lang w:val="en-GB"/>
        </w:rPr>
        <w:br w:type="page"/>
      </w:r>
    </w:p>
    <w:p w14:paraId="26BBE64D" w14:textId="388E38BE" w:rsidR="00844E2B" w:rsidRDefault="001B6534">
      <w:pPr>
        <w:rPr>
          <w:lang w:val="en-GB"/>
        </w:rPr>
      </w:pPr>
      <w:r w:rsidRPr="00602067">
        <w:rPr>
          <w:lang w:val="en-GB"/>
        </w:rPr>
        <w:lastRenderedPageBreak/>
        <w:t>Figure S4</w:t>
      </w:r>
      <w:r w:rsidR="00844E2B" w:rsidRPr="00602067">
        <w:rPr>
          <w:lang w:val="en-GB"/>
        </w:rPr>
        <w:t xml:space="preserve">: Risk of losing remission in case of bDMARD </w:t>
      </w:r>
      <w:r w:rsidR="00661921" w:rsidRPr="00602067">
        <w:rPr>
          <w:rFonts w:cs="Times New Roman"/>
          <w:sz w:val="24"/>
          <w:szCs w:val="24"/>
          <w:lang w:val="en-US"/>
        </w:rPr>
        <w:t>tapering</w:t>
      </w:r>
      <w:r w:rsidR="00661921" w:rsidRPr="00602067">
        <w:rPr>
          <w:lang w:val="en-GB"/>
        </w:rPr>
        <w:t xml:space="preserve"> </w:t>
      </w:r>
      <w:r w:rsidR="00844E2B" w:rsidRPr="00602067">
        <w:rPr>
          <w:lang w:val="en-GB"/>
        </w:rPr>
        <w:t xml:space="preserve">versus continuation removing the </w:t>
      </w:r>
      <w:proofErr w:type="gramStart"/>
      <w:r w:rsidR="00844E2B" w:rsidRPr="00602067">
        <w:rPr>
          <w:lang w:val="en-GB"/>
        </w:rPr>
        <w:t>abstract</w:t>
      </w:r>
      <w:proofErr w:type="gramEnd"/>
      <w:r w:rsidR="00844E2B" w:rsidRPr="00602067">
        <w:rPr>
          <w:lang w:val="en-GB"/>
        </w:rPr>
        <w:t xml:space="preserve"> presented in 2007.</w:t>
      </w:r>
    </w:p>
    <w:p w14:paraId="2B2E8C34" w14:textId="14C547AA" w:rsidR="00844E2B" w:rsidRDefault="00F74314">
      <w:pPr>
        <w:rPr>
          <w:lang w:val="en-GB"/>
        </w:rPr>
      </w:pPr>
      <w:r>
        <w:rPr>
          <w:noProof/>
          <w:lang w:val="en-GB"/>
        </w:rPr>
        <w:drawing>
          <wp:inline distT="0" distB="0" distL="0" distR="0" wp14:anchorId="6F5B032C" wp14:editId="144DB40F">
            <wp:extent cx="6142330" cy="24193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S3 rev.tif"/>
                    <pic:cNvPicPr/>
                  </pic:nvPicPr>
                  <pic:blipFill rotWithShape="1">
                    <a:blip r:embed="rId12">
                      <a:extLst>
                        <a:ext uri="{28A0092B-C50C-407E-A947-70E740481C1C}">
                          <a14:useLocalDpi xmlns:a14="http://schemas.microsoft.com/office/drawing/2010/main" val="0"/>
                        </a:ext>
                      </a:extLst>
                    </a:blip>
                    <a:srcRect l="3803" t="15579" r="9722" b="23869"/>
                    <a:stretch/>
                  </pic:blipFill>
                  <pic:spPr bwMode="auto">
                    <a:xfrm>
                      <a:off x="0" y="0"/>
                      <a:ext cx="6148868" cy="2421925"/>
                    </a:xfrm>
                    <a:prstGeom prst="rect">
                      <a:avLst/>
                    </a:prstGeom>
                    <a:ln>
                      <a:noFill/>
                    </a:ln>
                    <a:extLst>
                      <a:ext uri="{53640926-AAD7-44D8-BBD7-CCE9431645EC}">
                        <a14:shadowObscured xmlns:a14="http://schemas.microsoft.com/office/drawing/2010/main"/>
                      </a:ext>
                    </a:extLst>
                  </pic:spPr>
                </pic:pic>
              </a:graphicData>
            </a:graphic>
          </wp:inline>
        </w:drawing>
      </w:r>
      <w:r w:rsidR="00844E2B">
        <w:rPr>
          <w:lang w:val="en-GB"/>
        </w:rPr>
        <w:br w:type="page"/>
      </w:r>
    </w:p>
    <w:p w14:paraId="6800591F" w14:textId="1DC2135A" w:rsidR="004D52B8" w:rsidRPr="00602067" w:rsidRDefault="001B6534">
      <w:pPr>
        <w:rPr>
          <w:lang w:val="en-GB"/>
        </w:rPr>
      </w:pPr>
      <w:r w:rsidRPr="00602067">
        <w:rPr>
          <w:lang w:val="en-GB"/>
        </w:rPr>
        <w:lastRenderedPageBreak/>
        <w:t>Table S5</w:t>
      </w:r>
      <w:r w:rsidR="008D787F" w:rsidRPr="00602067">
        <w:rPr>
          <w:lang w:val="en-GB"/>
        </w:rPr>
        <w:t>: Factors associated with the risk of losing remission or LDA</w:t>
      </w:r>
      <w:r w:rsidR="00462228" w:rsidRPr="00602067">
        <w:rPr>
          <w:lang w:val="en-GB"/>
        </w:rPr>
        <w:t>:</w:t>
      </w:r>
    </w:p>
    <w:p w14:paraId="470F5FA4" w14:textId="6C05DA87" w:rsidR="00462228" w:rsidRPr="00602067" w:rsidRDefault="00462228">
      <w:pPr>
        <w:rPr>
          <w:lang w:val="en-GB"/>
        </w:rPr>
      </w:pPr>
    </w:p>
    <w:tbl>
      <w:tblPr>
        <w:tblStyle w:val="Grilledutableau"/>
        <w:tblW w:w="0" w:type="auto"/>
        <w:tblLook w:val="04A0" w:firstRow="1" w:lastRow="0" w:firstColumn="1" w:lastColumn="0" w:noHBand="0" w:noVBand="1"/>
      </w:tblPr>
      <w:tblGrid>
        <w:gridCol w:w="2376"/>
        <w:gridCol w:w="2410"/>
        <w:gridCol w:w="4426"/>
      </w:tblGrid>
      <w:tr w:rsidR="00844E2B" w:rsidRPr="00602067" w14:paraId="3C28211B" w14:textId="77777777" w:rsidTr="00D927B5">
        <w:tc>
          <w:tcPr>
            <w:tcW w:w="2376" w:type="dxa"/>
          </w:tcPr>
          <w:p w14:paraId="621167A0" w14:textId="7DCDE5C2" w:rsidR="00844E2B" w:rsidRPr="00602067" w:rsidRDefault="00844E2B">
            <w:pPr>
              <w:rPr>
                <w:lang w:val="en-GB"/>
              </w:rPr>
            </w:pPr>
            <w:r w:rsidRPr="00602067">
              <w:rPr>
                <w:lang w:val="en-GB"/>
              </w:rPr>
              <w:t>Study</w:t>
            </w:r>
          </w:p>
        </w:tc>
        <w:tc>
          <w:tcPr>
            <w:tcW w:w="2410" w:type="dxa"/>
          </w:tcPr>
          <w:p w14:paraId="50C1422F" w14:textId="0DDA2E2C" w:rsidR="00844E2B" w:rsidRPr="00602067" w:rsidRDefault="00844E2B">
            <w:pPr>
              <w:rPr>
                <w:lang w:val="en-GB"/>
              </w:rPr>
            </w:pPr>
            <w:r w:rsidRPr="00602067">
              <w:rPr>
                <w:lang w:val="en-GB"/>
              </w:rPr>
              <w:t>Factor associated with the risk of losing remission or LDA</w:t>
            </w:r>
          </w:p>
        </w:tc>
        <w:tc>
          <w:tcPr>
            <w:tcW w:w="4426" w:type="dxa"/>
          </w:tcPr>
          <w:p w14:paraId="2114F5D8" w14:textId="249CF3EF" w:rsidR="00844E2B" w:rsidRPr="00602067" w:rsidRDefault="00844E2B">
            <w:pPr>
              <w:rPr>
                <w:lang w:val="en-GB"/>
              </w:rPr>
            </w:pPr>
            <w:r w:rsidRPr="00602067">
              <w:rPr>
                <w:lang w:val="en-GB"/>
              </w:rPr>
              <w:t>Comparison</w:t>
            </w:r>
          </w:p>
        </w:tc>
      </w:tr>
      <w:tr w:rsidR="00844E2B" w:rsidRPr="003D48C6" w14:paraId="48AA2515" w14:textId="77777777" w:rsidTr="00D927B5">
        <w:tc>
          <w:tcPr>
            <w:tcW w:w="2376" w:type="dxa"/>
          </w:tcPr>
          <w:p w14:paraId="6A8AE724" w14:textId="19F55F08" w:rsidR="00844E2B" w:rsidRPr="00602067" w:rsidRDefault="00844E2B">
            <w:pPr>
              <w:rPr>
                <w:lang w:val="en-GB"/>
              </w:rPr>
            </w:pPr>
            <w:r w:rsidRPr="00602067">
              <w:rPr>
                <w:lang w:val="en-GB"/>
              </w:rPr>
              <w:t>Tanaka [23]</w:t>
            </w:r>
          </w:p>
        </w:tc>
        <w:tc>
          <w:tcPr>
            <w:tcW w:w="2410" w:type="dxa"/>
          </w:tcPr>
          <w:p w14:paraId="6DD24437" w14:textId="075BF23A" w:rsidR="00844E2B" w:rsidRPr="00602067" w:rsidRDefault="00D927B5">
            <w:pPr>
              <w:rPr>
                <w:lang w:val="en-GB"/>
              </w:rPr>
            </w:pPr>
            <w:r w:rsidRPr="00602067">
              <w:rPr>
                <w:lang w:val="en-GB"/>
              </w:rPr>
              <w:t>DAS28</w:t>
            </w:r>
          </w:p>
        </w:tc>
        <w:tc>
          <w:tcPr>
            <w:tcW w:w="4426" w:type="dxa"/>
          </w:tcPr>
          <w:p w14:paraId="368FE0A7" w14:textId="46E6503C" w:rsidR="00844E2B" w:rsidRPr="00602067" w:rsidRDefault="00D927B5">
            <w:pPr>
              <w:rPr>
                <w:lang w:val="en-GB"/>
              </w:rPr>
            </w:pPr>
            <w:r w:rsidRPr="00602067">
              <w:rPr>
                <w:lang w:val="en-GB"/>
              </w:rPr>
              <w:t>Risk of maintaining remission according to DAS28: OR[95%</w:t>
            </w:r>
            <w:proofErr w:type="gramStart"/>
            <w:r w:rsidRPr="00602067">
              <w:rPr>
                <w:lang w:val="en-GB"/>
              </w:rPr>
              <w:t>CI]=</w:t>
            </w:r>
            <w:proofErr w:type="gramEnd"/>
            <w:r w:rsidRPr="00602067">
              <w:rPr>
                <w:lang w:val="en-GB"/>
              </w:rPr>
              <w:t>0.094 [0.020-0.438], p=0.026</w:t>
            </w:r>
          </w:p>
        </w:tc>
      </w:tr>
      <w:tr w:rsidR="00844E2B" w:rsidRPr="00602067" w14:paraId="7A935DC6" w14:textId="77777777" w:rsidTr="00D927B5">
        <w:tc>
          <w:tcPr>
            <w:tcW w:w="2376" w:type="dxa"/>
          </w:tcPr>
          <w:p w14:paraId="425D7C3B" w14:textId="0B04BDB6" w:rsidR="00844E2B" w:rsidRPr="00602067" w:rsidRDefault="00D927B5">
            <w:pPr>
              <w:rPr>
                <w:lang w:val="en-GB"/>
              </w:rPr>
            </w:pPr>
            <w:proofErr w:type="spellStart"/>
            <w:r w:rsidRPr="00602067">
              <w:rPr>
                <w:rFonts w:eastAsia="Times New Roman" w:cs="Times New Roman"/>
                <w:color w:val="000000"/>
                <w:lang w:eastAsia="fr-FR"/>
              </w:rPr>
              <w:t>Ghiti</w:t>
            </w:r>
            <w:proofErr w:type="spellEnd"/>
            <w:r w:rsidRPr="00602067">
              <w:rPr>
                <w:rFonts w:eastAsia="Times New Roman" w:cs="Times New Roman"/>
                <w:color w:val="000000"/>
                <w:lang w:eastAsia="fr-FR"/>
              </w:rPr>
              <w:t xml:space="preserve"> </w:t>
            </w:r>
            <w:proofErr w:type="spellStart"/>
            <w:r w:rsidRPr="00602067">
              <w:rPr>
                <w:rFonts w:eastAsia="Times New Roman" w:cs="Times New Roman"/>
                <w:color w:val="000000"/>
                <w:lang w:eastAsia="fr-FR"/>
              </w:rPr>
              <w:t>Moghadam</w:t>
            </w:r>
            <w:proofErr w:type="spellEnd"/>
            <w:r w:rsidRPr="00602067">
              <w:rPr>
                <w:rFonts w:eastAsia="Times New Roman" w:cs="Times New Roman"/>
                <w:color w:val="000000"/>
                <w:lang w:eastAsia="fr-FR"/>
              </w:rPr>
              <w:t xml:space="preserve"> </w:t>
            </w:r>
            <w:r w:rsidRPr="00602067">
              <w:rPr>
                <w:rFonts w:eastAsia="Times New Roman" w:cs="Times New Roman"/>
                <w:color w:val="000000"/>
                <w:lang w:eastAsia="fr-FR"/>
              </w:rPr>
              <w:fldChar w:fldCharType="begin">
                <w:fldData xml:space="preserve">PEVuZE5vdGU+PENpdGU+PEF1dGhvcj5HaGl0aSBNb2doYWRhbTwvQXV0aG9yPjxZZWFyPjIwMTY8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</w:fldData>
              </w:fldChar>
            </w:r>
            <w:r w:rsidR="00126E84" w:rsidRPr="00602067">
              <w:rPr>
                <w:rFonts w:eastAsia="Times New Roman" w:cs="Times New Roman"/>
                <w:color w:val="000000"/>
                <w:lang w:eastAsia="fr-FR"/>
              </w:rPr>
              <w:instrText xml:space="preserve"> ADDIN EN.CITE </w:instrText>
            </w:r>
            <w:r w:rsidR="00126E84" w:rsidRPr="00602067">
              <w:rPr>
                <w:rFonts w:eastAsia="Times New Roman" w:cs="Times New Roman"/>
                <w:color w:val="000000"/>
                <w:lang w:eastAsia="fr-FR"/>
              </w:rPr>
              <w:fldChar w:fldCharType="begin">
                <w:fldData xml:space="preserve">PEVuZE5vdGU+PENpdGU+PEF1dGhvcj5HaGl0aSBNb2doYWRhbTwvQXV0aG9yPjxZZWFyPjIwMTY8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</w:fldData>
              </w:fldChar>
            </w:r>
            <w:r w:rsidR="00126E84" w:rsidRPr="00602067">
              <w:rPr>
                <w:rFonts w:eastAsia="Times New Roman" w:cs="Times New Roman"/>
                <w:color w:val="000000"/>
                <w:lang w:eastAsia="fr-FR"/>
              </w:rPr>
              <w:instrText xml:space="preserve"> ADDIN EN.CITE.DATA </w:instrText>
            </w:r>
            <w:r w:rsidR="00126E84" w:rsidRPr="00602067">
              <w:rPr>
                <w:rFonts w:eastAsia="Times New Roman" w:cs="Times New Roman"/>
                <w:color w:val="000000"/>
                <w:lang w:eastAsia="fr-FR"/>
              </w:rPr>
            </w:r>
            <w:r w:rsidR="00126E84" w:rsidRPr="00602067">
              <w:rPr>
                <w:rFonts w:eastAsia="Times New Roman" w:cs="Times New Roman"/>
                <w:color w:val="000000"/>
                <w:lang w:eastAsia="fr-FR"/>
              </w:rPr>
              <w:fldChar w:fldCharType="end"/>
            </w:r>
            <w:r w:rsidRPr="00602067">
              <w:rPr>
                <w:rFonts w:eastAsia="Times New Roman" w:cs="Times New Roman"/>
                <w:color w:val="000000"/>
                <w:lang w:eastAsia="fr-FR"/>
              </w:rPr>
            </w:r>
            <w:r w:rsidRPr="00602067">
              <w:rPr>
                <w:rFonts w:eastAsia="Times New Roman" w:cs="Times New Roman"/>
                <w:color w:val="000000"/>
                <w:lang w:eastAsia="fr-FR"/>
              </w:rPr>
              <w:fldChar w:fldCharType="separate"/>
            </w:r>
            <w:r w:rsidR="00126E84" w:rsidRPr="00602067">
              <w:rPr>
                <w:rFonts w:eastAsia="Times New Roman" w:cs="Times New Roman"/>
                <w:noProof/>
                <w:color w:val="000000"/>
                <w:lang w:eastAsia="fr-FR"/>
              </w:rPr>
              <w:t>[1]</w:t>
            </w:r>
            <w:r w:rsidRPr="00602067">
              <w:rPr>
                <w:rFonts w:eastAsia="Times New Roman" w:cs="Times New Roman"/>
                <w:color w:val="000000"/>
                <w:lang w:eastAsia="fr-FR"/>
              </w:rPr>
              <w:fldChar w:fldCharType="end"/>
            </w:r>
          </w:p>
        </w:tc>
        <w:tc>
          <w:tcPr>
            <w:tcW w:w="2410" w:type="dxa"/>
          </w:tcPr>
          <w:p w14:paraId="440319C4" w14:textId="77777777" w:rsidR="00D927B5" w:rsidRPr="00602067" w:rsidRDefault="00D927B5">
            <w:pPr>
              <w:rPr>
                <w:lang w:val="en-GB"/>
              </w:rPr>
            </w:pPr>
          </w:p>
          <w:p w14:paraId="3749B181" w14:textId="3876E384" w:rsidR="00844E2B" w:rsidRPr="00602067" w:rsidRDefault="00D927B5">
            <w:pPr>
              <w:rPr>
                <w:lang w:val="en-GB"/>
              </w:rPr>
            </w:pPr>
            <w:r w:rsidRPr="00602067">
              <w:rPr>
                <w:lang w:val="en-GB"/>
              </w:rPr>
              <w:t>Baseline DAS28 score</w:t>
            </w:r>
          </w:p>
          <w:p w14:paraId="1773C8F7" w14:textId="1096F91C" w:rsidR="00D927B5" w:rsidRPr="00602067" w:rsidRDefault="00D927B5">
            <w:pPr>
              <w:rPr>
                <w:lang w:val="en-GB"/>
              </w:rPr>
            </w:pPr>
            <w:r w:rsidRPr="00602067">
              <w:rPr>
                <w:lang w:val="en-GB"/>
              </w:rPr>
              <w:t>Disease duration &gt; 10 years</w:t>
            </w:r>
          </w:p>
        </w:tc>
        <w:tc>
          <w:tcPr>
            <w:tcW w:w="4426" w:type="dxa"/>
          </w:tcPr>
          <w:p w14:paraId="748F53F7" w14:textId="77777777" w:rsidR="00844E2B" w:rsidRPr="00602067" w:rsidRDefault="00D927B5">
            <w:pPr>
              <w:rPr>
                <w:lang w:val="en-GB"/>
              </w:rPr>
            </w:pPr>
            <w:r w:rsidRPr="00602067">
              <w:rPr>
                <w:lang w:val="en-GB"/>
              </w:rPr>
              <w:t>Risk of a shorter time to flare:</w:t>
            </w:r>
          </w:p>
          <w:p w14:paraId="332B47D5" w14:textId="77777777" w:rsidR="00D927B5" w:rsidRPr="00602067" w:rsidRDefault="00D927B5">
            <w:pPr>
              <w:rPr>
                <w:rFonts w:cstheme="minorHAnsi"/>
                <w:color w:val="231F20"/>
              </w:rPr>
            </w:pPr>
            <w:r w:rsidRPr="00602067">
              <w:t>DAS</w:t>
            </w:r>
            <w:proofErr w:type="gramStart"/>
            <w:r w:rsidRPr="00602067">
              <w:t>28</w:t>
            </w:r>
            <w:r w:rsidRPr="00602067">
              <w:rPr>
                <w:rFonts w:cstheme="minorHAnsi"/>
              </w:rPr>
              <w:t>:</w:t>
            </w:r>
            <w:proofErr w:type="gramEnd"/>
            <w:r w:rsidRPr="00602067">
              <w:rPr>
                <w:rFonts w:cstheme="minorHAnsi"/>
              </w:rPr>
              <w:t xml:space="preserve"> HR[95%CI]=</w:t>
            </w:r>
            <w:r w:rsidRPr="00602067">
              <w:rPr>
                <w:rFonts w:cstheme="minorHAnsi"/>
                <w:color w:val="231F20"/>
              </w:rPr>
              <w:t xml:space="preserve"> 1.39 [1.21–1.60]</w:t>
            </w:r>
          </w:p>
          <w:p w14:paraId="159943D8" w14:textId="77777777" w:rsidR="00D927B5" w:rsidRPr="00602067" w:rsidRDefault="00D927B5">
            <w:proofErr w:type="spellStart"/>
            <w:r w:rsidRPr="00602067">
              <w:t>Disease</w:t>
            </w:r>
            <w:proofErr w:type="spellEnd"/>
            <w:r w:rsidRPr="00602067">
              <w:t xml:space="preserve"> duration &gt; 10 </w:t>
            </w:r>
            <w:proofErr w:type="spellStart"/>
            <w:r w:rsidRPr="00602067">
              <w:t>years</w:t>
            </w:r>
            <w:proofErr w:type="spellEnd"/>
            <w:r w:rsidRPr="00602067">
              <w:t xml:space="preserve"> : </w:t>
            </w:r>
          </w:p>
          <w:p w14:paraId="4FF163ED" w14:textId="460053BD" w:rsidR="00D927B5" w:rsidRPr="00602067" w:rsidRDefault="00D927B5">
            <w:r w:rsidRPr="00602067">
              <w:t>HR[95%</w:t>
            </w:r>
            <w:proofErr w:type="gramStart"/>
            <w:r w:rsidRPr="00602067">
              <w:t>CI]=</w:t>
            </w:r>
            <w:proofErr w:type="gramEnd"/>
            <w:r w:rsidRPr="00602067">
              <w:t xml:space="preserve"> 1.29[1.03–1.61]</w:t>
            </w:r>
          </w:p>
        </w:tc>
      </w:tr>
      <w:tr w:rsidR="00844E2B" w:rsidRPr="003D48C6" w14:paraId="1DEC932F" w14:textId="77777777" w:rsidTr="00D927B5">
        <w:tc>
          <w:tcPr>
            <w:tcW w:w="2376" w:type="dxa"/>
          </w:tcPr>
          <w:p w14:paraId="02817D9A" w14:textId="119AAA8C" w:rsidR="00844E2B" w:rsidRPr="00602067" w:rsidRDefault="00FA67C0">
            <w:pPr>
              <w:rPr>
                <w:lang w:val="en-GB"/>
              </w:rPr>
            </w:pPr>
            <w:proofErr w:type="spellStart"/>
            <w:r w:rsidRPr="00602067">
              <w:rPr>
                <w:rFonts w:eastAsia="Times New Roman" w:cs="Times New Roman"/>
                <w:color w:val="000000"/>
                <w:lang w:eastAsia="fr-FR"/>
              </w:rPr>
              <w:t>Takeuchi</w:t>
            </w:r>
            <w:proofErr w:type="spellEnd"/>
            <w:r w:rsidRPr="00602067">
              <w:rPr>
                <w:rFonts w:eastAsia="Times New Roman" w:cs="Times New Roman"/>
                <w:color w:val="000000"/>
                <w:lang w:eastAsia="fr-FR"/>
              </w:rPr>
              <w:t xml:space="preserve"> </w:t>
            </w:r>
            <w:r w:rsidRPr="00602067">
              <w:rPr>
                <w:rFonts w:eastAsia="Times New Roman" w:cs="Times New Roman"/>
                <w:color w:val="000000"/>
                <w:lang w:eastAsia="fr-FR"/>
              </w:rPr>
              <w:fldChar w:fldCharType="begin">
                <w:fldData xml:space="preserve">PEVuZE5vdGU+PENpdGU+PEF1dGhvcj5UYWtldWNoaTwvQXV0aG9yPjxZZWFyPjIwMTU8L1llYXI+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=
</w:fldData>
              </w:fldChar>
            </w:r>
            <w:r w:rsidR="00126E84" w:rsidRPr="00602067">
              <w:rPr>
                <w:rFonts w:eastAsia="Times New Roman" w:cs="Times New Roman"/>
                <w:color w:val="000000"/>
                <w:lang w:eastAsia="fr-FR"/>
              </w:rPr>
              <w:instrText xml:space="preserve"> ADDIN EN.CITE </w:instrText>
            </w:r>
            <w:r w:rsidR="00126E84" w:rsidRPr="00602067">
              <w:rPr>
                <w:rFonts w:eastAsia="Times New Roman" w:cs="Times New Roman"/>
                <w:color w:val="000000"/>
                <w:lang w:eastAsia="fr-FR"/>
              </w:rPr>
              <w:fldChar w:fldCharType="begin">
                <w:fldData xml:space="preserve">PEVuZE5vdGU+PENpdGU+PEF1dGhvcj5UYWtldWNoaTwvQXV0aG9yPjxZZWFyPjIwMTU8L1llYXI+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=
</w:fldData>
              </w:fldChar>
            </w:r>
            <w:r w:rsidR="00126E84" w:rsidRPr="00602067">
              <w:rPr>
                <w:rFonts w:eastAsia="Times New Roman" w:cs="Times New Roman"/>
                <w:color w:val="000000"/>
                <w:lang w:eastAsia="fr-FR"/>
              </w:rPr>
              <w:instrText xml:space="preserve"> ADDIN EN.CITE.DATA </w:instrText>
            </w:r>
            <w:r w:rsidR="00126E84" w:rsidRPr="00602067">
              <w:rPr>
                <w:rFonts w:eastAsia="Times New Roman" w:cs="Times New Roman"/>
                <w:color w:val="000000"/>
                <w:lang w:eastAsia="fr-FR"/>
              </w:rPr>
            </w:r>
            <w:r w:rsidR="00126E84" w:rsidRPr="00602067">
              <w:rPr>
                <w:rFonts w:eastAsia="Times New Roman" w:cs="Times New Roman"/>
                <w:color w:val="000000"/>
                <w:lang w:eastAsia="fr-FR"/>
              </w:rPr>
              <w:fldChar w:fldCharType="end"/>
            </w:r>
            <w:r w:rsidRPr="00602067">
              <w:rPr>
                <w:rFonts w:eastAsia="Times New Roman" w:cs="Times New Roman"/>
                <w:color w:val="000000"/>
                <w:lang w:eastAsia="fr-FR"/>
              </w:rPr>
            </w:r>
            <w:r w:rsidRPr="00602067">
              <w:rPr>
                <w:rFonts w:eastAsia="Times New Roman" w:cs="Times New Roman"/>
                <w:color w:val="000000"/>
                <w:lang w:eastAsia="fr-FR"/>
              </w:rPr>
              <w:fldChar w:fldCharType="separate"/>
            </w:r>
            <w:r w:rsidR="00126E84" w:rsidRPr="00602067">
              <w:rPr>
                <w:rFonts w:eastAsia="Times New Roman" w:cs="Times New Roman"/>
                <w:noProof/>
                <w:color w:val="000000"/>
                <w:lang w:eastAsia="fr-FR"/>
              </w:rPr>
              <w:t>[2]</w:t>
            </w:r>
            <w:r w:rsidRPr="00602067">
              <w:rPr>
                <w:rFonts w:eastAsia="Times New Roman" w:cs="Times New Roman"/>
                <w:color w:val="000000"/>
                <w:lang w:eastAsia="fr-FR"/>
              </w:rPr>
              <w:fldChar w:fldCharType="end"/>
            </w:r>
          </w:p>
        </w:tc>
        <w:tc>
          <w:tcPr>
            <w:tcW w:w="2410" w:type="dxa"/>
          </w:tcPr>
          <w:p w14:paraId="05EEAF59" w14:textId="360F1707" w:rsidR="00FA67C0" w:rsidRPr="00602067" w:rsidRDefault="00FA67C0">
            <w:pPr>
              <w:rPr>
                <w:lang w:val="en-GB"/>
              </w:rPr>
            </w:pPr>
            <w:r w:rsidRPr="00602067">
              <w:rPr>
                <w:lang w:val="en-GB"/>
              </w:rPr>
              <w:t>With remission:</w:t>
            </w:r>
          </w:p>
          <w:p w14:paraId="7BF325A8" w14:textId="03EA0C4C" w:rsidR="00FA67C0" w:rsidRPr="00602067" w:rsidRDefault="00FA67C0">
            <w:pPr>
              <w:rPr>
                <w:lang w:val="en-GB"/>
              </w:rPr>
            </w:pPr>
            <w:r w:rsidRPr="00602067">
              <w:rPr>
                <w:lang w:val="en-GB"/>
              </w:rPr>
              <w:t>Baseline HAQ</w:t>
            </w:r>
          </w:p>
          <w:p w14:paraId="44E67BB4" w14:textId="763D1A1F" w:rsidR="00FA67C0" w:rsidRPr="00602067" w:rsidRDefault="00FA67C0">
            <w:pPr>
              <w:rPr>
                <w:lang w:val="en-GB"/>
              </w:rPr>
            </w:pPr>
            <w:r w:rsidRPr="00602067">
              <w:rPr>
                <w:lang w:val="en-GB"/>
              </w:rPr>
              <w:t>Baseline CRP</w:t>
            </w:r>
          </w:p>
          <w:p w14:paraId="54507D3A" w14:textId="2EE0ECF1" w:rsidR="00FA67C0" w:rsidRPr="00602067" w:rsidRDefault="00FA67C0">
            <w:pPr>
              <w:rPr>
                <w:lang w:val="en-GB"/>
              </w:rPr>
            </w:pPr>
            <w:r w:rsidRPr="00602067">
              <w:rPr>
                <w:lang w:val="en-GB"/>
              </w:rPr>
              <w:t>With LDA:</w:t>
            </w:r>
          </w:p>
          <w:p w14:paraId="5C793AA1" w14:textId="1769E3AF" w:rsidR="00844E2B" w:rsidRPr="00602067" w:rsidRDefault="00FA67C0">
            <w:pPr>
              <w:rPr>
                <w:lang w:val="en-GB"/>
              </w:rPr>
            </w:pPr>
            <w:r w:rsidRPr="00602067">
              <w:rPr>
                <w:lang w:val="en-GB"/>
              </w:rPr>
              <w:t xml:space="preserve">Baseline HAQ </w:t>
            </w:r>
            <w:r w:rsidRPr="00602067">
              <w:rPr>
                <w:rFonts w:cstheme="minorHAnsi"/>
                <w:lang w:val="en-GB"/>
              </w:rPr>
              <w:t>≤</w:t>
            </w:r>
            <w:r w:rsidRPr="00602067">
              <w:rPr>
                <w:lang w:val="en-GB"/>
              </w:rPr>
              <w:t xml:space="preserve"> 0.5</w:t>
            </w:r>
          </w:p>
          <w:p w14:paraId="60413C18" w14:textId="77777777" w:rsidR="00FA67C0" w:rsidRPr="00602067" w:rsidRDefault="00FA67C0">
            <w:pPr>
              <w:rPr>
                <w:lang w:val="en-GB"/>
              </w:rPr>
            </w:pPr>
          </w:p>
          <w:p w14:paraId="3CBC3C69" w14:textId="528DD7CB" w:rsidR="00FA67C0" w:rsidRPr="00602067" w:rsidRDefault="00FA67C0">
            <w:pPr>
              <w:rPr>
                <w:lang w:val="en-GB"/>
              </w:rPr>
            </w:pPr>
            <w:r w:rsidRPr="00602067">
              <w:rPr>
                <w:lang w:val="en-GB"/>
              </w:rPr>
              <w:t>Mean time-averaged DAS28-CRP</w:t>
            </w:r>
          </w:p>
        </w:tc>
        <w:tc>
          <w:tcPr>
            <w:tcW w:w="4426" w:type="dxa"/>
          </w:tcPr>
          <w:p w14:paraId="64232527" w14:textId="0C5DEE3E" w:rsidR="00844E2B" w:rsidRPr="00602067" w:rsidRDefault="00FA67C0">
            <w:pPr>
              <w:rPr>
                <w:lang w:val="en-GB"/>
              </w:rPr>
            </w:pPr>
            <w:r w:rsidRPr="00602067">
              <w:rPr>
                <w:lang w:val="en-GB"/>
              </w:rPr>
              <w:t>Risk of losing remission</w:t>
            </w:r>
            <w:r w:rsidR="00923EA9" w:rsidRPr="00602067">
              <w:rPr>
                <w:lang w:val="en-GB"/>
              </w:rPr>
              <w:t>:</w:t>
            </w:r>
          </w:p>
          <w:p w14:paraId="737FC626" w14:textId="77777777" w:rsidR="00FA67C0" w:rsidRPr="00602067" w:rsidRDefault="00FA67C0">
            <w:pPr>
              <w:rPr>
                <w:lang w:val="en-GB"/>
              </w:rPr>
            </w:pPr>
            <w:r w:rsidRPr="00602067">
              <w:rPr>
                <w:lang w:val="en-GB"/>
              </w:rPr>
              <w:t>HAQ: p=0.036</w:t>
            </w:r>
          </w:p>
          <w:p w14:paraId="7CD71080" w14:textId="77777777" w:rsidR="00FA67C0" w:rsidRPr="00602067" w:rsidRDefault="00FA67C0">
            <w:pPr>
              <w:rPr>
                <w:lang w:val="en-GB"/>
              </w:rPr>
            </w:pPr>
            <w:r w:rsidRPr="00602067">
              <w:rPr>
                <w:lang w:val="en-GB"/>
              </w:rPr>
              <w:t>CRP: p=0.048</w:t>
            </w:r>
          </w:p>
          <w:p w14:paraId="073C830C" w14:textId="77777777" w:rsidR="00FA67C0" w:rsidRPr="00602067" w:rsidRDefault="00FA67C0">
            <w:pPr>
              <w:rPr>
                <w:lang w:val="en-GB"/>
              </w:rPr>
            </w:pPr>
            <w:r w:rsidRPr="00602067">
              <w:rPr>
                <w:lang w:val="en-GB"/>
              </w:rPr>
              <w:t>Risk of losing LDA:</w:t>
            </w:r>
          </w:p>
          <w:p w14:paraId="4578A1EC" w14:textId="77777777" w:rsidR="00FA67C0" w:rsidRPr="00602067" w:rsidRDefault="00FA67C0">
            <w:pPr>
              <w:rPr>
                <w:lang w:val="en-GB"/>
              </w:rPr>
            </w:pPr>
            <w:r w:rsidRPr="00602067">
              <w:rPr>
                <w:lang w:val="en-GB"/>
              </w:rPr>
              <w:t xml:space="preserve">HAQ </w:t>
            </w:r>
            <w:r w:rsidRPr="00602067">
              <w:rPr>
                <w:rFonts w:cstheme="minorHAnsi"/>
                <w:lang w:val="en-GB"/>
              </w:rPr>
              <w:t>≤</w:t>
            </w:r>
            <w:r w:rsidRPr="00602067">
              <w:rPr>
                <w:lang w:val="en-GB"/>
              </w:rPr>
              <w:t xml:space="preserve"> 0.5: 100% in patients maintaining LDA versus 41.7% I those losing LDA, p=0.016</w:t>
            </w:r>
          </w:p>
          <w:p w14:paraId="1C665C38" w14:textId="6AB001FA" w:rsidR="00FA67C0" w:rsidRPr="00602067" w:rsidRDefault="00FA67C0">
            <w:pPr>
              <w:rPr>
                <w:lang w:val="en-GB"/>
              </w:rPr>
            </w:pPr>
            <w:r w:rsidRPr="00602067">
              <w:rPr>
                <w:lang w:val="en-GB"/>
              </w:rPr>
              <w:t>Mean time-averaged DAS28-CRP: 1.9 (SD: 0.4) in patients maintaining LDA versus 3.0 (SD: 0.7) in patients losing LDA, p&lt;0.0001</w:t>
            </w:r>
          </w:p>
        </w:tc>
      </w:tr>
      <w:tr w:rsidR="00844E2B" w:rsidRPr="00602067" w14:paraId="1981E1CA" w14:textId="77777777" w:rsidTr="00D927B5">
        <w:tc>
          <w:tcPr>
            <w:tcW w:w="2376" w:type="dxa"/>
          </w:tcPr>
          <w:p w14:paraId="17D72674" w14:textId="0E7D4A9F" w:rsidR="00844E2B" w:rsidRPr="00602067" w:rsidRDefault="00923EA9" w:rsidP="00923EA9">
            <w:pPr>
              <w:pStyle w:val="Standard"/>
              <w:spacing w:line="480" w:lineRule="auto"/>
            </w:pPr>
            <w:proofErr w:type="spellStart"/>
            <w:r w:rsidRPr="00602067">
              <w:rPr>
                <w:rFonts w:eastAsia="Times New Roman" w:cs="Times New Roman"/>
                <w:color w:val="000000"/>
                <w:lang w:eastAsia="fr-FR"/>
              </w:rPr>
              <w:t>Fautrel</w:t>
            </w:r>
            <w:proofErr w:type="spellEnd"/>
            <w:r w:rsidRPr="00602067">
              <w:rPr>
                <w:rFonts w:eastAsia="Times New Roman" w:cs="Times New Roman"/>
                <w:color w:val="000000"/>
                <w:lang w:eastAsia="fr-FR"/>
              </w:rPr>
              <w:t xml:space="preserve"> </w:t>
            </w:r>
            <w:r w:rsidRPr="00602067">
              <w:rPr>
                <w:rFonts w:eastAsia="Times New Roman" w:cs="Times New Roman"/>
                <w:color w:val="000000"/>
                <w:lang w:eastAsia="fr-FR"/>
              </w:rPr>
              <w:fldChar w:fldCharType="begin">
                <w:fldData xml:space="preserve">PEVuZE5vdGU+PENpdGU+PEF1dGhvcj5GYXV0cmVsPC9BdXRob3I+PFllYXI+MjAxNjwvWWVhcj48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</w:fldData>
              </w:fldChar>
            </w:r>
            <w:r w:rsidR="00126E84" w:rsidRPr="00602067">
              <w:rPr>
                <w:rFonts w:eastAsia="Times New Roman" w:cs="Times New Roman"/>
                <w:color w:val="000000"/>
                <w:lang w:eastAsia="fr-FR"/>
              </w:rPr>
              <w:instrText xml:space="preserve"> ADDIN EN.CITE </w:instrText>
            </w:r>
            <w:r w:rsidR="00126E84" w:rsidRPr="00602067">
              <w:rPr>
                <w:rFonts w:eastAsia="Times New Roman" w:cs="Times New Roman"/>
                <w:color w:val="000000"/>
                <w:lang w:eastAsia="fr-FR"/>
              </w:rPr>
              <w:fldChar w:fldCharType="begin">
                <w:fldData xml:space="preserve">PEVuZE5vdGU+PENpdGU+PEF1dGhvcj5GYXV0cmVsPC9BdXRob3I+PFllYXI+MjAxNjwvWWVhcj48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</w:fldData>
              </w:fldChar>
            </w:r>
            <w:r w:rsidR="00126E84" w:rsidRPr="00602067">
              <w:rPr>
                <w:rFonts w:eastAsia="Times New Roman" w:cs="Times New Roman"/>
                <w:color w:val="000000"/>
                <w:lang w:eastAsia="fr-FR"/>
              </w:rPr>
              <w:instrText xml:space="preserve"> ADDIN EN.CITE.DATA </w:instrText>
            </w:r>
            <w:r w:rsidR="00126E84" w:rsidRPr="00602067">
              <w:rPr>
                <w:rFonts w:eastAsia="Times New Roman" w:cs="Times New Roman"/>
                <w:color w:val="000000"/>
                <w:lang w:eastAsia="fr-FR"/>
              </w:rPr>
            </w:r>
            <w:r w:rsidR="00126E84" w:rsidRPr="00602067">
              <w:rPr>
                <w:rFonts w:eastAsia="Times New Roman" w:cs="Times New Roman"/>
                <w:color w:val="000000"/>
                <w:lang w:eastAsia="fr-FR"/>
              </w:rPr>
              <w:fldChar w:fldCharType="end"/>
            </w:r>
            <w:r w:rsidRPr="00602067">
              <w:rPr>
                <w:rFonts w:eastAsia="Times New Roman" w:cs="Times New Roman"/>
                <w:color w:val="000000"/>
                <w:lang w:eastAsia="fr-FR"/>
              </w:rPr>
            </w:r>
            <w:r w:rsidRPr="00602067">
              <w:rPr>
                <w:rFonts w:eastAsia="Times New Roman" w:cs="Times New Roman"/>
                <w:color w:val="000000"/>
                <w:lang w:eastAsia="fr-FR"/>
              </w:rPr>
              <w:fldChar w:fldCharType="separate"/>
            </w:r>
            <w:r w:rsidR="00126E84" w:rsidRPr="00602067">
              <w:rPr>
                <w:rFonts w:eastAsia="Times New Roman" w:cs="Times New Roman"/>
                <w:noProof/>
                <w:color w:val="000000"/>
                <w:lang w:eastAsia="fr-FR"/>
              </w:rPr>
              <w:t>[3]</w:t>
            </w:r>
            <w:r w:rsidRPr="00602067">
              <w:rPr>
                <w:rFonts w:eastAsia="Times New Roman" w:cs="Times New Roman"/>
                <w:color w:val="000000"/>
                <w:lang w:eastAsia="fr-FR"/>
              </w:rPr>
              <w:fldChar w:fldCharType="end"/>
            </w:r>
          </w:p>
        </w:tc>
        <w:tc>
          <w:tcPr>
            <w:tcW w:w="2410" w:type="dxa"/>
          </w:tcPr>
          <w:p w14:paraId="07CCC369" w14:textId="77777777" w:rsidR="00923EA9" w:rsidRPr="00602067" w:rsidRDefault="00923EA9">
            <w:pPr>
              <w:rPr>
                <w:lang w:val="en-GB"/>
              </w:rPr>
            </w:pPr>
          </w:p>
          <w:p w14:paraId="24DB3E66" w14:textId="412A1DF9" w:rsidR="00844E2B" w:rsidRPr="00602067" w:rsidRDefault="00923EA9">
            <w:pPr>
              <w:rPr>
                <w:lang w:val="en-GB"/>
              </w:rPr>
            </w:pPr>
            <w:r w:rsidRPr="00602067">
              <w:rPr>
                <w:lang w:val="en-GB"/>
              </w:rPr>
              <w:t>Baseline HAQ score</w:t>
            </w:r>
          </w:p>
          <w:p w14:paraId="33EAE258" w14:textId="26CA7D00" w:rsidR="00923EA9" w:rsidRPr="00602067" w:rsidRDefault="00923EA9">
            <w:pPr>
              <w:rPr>
                <w:lang w:val="en-GB"/>
              </w:rPr>
            </w:pPr>
            <w:r w:rsidRPr="00602067">
              <w:rPr>
                <w:lang w:val="en-GB"/>
              </w:rPr>
              <w:t>Positive RF</w:t>
            </w:r>
          </w:p>
        </w:tc>
        <w:tc>
          <w:tcPr>
            <w:tcW w:w="4426" w:type="dxa"/>
          </w:tcPr>
          <w:p w14:paraId="183DFF8D" w14:textId="1D8181D1" w:rsidR="00844E2B" w:rsidRPr="00602067" w:rsidRDefault="00923EA9">
            <w:pPr>
              <w:rPr>
                <w:lang w:val="en-GB"/>
              </w:rPr>
            </w:pPr>
            <w:r w:rsidRPr="00602067">
              <w:rPr>
                <w:lang w:val="en-GB"/>
              </w:rPr>
              <w:t>Risk of flare:</w:t>
            </w:r>
          </w:p>
          <w:p w14:paraId="0E7F7A25" w14:textId="77777777" w:rsidR="00923EA9" w:rsidRPr="00602067" w:rsidRDefault="00923EA9">
            <w:proofErr w:type="gramStart"/>
            <w:r w:rsidRPr="00602067">
              <w:t>HAQ:</w:t>
            </w:r>
            <w:proofErr w:type="gramEnd"/>
            <w:r w:rsidRPr="00602067">
              <w:t xml:space="preserve"> HR[95%CI]=2.07[1.23-3.49]</w:t>
            </w:r>
          </w:p>
          <w:p w14:paraId="54FA1845" w14:textId="2C9133B0" w:rsidR="00923EA9" w:rsidRPr="00602067" w:rsidRDefault="00C674C6">
            <w:r w:rsidRPr="00602067">
              <w:t xml:space="preserve">Positive </w:t>
            </w:r>
            <w:proofErr w:type="gramStart"/>
            <w:r w:rsidRPr="00602067">
              <w:t>RF</w:t>
            </w:r>
            <w:r w:rsidR="00923EA9" w:rsidRPr="00602067">
              <w:t>:</w:t>
            </w:r>
            <w:proofErr w:type="gramEnd"/>
            <w:r w:rsidR="00923EA9" w:rsidRPr="00602067">
              <w:t xml:space="preserve"> HR[95%CI]=1.99[1.03-3.83]</w:t>
            </w:r>
          </w:p>
        </w:tc>
      </w:tr>
      <w:tr w:rsidR="00844E2B" w:rsidRPr="00602067" w14:paraId="1368E00D" w14:textId="77777777" w:rsidTr="00D927B5">
        <w:tc>
          <w:tcPr>
            <w:tcW w:w="2376" w:type="dxa"/>
          </w:tcPr>
          <w:p w14:paraId="26BFCA3E" w14:textId="0A3A7623" w:rsidR="00844E2B" w:rsidRPr="00602067" w:rsidRDefault="00090F13" w:rsidP="00090F13">
            <w:pPr>
              <w:pStyle w:val="Standard"/>
              <w:spacing w:line="480" w:lineRule="auto"/>
              <w:rPr>
                <w:rFonts w:eastAsia="Times New Roman" w:cs="Times New Roman"/>
                <w:color w:val="000000"/>
                <w:lang w:eastAsia="fr-FR"/>
              </w:rPr>
            </w:pPr>
            <w:r w:rsidRPr="00602067">
              <w:rPr>
                <w:rFonts w:eastAsia="Times New Roman" w:cs="Times New Roman"/>
                <w:color w:val="000000"/>
                <w:lang w:eastAsia="fr-FR"/>
              </w:rPr>
              <w:t xml:space="preserve">van Vollenhoven </w:t>
            </w:r>
            <w:r w:rsidRPr="00602067">
              <w:rPr>
                <w:rFonts w:eastAsia="Times New Roman" w:cs="Times New Roman"/>
                <w:color w:val="000000"/>
                <w:lang w:eastAsia="fr-FR"/>
              </w:rPr>
              <w:fldChar w:fldCharType="begin">
                <w:fldData xml:space="preserve">PEVuZE5vdGU+PENpdGU+PEF1dGhvcj52YW4gVm9sbGVuaG92ZW48L0F1dGhvcj48WWVhcj4yMDE2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</w:fldData>
              </w:fldChar>
            </w:r>
            <w:r w:rsidR="00126E84" w:rsidRPr="00602067">
              <w:rPr>
                <w:rFonts w:eastAsia="Times New Roman" w:cs="Times New Roman"/>
                <w:color w:val="000000"/>
                <w:lang w:eastAsia="fr-FR"/>
              </w:rPr>
              <w:instrText xml:space="preserve"> ADDIN EN.CITE </w:instrText>
            </w:r>
            <w:r w:rsidR="00126E84" w:rsidRPr="00602067">
              <w:rPr>
                <w:rFonts w:eastAsia="Times New Roman" w:cs="Times New Roman"/>
                <w:color w:val="000000"/>
                <w:lang w:eastAsia="fr-FR"/>
              </w:rPr>
              <w:fldChar w:fldCharType="begin">
                <w:fldData xml:space="preserve">PEVuZE5vdGU+PENpdGU+PEF1dGhvcj52YW4gVm9sbGVuaG92ZW48L0F1dGhvcj48WWVhcj4yMDE2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</w:fldData>
              </w:fldChar>
            </w:r>
            <w:r w:rsidR="00126E84" w:rsidRPr="00602067">
              <w:rPr>
                <w:rFonts w:eastAsia="Times New Roman" w:cs="Times New Roman"/>
                <w:color w:val="000000"/>
                <w:lang w:eastAsia="fr-FR"/>
              </w:rPr>
              <w:instrText xml:space="preserve"> ADDIN EN.CITE.DATA </w:instrText>
            </w:r>
            <w:r w:rsidR="00126E84" w:rsidRPr="00602067">
              <w:rPr>
                <w:rFonts w:eastAsia="Times New Roman" w:cs="Times New Roman"/>
                <w:color w:val="000000"/>
                <w:lang w:eastAsia="fr-FR"/>
              </w:rPr>
            </w:r>
            <w:r w:rsidR="00126E84" w:rsidRPr="00602067">
              <w:rPr>
                <w:rFonts w:eastAsia="Times New Roman" w:cs="Times New Roman"/>
                <w:color w:val="000000"/>
                <w:lang w:eastAsia="fr-FR"/>
              </w:rPr>
              <w:fldChar w:fldCharType="end"/>
            </w:r>
            <w:r w:rsidRPr="00602067">
              <w:rPr>
                <w:rFonts w:eastAsia="Times New Roman" w:cs="Times New Roman"/>
                <w:color w:val="000000"/>
                <w:lang w:eastAsia="fr-FR"/>
              </w:rPr>
            </w:r>
            <w:r w:rsidRPr="00602067">
              <w:rPr>
                <w:rFonts w:eastAsia="Times New Roman" w:cs="Times New Roman"/>
                <w:color w:val="000000"/>
                <w:lang w:eastAsia="fr-FR"/>
              </w:rPr>
              <w:fldChar w:fldCharType="separate"/>
            </w:r>
            <w:r w:rsidR="00126E84" w:rsidRPr="00602067">
              <w:rPr>
                <w:rFonts w:eastAsia="Times New Roman" w:cs="Times New Roman"/>
                <w:noProof/>
                <w:color w:val="000000"/>
                <w:lang w:eastAsia="fr-FR"/>
              </w:rPr>
              <w:t>[4]</w:t>
            </w:r>
            <w:r w:rsidRPr="00602067">
              <w:rPr>
                <w:rFonts w:eastAsia="Times New Roman" w:cs="Times New Roman"/>
                <w:color w:val="000000"/>
                <w:lang w:eastAsia="fr-FR"/>
              </w:rPr>
              <w:fldChar w:fldCharType="end"/>
            </w:r>
          </w:p>
        </w:tc>
        <w:tc>
          <w:tcPr>
            <w:tcW w:w="2410" w:type="dxa"/>
          </w:tcPr>
          <w:p w14:paraId="3687DDFD" w14:textId="77777777" w:rsidR="00090F13" w:rsidRPr="00602067" w:rsidRDefault="00090F13">
            <w:pPr>
              <w:rPr>
                <w:lang w:val="en-GB"/>
              </w:rPr>
            </w:pPr>
          </w:p>
          <w:p w14:paraId="5695E734" w14:textId="62E99862" w:rsidR="00844E2B" w:rsidRPr="00602067" w:rsidRDefault="00090F13">
            <w:pPr>
              <w:rPr>
                <w:lang w:val="en-GB"/>
              </w:rPr>
            </w:pPr>
            <w:r w:rsidRPr="00602067">
              <w:rPr>
                <w:lang w:val="en-GB"/>
              </w:rPr>
              <w:t>Patient pain VAS</w:t>
            </w:r>
          </w:p>
          <w:p w14:paraId="26BE676B" w14:textId="3B1A40F0" w:rsidR="00090F13" w:rsidRPr="00602067" w:rsidRDefault="00090F13">
            <w:pPr>
              <w:rPr>
                <w:lang w:val="en-GB"/>
              </w:rPr>
            </w:pPr>
            <w:proofErr w:type="spellStart"/>
            <w:r w:rsidRPr="00602067">
              <w:rPr>
                <w:lang w:val="en-GB"/>
              </w:rPr>
              <w:t>mESS</w:t>
            </w:r>
            <w:proofErr w:type="spellEnd"/>
          </w:p>
        </w:tc>
        <w:tc>
          <w:tcPr>
            <w:tcW w:w="4426" w:type="dxa"/>
          </w:tcPr>
          <w:p w14:paraId="6B578BD8" w14:textId="77777777" w:rsidR="00844E2B" w:rsidRPr="00602067" w:rsidRDefault="00090F13">
            <w:pPr>
              <w:rPr>
                <w:lang w:val="en-GB"/>
              </w:rPr>
            </w:pPr>
            <w:r w:rsidRPr="00602067">
              <w:rPr>
                <w:lang w:val="en-GB"/>
              </w:rPr>
              <w:t>Risk of failure:</w:t>
            </w:r>
          </w:p>
          <w:p w14:paraId="0D52CC92" w14:textId="77777777" w:rsidR="00090F13" w:rsidRPr="00602067" w:rsidRDefault="00090F13">
            <w:pPr>
              <w:rPr>
                <w:lang w:val="en-US"/>
              </w:rPr>
            </w:pPr>
            <w:r w:rsidRPr="00602067">
              <w:rPr>
                <w:lang w:val="en-GB"/>
              </w:rPr>
              <w:t>Pain VAS: OR [95%</w:t>
            </w:r>
            <w:proofErr w:type="gramStart"/>
            <w:r w:rsidRPr="00602067">
              <w:rPr>
                <w:lang w:val="en-GB"/>
              </w:rPr>
              <w:t>CI]=</w:t>
            </w:r>
            <w:proofErr w:type="gramEnd"/>
            <w:r w:rsidRPr="00602067">
              <w:rPr>
                <w:lang w:val="en-US"/>
              </w:rPr>
              <w:t xml:space="preserve"> 1.08 [1.01-1.15]</w:t>
            </w:r>
          </w:p>
          <w:p w14:paraId="719244DE" w14:textId="2E328373" w:rsidR="00090F13" w:rsidRPr="00602067" w:rsidRDefault="00090F13">
            <w:pPr>
              <w:rPr>
                <w:lang w:val="en-GB"/>
              </w:rPr>
            </w:pPr>
            <w:proofErr w:type="spellStart"/>
            <w:proofErr w:type="gramStart"/>
            <w:r w:rsidRPr="00602067">
              <w:t>mESS</w:t>
            </w:r>
            <w:proofErr w:type="spellEnd"/>
            <w:proofErr w:type="gramEnd"/>
            <w:r w:rsidRPr="00602067">
              <w:t> : OR [95%CI]= 1.05 [1.02-1.09]</w:t>
            </w:r>
          </w:p>
        </w:tc>
      </w:tr>
      <w:tr w:rsidR="00844E2B" w:rsidRPr="003D48C6" w14:paraId="1B70B78A" w14:textId="77777777" w:rsidTr="00D927B5">
        <w:tc>
          <w:tcPr>
            <w:tcW w:w="2376" w:type="dxa"/>
          </w:tcPr>
          <w:p w14:paraId="39681FAD" w14:textId="7AC7FCD0" w:rsidR="00844E2B" w:rsidRPr="00602067" w:rsidRDefault="00090F13">
            <w:pPr>
              <w:rPr>
                <w:lang w:val="en-GB"/>
              </w:rPr>
            </w:pPr>
            <w:proofErr w:type="spellStart"/>
            <w:r w:rsidRPr="00602067">
              <w:rPr>
                <w:rFonts w:eastAsia="Times New Roman" w:cs="Times New Roman"/>
                <w:color w:val="000000"/>
                <w:lang w:eastAsia="fr-FR"/>
              </w:rPr>
              <w:t>Yamanaka</w:t>
            </w:r>
            <w:proofErr w:type="spellEnd"/>
            <w:r w:rsidRPr="00602067">
              <w:rPr>
                <w:rFonts w:eastAsia="Times New Roman" w:cs="Times New Roman"/>
                <w:color w:val="000000"/>
                <w:lang w:eastAsia="fr-FR"/>
              </w:rPr>
              <w:t xml:space="preserve"> </w:t>
            </w:r>
            <w:r w:rsidRPr="00602067">
              <w:rPr>
                <w:rFonts w:eastAsia="Times New Roman" w:cs="Times New Roman"/>
                <w:color w:val="000000"/>
                <w:lang w:eastAsia="fr-FR"/>
              </w:rPr>
              <w:fldChar w:fldCharType="begin">
                <w:fldData xml:space="preserve">PEVuZE5vdGU+PENpdGU+PEF1dGhvcj5ZYW1hbmFrYTwvQXV0aG9yPjxZZWFyPjIwMTY8L1llYXI+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</w:fldData>
              </w:fldChar>
            </w:r>
            <w:r w:rsidR="00126E84" w:rsidRPr="00602067">
              <w:rPr>
                <w:rFonts w:eastAsia="Times New Roman" w:cs="Times New Roman"/>
                <w:color w:val="000000"/>
                <w:lang w:eastAsia="fr-FR"/>
              </w:rPr>
              <w:instrText xml:space="preserve"> ADDIN EN.CITE </w:instrText>
            </w:r>
            <w:r w:rsidR="00126E84" w:rsidRPr="00602067">
              <w:rPr>
                <w:rFonts w:eastAsia="Times New Roman" w:cs="Times New Roman"/>
                <w:color w:val="000000"/>
                <w:lang w:eastAsia="fr-FR"/>
              </w:rPr>
              <w:fldChar w:fldCharType="begin">
                <w:fldData xml:space="preserve">PEVuZE5vdGU+PENpdGU+PEF1dGhvcj5ZYW1hbmFrYTwvQXV0aG9yPjxZZWFyPjIwMTY8L1llYXI+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</w:fldData>
              </w:fldChar>
            </w:r>
            <w:r w:rsidR="00126E84" w:rsidRPr="00602067">
              <w:rPr>
                <w:rFonts w:eastAsia="Times New Roman" w:cs="Times New Roman"/>
                <w:color w:val="000000"/>
                <w:lang w:eastAsia="fr-FR"/>
              </w:rPr>
              <w:instrText xml:space="preserve"> ADDIN EN.CITE.DATA </w:instrText>
            </w:r>
            <w:r w:rsidR="00126E84" w:rsidRPr="00602067">
              <w:rPr>
                <w:rFonts w:eastAsia="Times New Roman" w:cs="Times New Roman"/>
                <w:color w:val="000000"/>
                <w:lang w:eastAsia="fr-FR"/>
              </w:rPr>
            </w:r>
            <w:r w:rsidR="00126E84" w:rsidRPr="00602067">
              <w:rPr>
                <w:rFonts w:eastAsia="Times New Roman" w:cs="Times New Roman"/>
                <w:color w:val="000000"/>
                <w:lang w:eastAsia="fr-FR"/>
              </w:rPr>
              <w:fldChar w:fldCharType="end"/>
            </w:r>
            <w:r w:rsidRPr="00602067">
              <w:rPr>
                <w:rFonts w:eastAsia="Times New Roman" w:cs="Times New Roman"/>
                <w:color w:val="000000"/>
                <w:lang w:eastAsia="fr-FR"/>
              </w:rPr>
            </w:r>
            <w:r w:rsidRPr="00602067">
              <w:rPr>
                <w:rFonts w:eastAsia="Times New Roman" w:cs="Times New Roman"/>
                <w:color w:val="000000"/>
                <w:lang w:eastAsia="fr-FR"/>
              </w:rPr>
              <w:fldChar w:fldCharType="separate"/>
            </w:r>
            <w:r w:rsidR="00126E84" w:rsidRPr="00602067">
              <w:rPr>
                <w:rFonts w:eastAsia="Times New Roman" w:cs="Times New Roman"/>
                <w:noProof/>
                <w:color w:val="000000"/>
                <w:lang w:eastAsia="fr-FR"/>
              </w:rPr>
              <w:t>[5]</w:t>
            </w:r>
            <w:r w:rsidRPr="00602067">
              <w:rPr>
                <w:rFonts w:eastAsia="Times New Roman" w:cs="Times New Roman"/>
                <w:color w:val="000000"/>
                <w:lang w:eastAsia="fr-FR"/>
              </w:rPr>
              <w:fldChar w:fldCharType="end"/>
            </w:r>
          </w:p>
        </w:tc>
        <w:tc>
          <w:tcPr>
            <w:tcW w:w="2410" w:type="dxa"/>
          </w:tcPr>
          <w:p w14:paraId="30CBE2B6" w14:textId="77777777" w:rsidR="00844E2B" w:rsidRPr="00602067" w:rsidRDefault="00984CDE">
            <w:pPr>
              <w:rPr>
                <w:lang w:val="en-GB"/>
              </w:rPr>
            </w:pPr>
            <w:r w:rsidRPr="00602067">
              <w:rPr>
                <w:lang w:val="en-GB"/>
              </w:rPr>
              <w:t>SDAI</w:t>
            </w:r>
          </w:p>
          <w:p w14:paraId="6A93F83A" w14:textId="720EA6CA" w:rsidR="00984CDE" w:rsidRPr="00602067" w:rsidRDefault="00984CDE">
            <w:pPr>
              <w:rPr>
                <w:lang w:val="en-GB"/>
              </w:rPr>
            </w:pPr>
          </w:p>
        </w:tc>
        <w:tc>
          <w:tcPr>
            <w:tcW w:w="4426" w:type="dxa"/>
          </w:tcPr>
          <w:p w14:paraId="09B2C386" w14:textId="77777777" w:rsidR="00984CDE" w:rsidRPr="00602067" w:rsidRDefault="00984CDE">
            <w:pPr>
              <w:rPr>
                <w:lang w:val="en-GB"/>
              </w:rPr>
            </w:pPr>
            <w:r w:rsidRPr="00602067">
              <w:rPr>
                <w:lang w:val="en-GB"/>
              </w:rPr>
              <w:t>Risk of maintaining remission</w:t>
            </w:r>
          </w:p>
          <w:p w14:paraId="49A6B4BE" w14:textId="1B507409" w:rsidR="00984CDE" w:rsidRPr="00602067" w:rsidRDefault="00984CDE">
            <w:pPr>
              <w:rPr>
                <w:lang w:val="en-GB"/>
              </w:rPr>
            </w:pPr>
            <w:r w:rsidRPr="00602067">
              <w:rPr>
                <w:lang w:val="en-GB"/>
              </w:rPr>
              <w:t>SDAI: p=0.015</w:t>
            </w:r>
          </w:p>
        </w:tc>
      </w:tr>
    </w:tbl>
    <w:p w14:paraId="379D59FD" w14:textId="09925F26" w:rsidR="00844E2B" w:rsidRDefault="00984CDE">
      <w:pPr>
        <w:rPr>
          <w:lang w:val="en-GB"/>
        </w:rPr>
      </w:pPr>
      <w:r w:rsidRPr="00602067">
        <w:rPr>
          <w:lang w:val="en-GB"/>
        </w:rPr>
        <w:t xml:space="preserve">LAD: low disease activity; DAS28: Disease activity score on 28 joints; HAQ: Health Assessment Questionnaire; OR: Odds ratios: CI: confidence interval; SD: standard deviation; RF: rheumatoid factor; VAS: Visual Analogic score; </w:t>
      </w:r>
      <w:proofErr w:type="spellStart"/>
      <w:r w:rsidRPr="00602067">
        <w:rPr>
          <w:lang w:val="en-GB"/>
        </w:rPr>
        <w:t>mESS</w:t>
      </w:r>
      <w:proofErr w:type="spellEnd"/>
      <w:r w:rsidRPr="00602067">
        <w:rPr>
          <w:lang w:val="en-GB"/>
        </w:rPr>
        <w:t>: van der Heijde modified erosion Sharp score; SDAI: simple disease activity index</w:t>
      </w:r>
    </w:p>
    <w:p w14:paraId="68A10C3F" w14:textId="77777777" w:rsidR="00126E84" w:rsidRDefault="00126E84">
      <w:pPr>
        <w:rPr>
          <w:lang w:val="en-GB"/>
        </w:rPr>
      </w:pPr>
    </w:p>
    <w:p w14:paraId="4640690E" w14:textId="0EF4D035" w:rsidR="00126E84" w:rsidRDefault="00126E84">
      <w:pPr>
        <w:rPr>
          <w:lang w:val="en-GB"/>
        </w:rPr>
      </w:pPr>
    </w:p>
    <w:sectPr w:rsidR="00126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40259"/>
    <w:multiLevelType w:val="hybridMultilevel"/>
    <w:tmpl w:val="9640A4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947314B"/>
    <w:multiLevelType w:val="hybridMultilevel"/>
    <w:tmpl w:val="AB88F3B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Rheum Disease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wz92rx2ep5veepxzp5zxata2xarw00swxe&quot;&gt;Biblio sophie&lt;record-ids&gt;&lt;item&gt;17&lt;/item&gt;&lt;item&gt;20&lt;/item&gt;&lt;item&gt;23&lt;/item&gt;&lt;item&gt;25&lt;/item&gt;&lt;item&gt;27&lt;/item&gt;&lt;/record-ids&gt;&lt;/item&gt;&lt;/Libraries&gt;"/>
  </w:docVars>
  <w:rsids>
    <w:rsidRoot w:val="004D52B8"/>
    <w:rsid w:val="000023C5"/>
    <w:rsid w:val="00090F13"/>
    <w:rsid w:val="00126E84"/>
    <w:rsid w:val="001634FD"/>
    <w:rsid w:val="001B6534"/>
    <w:rsid w:val="00264E43"/>
    <w:rsid w:val="00295C6D"/>
    <w:rsid w:val="003C132C"/>
    <w:rsid w:val="003D48C6"/>
    <w:rsid w:val="00462228"/>
    <w:rsid w:val="004C64B1"/>
    <w:rsid w:val="004D52B8"/>
    <w:rsid w:val="004F3C4A"/>
    <w:rsid w:val="00602067"/>
    <w:rsid w:val="00661921"/>
    <w:rsid w:val="006A0CF1"/>
    <w:rsid w:val="00844E2B"/>
    <w:rsid w:val="00896070"/>
    <w:rsid w:val="008D787F"/>
    <w:rsid w:val="00923EA9"/>
    <w:rsid w:val="00984CDE"/>
    <w:rsid w:val="009D4525"/>
    <w:rsid w:val="00AA4AC2"/>
    <w:rsid w:val="00C46145"/>
    <w:rsid w:val="00C674C6"/>
    <w:rsid w:val="00D00DCD"/>
    <w:rsid w:val="00D57A54"/>
    <w:rsid w:val="00D82389"/>
    <w:rsid w:val="00D927B5"/>
    <w:rsid w:val="00DD6DAD"/>
    <w:rsid w:val="00F74314"/>
    <w:rsid w:val="00FA67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4:docId w14:val="259E181D"/>
  <w15:chartTrackingRefBased/>
  <w15:docId w15:val="{3CA47A03-ABF0-4B90-A55D-7F62C8FC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link w:val="StandardCar"/>
    <w:rsid w:val="004D52B8"/>
    <w:pPr>
      <w:suppressAutoHyphens/>
      <w:autoSpaceDN w:val="0"/>
      <w:textAlignment w:val="baseline"/>
    </w:pPr>
    <w:rPr>
      <w:rFonts w:ascii="Calibri" w:eastAsia="SimSun" w:hAnsi="Calibri" w:cs="F"/>
      <w:kern w:val="3"/>
      <w:lang w:val="en-US"/>
    </w:rPr>
  </w:style>
  <w:style w:type="character" w:styleId="Marquedecommentaire">
    <w:name w:val="annotation reference"/>
    <w:basedOn w:val="Policepardfaut"/>
    <w:uiPriority w:val="99"/>
    <w:semiHidden/>
    <w:unhideWhenUsed/>
    <w:rsid w:val="00C46145"/>
    <w:rPr>
      <w:sz w:val="16"/>
      <w:szCs w:val="16"/>
    </w:rPr>
  </w:style>
  <w:style w:type="paragraph" w:styleId="Commentaire">
    <w:name w:val="annotation text"/>
    <w:basedOn w:val="Normal"/>
    <w:link w:val="CommentaireCar"/>
    <w:uiPriority w:val="99"/>
    <w:semiHidden/>
    <w:unhideWhenUsed/>
    <w:rsid w:val="00C46145"/>
    <w:pPr>
      <w:spacing w:line="240" w:lineRule="auto"/>
    </w:pPr>
    <w:rPr>
      <w:sz w:val="20"/>
      <w:szCs w:val="20"/>
    </w:rPr>
  </w:style>
  <w:style w:type="character" w:customStyle="1" w:styleId="CommentaireCar">
    <w:name w:val="Commentaire Car"/>
    <w:basedOn w:val="Policepardfaut"/>
    <w:link w:val="Commentaire"/>
    <w:uiPriority w:val="99"/>
    <w:semiHidden/>
    <w:rsid w:val="00C46145"/>
    <w:rPr>
      <w:sz w:val="20"/>
      <w:szCs w:val="20"/>
    </w:rPr>
  </w:style>
  <w:style w:type="paragraph" w:styleId="Objetducommentaire">
    <w:name w:val="annotation subject"/>
    <w:basedOn w:val="Commentaire"/>
    <w:next w:val="Commentaire"/>
    <w:link w:val="ObjetducommentaireCar"/>
    <w:uiPriority w:val="99"/>
    <w:semiHidden/>
    <w:unhideWhenUsed/>
    <w:rsid w:val="00C46145"/>
    <w:rPr>
      <w:b/>
      <w:bCs/>
    </w:rPr>
  </w:style>
  <w:style w:type="character" w:customStyle="1" w:styleId="ObjetducommentaireCar">
    <w:name w:val="Objet du commentaire Car"/>
    <w:basedOn w:val="CommentaireCar"/>
    <w:link w:val="Objetducommentaire"/>
    <w:uiPriority w:val="99"/>
    <w:semiHidden/>
    <w:rsid w:val="00C46145"/>
    <w:rPr>
      <w:b/>
      <w:bCs/>
      <w:sz w:val="20"/>
      <w:szCs w:val="20"/>
    </w:rPr>
  </w:style>
  <w:style w:type="paragraph" w:styleId="Textedebulles">
    <w:name w:val="Balloon Text"/>
    <w:basedOn w:val="Normal"/>
    <w:link w:val="TextedebullesCar"/>
    <w:uiPriority w:val="99"/>
    <w:semiHidden/>
    <w:unhideWhenUsed/>
    <w:rsid w:val="00C461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6145"/>
    <w:rPr>
      <w:rFonts w:ascii="Segoe UI" w:hAnsi="Segoe UI" w:cs="Segoe UI"/>
      <w:sz w:val="18"/>
      <w:szCs w:val="18"/>
    </w:rPr>
  </w:style>
  <w:style w:type="character" w:customStyle="1" w:styleId="StandardCar">
    <w:name w:val="Standard Car"/>
    <w:basedOn w:val="Policepardfaut"/>
    <w:link w:val="Standard"/>
    <w:rsid w:val="004C64B1"/>
    <w:rPr>
      <w:rFonts w:ascii="Calibri" w:eastAsia="SimSun" w:hAnsi="Calibri" w:cs="F"/>
      <w:kern w:val="3"/>
      <w:lang w:val="en-US"/>
    </w:rPr>
  </w:style>
  <w:style w:type="table" w:styleId="Grilledutableau">
    <w:name w:val="Table Grid"/>
    <w:basedOn w:val="TableauNormal"/>
    <w:uiPriority w:val="59"/>
    <w:rsid w:val="00844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D4525"/>
    <w:pPr>
      <w:ind w:left="720"/>
      <w:contextualSpacing/>
    </w:pPr>
  </w:style>
  <w:style w:type="paragraph" w:customStyle="1" w:styleId="EndNoteBibliographyTitle">
    <w:name w:val="EndNote Bibliography Title"/>
    <w:basedOn w:val="Normal"/>
    <w:link w:val="EndNoteBibliographyTitleCar"/>
    <w:rsid w:val="00126E84"/>
    <w:pPr>
      <w:spacing w:after="0"/>
      <w:jc w:val="center"/>
    </w:pPr>
    <w:rPr>
      <w:rFonts w:ascii="Calibri" w:hAnsi="Calibri" w:cs="Calibri"/>
      <w:noProof/>
      <w:lang w:val="en-US"/>
    </w:rPr>
  </w:style>
  <w:style w:type="character" w:customStyle="1" w:styleId="EndNoteBibliographyTitleCar">
    <w:name w:val="EndNote Bibliography Title Car"/>
    <w:basedOn w:val="StandardCar"/>
    <w:link w:val="EndNoteBibliographyTitle"/>
    <w:rsid w:val="00126E84"/>
    <w:rPr>
      <w:rFonts w:ascii="Calibri" w:eastAsia="SimSun" w:hAnsi="Calibri" w:cs="Calibri"/>
      <w:noProof/>
      <w:kern w:val="3"/>
      <w:lang w:val="en-US"/>
    </w:rPr>
  </w:style>
  <w:style w:type="paragraph" w:customStyle="1" w:styleId="EndNoteBibliography">
    <w:name w:val="EndNote Bibliography"/>
    <w:basedOn w:val="Normal"/>
    <w:link w:val="EndNoteBibliographyCar"/>
    <w:rsid w:val="00126E84"/>
    <w:pPr>
      <w:spacing w:line="240" w:lineRule="auto"/>
    </w:pPr>
    <w:rPr>
      <w:rFonts w:ascii="Calibri" w:hAnsi="Calibri" w:cs="Calibri"/>
      <w:noProof/>
      <w:lang w:val="en-US"/>
    </w:rPr>
  </w:style>
  <w:style w:type="character" w:customStyle="1" w:styleId="EndNoteBibliographyCar">
    <w:name w:val="EndNote Bibliography Car"/>
    <w:basedOn w:val="StandardCar"/>
    <w:link w:val="EndNoteBibliography"/>
    <w:rsid w:val="00126E84"/>
    <w:rPr>
      <w:rFonts w:ascii="Calibri" w:eastAsia="SimSun" w:hAnsi="Calibri" w:cs="Calibri"/>
      <w:noProof/>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7257</Words>
  <Characters>39918</Characters>
  <Application>Microsoft Office Word</Application>
  <DocSecurity>0</DocSecurity>
  <Lines>332</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 Ruyssen Witrand</dc:creator>
  <cp:keywords/>
  <dc:description/>
  <cp:lastModifiedBy>Adeline Ruyssen Witrand</cp:lastModifiedBy>
  <cp:revision>4</cp:revision>
  <dcterms:created xsi:type="dcterms:W3CDTF">2017-11-15T16:52:00Z</dcterms:created>
  <dcterms:modified xsi:type="dcterms:W3CDTF">2017-11-15T17:25:00Z</dcterms:modified>
</cp:coreProperties>
</file>