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147" w:rsidRPr="002456CC" w:rsidRDefault="00314147" w:rsidP="00314147">
      <w:pPr>
        <w:pStyle w:val="Stilepredefinito"/>
        <w:spacing w:line="480" w:lineRule="auto"/>
        <w:outlineLvl w:val="0"/>
        <w:rPr>
          <w:rFonts w:ascii="Cambria" w:hAnsi="Cambria"/>
          <w:b/>
          <w:sz w:val="28"/>
          <w:szCs w:val="28"/>
          <w:lang w:val="en-US"/>
        </w:rPr>
      </w:pPr>
      <w:r w:rsidRPr="002456CC">
        <w:rPr>
          <w:rFonts w:ascii="Cambria" w:hAnsi="Cambria"/>
          <w:b/>
          <w:sz w:val="28"/>
          <w:szCs w:val="28"/>
          <w:lang w:val="en-US"/>
        </w:rPr>
        <w:t>A</w:t>
      </w:r>
      <w:r>
        <w:rPr>
          <w:rFonts w:ascii="Cambria" w:hAnsi="Cambria"/>
          <w:b/>
          <w:sz w:val="28"/>
          <w:szCs w:val="28"/>
          <w:lang w:val="en-US"/>
        </w:rPr>
        <w:t xml:space="preserve">ntiphospholipid Antibodies </w:t>
      </w:r>
      <w:r w:rsidRPr="002456CC">
        <w:rPr>
          <w:rFonts w:ascii="Cambria" w:hAnsi="Cambria"/>
          <w:b/>
          <w:sz w:val="28"/>
          <w:szCs w:val="28"/>
          <w:lang w:val="en-US"/>
        </w:rPr>
        <w:t>detection</w:t>
      </w:r>
    </w:p>
    <w:p w:rsidR="00314147" w:rsidRDefault="00314147" w:rsidP="00314147">
      <w:pPr>
        <w:pStyle w:val="Stilepredefinito"/>
        <w:spacing w:line="480" w:lineRule="auto"/>
        <w:jc w:val="both"/>
        <w:rPr>
          <w:rFonts w:ascii="Cambria" w:hAnsi="Cambria"/>
          <w:sz w:val="28"/>
          <w:szCs w:val="28"/>
          <w:lang w:val="en-US"/>
        </w:rPr>
      </w:pPr>
      <w:bookmarkStart w:id="0" w:name="_GoBack"/>
      <w:r>
        <w:rPr>
          <w:rFonts w:ascii="Cambria" w:hAnsi="Cambria"/>
          <w:sz w:val="28"/>
          <w:szCs w:val="28"/>
          <w:lang w:val="en-US"/>
        </w:rPr>
        <w:t>The Antiphospholipid Antibodies (</w:t>
      </w:r>
      <w:proofErr w:type="spellStart"/>
      <w:r>
        <w:rPr>
          <w:rFonts w:ascii="Cambria" w:hAnsi="Cambria"/>
          <w:sz w:val="28"/>
          <w:szCs w:val="28"/>
          <w:lang w:val="en-US"/>
        </w:rPr>
        <w:t>aPL</w:t>
      </w:r>
      <w:proofErr w:type="spellEnd"/>
      <w:r>
        <w:rPr>
          <w:rFonts w:ascii="Cambria" w:hAnsi="Cambria"/>
          <w:sz w:val="28"/>
          <w:szCs w:val="28"/>
          <w:lang w:val="en-US"/>
        </w:rPr>
        <w:t xml:space="preserve">) </w:t>
      </w:r>
      <w:r w:rsidRPr="002456CC">
        <w:rPr>
          <w:rFonts w:ascii="Cambria" w:hAnsi="Cambria"/>
          <w:sz w:val="28"/>
          <w:szCs w:val="28"/>
          <w:lang w:val="en-US"/>
        </w:rPr>
        <w:t xml:space="preserve">profile </w:t>
      </w:r>
      <w:r w:rsidRPr="00845127">
        <w:rPr>
          <w:rFonts w:ascii="Cambria" w:hAnsi="Cambria"/>
          <w:sz w:val="28"/>
          <w:szCs w:val="28"/>
          <w:lang w:val="en-US"/>
        </w:rPr>
        <w:t>included L</w:t>
      </w:r>
      <w:r>
        <w:rPr>
          <w:rFonts w:ascii="Cambria" w:hAnsi="Cambria"/>
          <w:sz w:val="28"/>
          <w:szCs w:val="28"/>
          <w:lang w:val="en-US"/>
        </w:rPr>
        <w:t xml:space="preserve">upus </w:t>
      </w:r>
      <w:r w:rsidRPr="00845127">
        <w:rPr>
          <w:rFonts w:ascii="Cambria" w:hAnsi="Cambria"/>
          <w:sz w:val="28"/>
          <w:szCs w:val="28"/>
          <w:lang w:val="en-US"/>
        </w:rPr>
        <w:t>A</w:t>
      </w:r>
      <w:r>
        <w:rPr>
          <w:rFonts w:ascii="Cambria" w:hAnsi="Cambria"/>
          <w:sz w:val="28"/>
          <w:szCs w:val="28"/>
          <w:lang w:val="en-US"/>
        </w:rPr>
        <w:t>nticoagulant (LA)</w:t>
      </w:r>
      <w:r>
        <w:rPr>
          <w:rFonts w:ascii="Cambria" w:hAnsi="Cambria"/>
          <w:sz w:val="28"/>
          <w:szCs w:val="28"/>
          <w:lang w:val="en-US"/>
        </w:rPr>
        <w:t xml:space="preserve">, </w:t>
      </w:r>
      <w:proofErr w:type="spellStart"/>
      <w:r w:rsidRPr="00845127">
        <w:rPr>
          <w:rFonts w:ascii="Cambria" w:hAnsi="Cambria"/>
          <w:sz w:val="28"/>
          <w:szCs w:val="28"/>
          <w:lang w:val="en-US"/>
        </w:rPr>
        <w:t>a</w:t>
      </w:r>
      <w:r>
        <w:rPr>
          <w:rFonts w:ascii="Cambria" w:hAnsi="Cambria"/>
          <w:sz w:val="28"/>
          <w:szCs w:val="28"/>
          <w:lang w:val="en-US"/>
        </w:rPr>
        <w:t>nticardiolipin</w:t>
      </w:r>
      <w:proofErr w:type="spellEnd"/>
      <w:r>
        <w:rPr>
          <w:rFonts w:ascii="Cambria" w:hAnsi="Cambria"/>
          <w:sz w:val="28"/>
          <w:szCs w:val="28"/>
          <w:lang w:val="en-US"/>
        </w:rPr>
        <w:t xml:space="preserve"> (</w:t>
      </w:r>
      <w:proofErr w:type="spellStart"/>
      <w:r>
        <w:rPr>
          <w:rFonts w:ascii="Cambria" w:hAnsi="Cambria"/>
          <w:sz w:val="28"/>
          <w:szCs w:val="28"/>
          <w:lang w:val="en-US"/>
        </w:rPr>
        <w:t>a</w:t>
      </w:r>
      <w:r w:rsidRPr="00845127">
        <w:rPr>
          <w:rFonts w:ascii="Cambria" w:hAnsi="Cambria"/>
          <w:sz w:val="28"/>
          <w:szCs w:val="28"/>
          <w:lang w:val="en-US"/>
        </w:rPr>
        <w:t>CL</w:t>
      </w:r>
      <w:proofErr w:type="spellEnd"/>
      <w:r>
        <w:rPr>
          <w:rFonts w:ascii="Cambria" w:hAnsi="Cambria"/>
          <w:sz w:val="28"/>
          <w:szCs w:val="28"/>
          <w:lang w:val="en-US"/>
        </w:rPr>
        <w:t>)</w:t>
      </w:r>
      <w:r>
        <w:rPr>
          <w:rFonts w:ascii="Cambria" w:hAnsi="Cambria"/>
          <w:sz w:val="28"/>
          <w:szCs w:val="28"/>
          <w:lang w:val="en-US"/>
        </w:rPr>
        <w:t>,</w:t>
      </w:r>
      <w:r w:rsidRPr="00845127">
        <w:rPr>
          <w:rFonts w:ascii="Cambria" w:hAnsi="Cambria"/>
          <w:sz w:val="28"/>
          <w:szCs w:val="28"/>
          <w:lang w:val="en-US"/>
        </w:rPr>
        <w:t xml:space="preserve"> and </w:t>
      </w:r>
      <w:r>
        <w:rPr>
          <w:rFonts w:ascii="Cambria" w:hAnsi="Cambria"/>
          <w:sz w:val="28"/>
          <w:szCs w:val="28"/>
          <w:lang w:val="en-US"/>
        </w:rPr>
        <w:t>anti-</w:t>
      </w:r>
      <w:r w:rsidRPr="00314147">
        <w:rPr>
          <w:rFonts w:ascii="Cambria" w:hAnsi="Cambria"/>
          <w:sz w:val="28"/>
          <w:szCs w:val="28"/>
          <w:lang w:val="en-US"/>
        </w:rPr>
        <w:t xml:space="preserve"> </w:t>
      </w:r>
      <w:r w:rsidRPr="00845127">
        <w:rPr>
          <w:rFonts w:ascii="Cambria" w:hAnsi="Cambria"/>
          <w:sz w:val="28"/>
          <w:szCs w:val="28"/>
          <w:lang w:val="en-US"/>
        </w:rPr>
        <w:t>ß</w:t>
      </w:r>
      <w:r>
        <w:rPr>
          <w:rFonts w:ascii="Cambria" w:hAnsi="Cambria"/>
          <w:sz w:val="28"/>
          <w:szCs w:val="28"/>
          <w:lang w:val="en-US"/>
        </w:rPr>
        <w:t>2 Glycoprotein I antibodies (</w:t>
      </w:r>
      <w:r w:rsidRPr="00845127">
        <w:rPr>
          <w:rFonts w:ascii="Cambria" w:hAnsi="Cambria"/>
          <w:sz w:val="28"/>
          <w:szCs w:val="28"/>
          <w:lang w:val="en-US"/>
        </w:rPr>
        <w:t>anti-ß2GPI</w:t>
      </w:r>
      <w:r>
        <w:rPr>
          <w:rFonts w:ascii="Cambria" w:hAnsi="Cambria"/>
          <w:sz w:val="28"/>
          <w:szCs w:val="28"/>
          <w:lang w:val="en-US"/>
        </w:rPr>
        <w:t>)</w:t>
      </w:r>
      <w:r w:rsidRPr="002456CC">
        <w:rPr>
          <w:rFonts w:ascii="Cambria" w:hAnsi="Cambria"/>
          <w:sz w:val="28"/>
          <w:szCs w:val="28"/>
          <w:lang w:val="en-US"/>
        </w:rPr>
        <w:t xml:space="preserve">. The </w:t>
      </w:r>
      <w:proofErr w:type="spellStart"/>
      <w:r w:rsidRPr="002456CC">
        <w:rPr>
          <w:rFonts w:ascii="Cambria" w:hAnsi="Cambria"/>
          <w:sz w:val="28"/>
          <w:szCs w:val="28"/>
          <w:lang w:val="en-US"/>
        </w:rPr>
        <w:t>aCL</w:t>
      </w:r>
      <w:proofErr w:type="spellEnd"/>
      <w:r w:rsidRPr="002456CC">
        <w:rPr>
          <w:rFonts w:ascii="Cambria" w:hAnsi="Cambria"/>
          <w:sz w:val="28"/>
          <w:szCs w:val="28"/>
          <w:lang w:val="en-US"/>
        </w:rPr>
        <w:t xml:space="preserve"> an</w:t>
      </w:r>
      <w:r>
        <w:rPr>
          <w:rFonts w:ascii="Cambria" w:hAnsi="Cambria"/>
          <w:sz w:val="28"/>
          <w:szCs w:val="28"/>
          <w:lang w:val="en-US"/>
        </w:rPr>
        <w:t xml:space="preserve">d anti-ß2GPI </w:t>
      </w:r>
      <w:r w:rsidR="00172C3B">
        <w:rPr>
          <w:rFonts w:ascii="Cambria" w:hAnsi="Cambria"/>
          <w:sz w:val="28"/>
          <w:szCs w:val="28"/>
          <w:lang w:val="en-US"/>
        </w:rPr>
        <w:t xml:space="preserve">(IgG and IgM) </w:t>
      </w:r>
      <w:r>
        <w:rPr>
          <w:rFonts w:ascii="Cambria" w:hAnsi="Cambria"/>
          <w:sz w:val="28"/>
          <w:szCs w:val="28"/>
          <w:lang w:val="en-US"/>
        </w:rPr>
        <w:t xml:space="preserve">were </w:t>
      </w:r>
      <w:r w:rsidRPr="002456CC">
        <w:rPr>
          <w:rFonts w:ascii="Cambria" w:hAnsi="Cambria"/>
          <w:sz w:val="28"/>
          <w:szCs w:val="28"/>
          <w:lang w:val="en-US"/>
        </w:rPr>
        <w:t xml:space="preserve">detected by </w:t>
      </w:r>
      <w:r>
        <w:rPr>
          <w:rFonts w:ascii="Cambria" w:hAnsi="Cambria"/>
          <w:sz w:val="28"/>
          <w:szCs w:val="28"/>
          <w:lang w:val="en-US"/>
        </w:rPr>
        <w:t xml:space="preserve">commercial </w:t>
      </w:r>
      <w:r w:rsidRPr="002456CC">
        <w:rPr>
          <w:rFonts w:ascii="Cambria" w:hAnsi="Cambria"/>
          <w:sz w:val="28"/>
          <w:szCs w:val="28"/>
          <w:lang w:val="en-US"/>
        </w:rPr>
        <w:t>ELISA</w:t>
      </w:r>
      <w:r>
        <w:rPr>
          <w:rFonts w:ascii="Cambria" w:hAnsi="Cambria"/>
          <w:sz w:val="28"/>
          <w:szCs w:val="28"/>
          <w:lang w:val="en-US"/>
        </w:rPr>
        <w:t xml:space="preserve"> assay</w:t>
      </w:r>
      <w:r w:rsidRPr="002456CC">
        <w:rPr>
          <w:rFonts w:ascii="Cambria" w:hAnsi="Cambria"/>
          <w:sz w:val="28"/>
          <w:szCs w:val="28"/>
          <w:lang w:val="en-US"/>
        </w:rPr>
        <w:t xml:space="preserve"> </w:t>
      </w:r>
      <w:r>
        <w:rPr>
          <w:rFonts w:ascii="Cambria" w:hAnsi="Cambria"/>
          <w:sz w:val="28"/>
          <w:szCs w:val="28"/>
          <w:lang w:val="en-US"/>
        </w:rPr>
        <w:t xml:space="preserve">by </w:t>
      </w:r>
      <w:r w:rsidRPr="00314147">
        <w:rPr>
          <w:rFonts w:ascii="Cambria" w:hAnsi="Cambria"/>
          <w:sz w:val="28"/>
          <w:szCs w:val="28"/>
          <w:lang w:val="en-US"/>
        </w:rPr>
        <w:t>INOVA Diagnostics, Inc., San Diego, CA, United States</w:t>
      </w:r>
      <w:r w:rsidRPr="0002316E">
        <w:rPr>
          <w:rFonts w:ascii="Cambria" w:hAnsi="Cambria"/>
          <w:sz w:val="28"/>
          <w:szCs w:val="28"/>
          <w:lang w:val="en-US"/>
        </w:rPr>
        <w:t>.</w:t>
      </w:r>
      <w:r w:rsidRPr="002456CC">
        <w:rPr>
          <w:rFonts w:ascii="Cambria" w:hAnsi="Cambria"/>
          <w:sz w:val="28"/>
          <w:szCs w:val="28"/>
          <w:lang w:val="en-US"/>
        </w:rPr>
        <w:t xml:space="preserve"> </w:t>
      </w:r>
    </w:p>
    <w:p w:rsidR="00314147" w:rsidRDefault="00314147" w:rsidP="00314147">
      <w:pPr>
        <w:pStyle w:val="Stilepredefinito"/>
        <w:spacing w:line="480" w:lineRule="auto"/>
        <w:jc w:val="both"/>
        <w:rPr>
          <w:rFonts w:ascii="Cambria" w:hAnsi="Cambria"/>
          <w:sz w:val="28"/>
          <w:szCs w:val="28"/>
          <w:lang w:val="en-US"/>
        </w:rPr>
      </w:pPr>
      <w:r w:rsidRPr="002456CC">
        <w:rPr>
          <w:rFonts w:ascii="Cambria" w:hAnsi="Cambria"/>
          <w:sz w:val="28"/>
          <w:szCs w:val="28"/>
          <w:lang w:val="en-US"/>
        </w:rPr>
        <w:t>Plasma samples wer</w:t>
      </w:r>
      <w:r>
        <w:rPr>
          <w:rFonts w:ascii="Cambria" w:hAnsi="Cambria"/>
          <w:sz w:val="28"/>
          <w:szCs w:val="28"/>
          <w:lang w:val="en-US"/>
        </w:rPr>
        <w:t xml:space="preserve">e tested for the presence of LA </w:t>
      </w:r>
      <w:r w:rsidRPr="002456CC">
        <w:rPr>
          <w:rFonts w:ascii="Cambria" w:hAnsi="Cambria"/>
          <w:sz w:val="28"/>
          <w:szCs w:val="28"/>
          <w:lang w:val="en-US"/>
        </w:rPr>
        <w:t>according to th</w:t>
      </w:r>
      <w:r>
        <w:rPr>
          <w:rFonts w:ascii="Cambria" w:hAnsi="Cambria"/>
          <w:sz w:val="28"/>
          <w:szCs w:val="28"/>
          <w:lang w:val="en-US"/>
        </w:rPr>
        <w:t xml:space="preserve">e recommended criteria from the </w:t>
      </w:r>
      <w:r w:rsidRPr="002456CC">
        <w:rPr>
          <w:rFonts w:ascii="Cambria" w:hAnsi="Cambria"/>
          <w:sz w:val="28"/>
          <w:szCs w:val="28"/>
          <w:lang w:val="en-US"/>
        </w:rPr>
        <w:t>International Societ</w:t>
      </w:r>
      <w:r>
        <w:rPr>
          <w:rFonts w:ascii="Cambria" w:hAnsi="Cambria"/>
          <w:sz w:val="28"/>
          <w:szCs w:val="28"/>
          <w:lang w:val="en-US"/>
        </w:rPr>
        <w:t xml:space="preserve">y on Thrombosis and </w:t>
      </w:r>
      <w:proofErr w:type="spellStart"/>
      <w:r>
        <w:rPr>
          <w:rFonts w:ascii="Cambria" w:hAnsi="Cambria"/>
          <w:sz w:val="28"/>
          <w:szCs w:val="28"/>
          <w:lang w:val="en-US"/>
        </w:rPr>
        <w:t>Haemostasis</w:t>
      </w:r>
      <w:proofErr w:type="spellEnd"/>
      <w:r>
        <w:rPr>
          <w:rFonts w:ascii="Cambria" w:hAnsi="Cambria"/>
          <w:sz w:val="28"/>
          <w:szCs w:val="28"/>
          <w:lang w:val="en-US"/>
        </w:rPr>
        <w:t xml:space="preserve"> </w:t>
      </w:r>
      <w:r w:rsidRPr="002456CC">
        <w:rPr>
          <w:rFonts w:ascii="Cambria" w:hAnsi="Cambria"/>
          <w:sz w:val="28"/>
          <w:szCs w:val="28"/>
          <w:lang w:val="en-US"/>
        </w:rPr>
        <w:t>(ISTH) Subcommittee on Lupus Anticoagula</w:t>
      </w:r>
      <w:r>
        <w:rPr>
          <w:rFonts w:ascii="Cambria" w:hAnsi="Cambria"/>
          <w:sz w:val="28"/>
          <w:szCs w:val="28"/>
          <w:lang w:val="en-US"/>
        </w:rPr>
        <w:t>nt/</w:t>
      </w:r>
      <w:r w:rsidRPr="002456CC">
        <w:rPr>
          <w:rFonts w:ascii="Cambria" w:hAnsi="Cambria"/>
          <w:sz w:val="28"/>
          <w:szCs w:val="28"/>
          <w:lang w:val="en-US"/>
        </w:rPr>
        <w:t>Phospholipid-Dependent</w:t>
      </w:r>
      <w:r>
        <w:rPr>
          <w:rFonts w:ascii="Cambria" w:hAnsi="Cambria"/>
          <w:sz w:val="28"/>
          <w:szCs w:val="28"/>
          <w:lang w:val="en-US"/>
        </w:rPr>
        <w:t xml:space="preserve"> Antibodies </w:t>
      </w:r>
      <w:r>
        <w:rPr>
          <w:rFonts w:ascii="Cambria" w:hAnsi="Cambria"/>
          <w:sz w:val="28"/>
          <w:szCs w:val="28"/>
          <w:lang w:val="en-US"/>
        </w:rPr>
        <w:fldChar w:fldCharType="begin" w:fldLock="1"/>
      </w:r>
      <w:r>
        <w:rPr>
          <w:rFonts w:ascii="Cambria" w:hAnsi="Cambria"/>
          <w:sz w:val="28"/>
          <w:szCs w:val="28"/>
          <w:lang w:val="en-US"/>
        </w:rPr>
        <w:instrText>ADDIN CSL_CITATION { "citationItems" : [ { "id" : "ITEM-1", "itemData" : { "ISSN" : "0340-6245", "PMID" : "8560433", "author" : [ { "dropping-particle" : "", "family" : "Brandt", "given" : "J T", "non-dropping-particle" : "", "parse-names" : false, "suffix" : "" }, { "dropping-particle" : "", "family" : "Triplett", "given" : "D A", "non-dropping-particle" : "", "parse-names" : false, "suffix" : "" }, { "dropping-particle" : "", "family" : "Alving", "given" : "B", "non-dropping-particle" : "", "parse-names" : false, "suffix" : "" }, { "dropping-particle" : "", "family" : "Scharrer", "given" : "I", "non-dropping-particle" : "", "parse-names" : false, "suffix" : "" } ], "container-title" : "Thrombosis and haemostasis", "id" : "ITEM-1", "issue" : "4", "issued" : { "date-parts" : [ [ "1995", "10" ] ] }, "page" : "1185-90", "title" : "Criteria for the diagnosis of lupus anticoagulants: an update. On behalf of the Subcommittee on Lupus Anticoagulant/Antiphospholipid Antibody of the Scientific and Standardisation Committee of the ISTH.", "type" : "article-journal", "volume" : "74" }, "uris" : [ "http://www.mendeley.com/documents/?uuid=92488979-e853-3352-9a84-ceee73b9fa05", "http://www.mendeley.com/documents/?uuid=76d7baea-1205-4fc1-b4fe-175f7a35cfad" ] }, { "id" : "ITEM-2", "itemData" : { "DOI" : "10.1111/j.1538-7836.2009.03555.x", "ISSN" : "15387933", "PMID" : "19624461", "abstract" : "One of the conclusions of the subcommittee meeting on Lupus Anticoagulant/Phospholipid dependent antibodies, held in Geneva on 2007, was the need to update the guidelines on Lupus Anticoagulant (LA) detection. Particular emphasis was given to several aspects discussed in this official communication. A new paragraph is dedicated to the patient selection, and aims to minimize inappropriate requests for LA testing. Modalities for blood collection and processing are fully delineated and the choice of tests is limited to dRVVT and a sensitive aPTT. Calculation of cut-off values for each diagnostic step are clearly stated. A final paragraph reports the interpretation of the results in general and in particular situations.", "author" : [ { "dropping-particle" : "", "family" : "PENGO", "given" : "V.", "non-dropping-particle" : "", "parse-names" : false, "suffix" : "" }, { "dropping-particle" : "", "family" : "TRIPODI", "given" : "A.", "non-dropping-particle" : "", "parse-names" : false, "suffix" : "" }, { "dropping-particle" : "", "family" : "REBER", "given" : "G.", "non-dropping-particle" : "", "parse-names" : false, "suffix" : "" }, { "dropping-particle" : "", "family" : "RAND", "given" : "J. H.", "non-dropping-particle" : "", "parse-names" : false, "suffix" : "" }, { "dropping-particle" : "", "family" : "ORTEL", "given" : "T. L.", "non-dropping-particle" : "", "parse-names" : false, "suffix" : "" }, { "dropping-particle" : "", "family" : "GALLI", "given" : "M.", "non-dropping-particle" : "", "parse-names" : false, "suffix" : "" }, { "dropping-particle" : "", "family" : "GROOT", "given" : "P. G.", "non-dropping-particle" : "DE", "parse-names" : false, "suffix" : "" }, { "dropping-particle" : "", "family" : "Subcommittee on Lupus Anticoagulant/Antiphospholipid Antibody of the Scientific and Standardisation Committee of the International Society on Thrombosis and Haemostasis", "given" : "", "non-dropping-particle" : "", "parse-names" : false, "suffix" : "" } ], "container-title" : "Journal of Thrombosis and Haemostasis", "id" : "ITEM-2", "issue" : "10", "issued" : { "date-parts" : [ [ "2009", "10" ] ] }, "page" : "1737-1740", "title" : "Update of the guidelines for lupus anticoagulant detection", "type" : "article-journal", "volume" : "7" }, "uris" : [ "http://www.mendeley.com/documents/?uuid=2eb36cca-8082-3b9c-88fe-e6601becb103", "http://www.mendeley.com/documents/?uuid=e862211e-3976-489d-b860-7b5c323e672a" ] } ], "mendeley" : { "formattedCitation" : "[1,2]", "plainTextFormattedCitation" : "[1,2]", "previouslyFormattedCitation" : "[1,2]" }, "properties" : {  }, "schema" : "https://github.com/citation-style-language/schema/raw/master/csl-citation.json" }</w:instrText>
      </w:r>
      <w:r>
        <w:rPr>
          <w:rFonts w:ascii="Cambria" w:hAnsi="Cambria"/>
          <w:sz w:val="28"/>
          <w:szCs w:val="28"/>
          <w:lang w:val="en-US"/>
        </w:rPr>
        <w:fldChar w:fldCharType="separate"/>
      </w:r>
      <w:r w:rsidRPr="00314147">
        <w:rPr>
          <w:rFonts w:ascii="Cambria" w:hAnsi="Cambria"/>
          <w:noProof/>
          <w:sz w:val="28"/>
          <w:szCs w:val="28"/>
          <w:lang w:val="en-US"/>
        </w:rPr>
        <w:t>[1,2]</w:t>
      </w:r>
      <w:r>
        <w:rPr>
          <w:rFonts w:ascii="Cambria" w:hAnsi="Cambria"/>
          <w:sz w:val="28"/>
          <w:szCs w:val="28"/>
          <w:lang w:val="en-US"/>
        </w:rPr>
        <w:fldChar w:fldCharType="end"/>
      </w:r>
      <w:r>
        <w:rPr>
          <w:rFonts w:ascii="Cambria" w:hAnsi="Cambria"/>
          <w:sz w:val="28"/>
          <w:szCs w:val="28"/>
          <w:lang w:val="en-US"/>
        </w:rPr>
        <w:t xml:space="preserve">. </w:t>
      </w:r>
    </w:p>
    <w:p w:rsidR="00314147" w:rsidRDefault="00314147" w:rsidP="00314147">
      <w:pPr>
        <w:pStyle w:val="Stilepredefinito"/>
        <w:spacing w:line="480" w:lineRule="auto"/>
        <w:jc w:val="both"/>
        <w:rPr>
          <w:rFonts w:ascii="Cambria" w:hAnsi="Cambria"/>
          <w:sz w:val="28"/>
          <w:szCs w:val="28"/>
          <w:lang w:val="en-US"/>
        </w:rPr>
      </w:pPr>
    </w:p>
    <w:p w:rsidR="00314147" w:rsidRDefault="00314147">
      <w:pPr>
        <w:rPr>
          <w:rFonts w:ascii="Cambria" w:eastAsia="SimSun" w:hAnsi="Cambria"/>
          <w:b/>
          <w:sz w:val="28"/>
          <w:szCs w:val="28"/>
          <w:lang w:val="en-US" w:eastAsia="it-IT"/>
        </w:rPr>
      </w:pPr>
      <w:r>
        <w:rPr>
          <w:rFonts w:ascii="Cambria" w:hAnsi="Cambria"/>
          <w:b/>
          <w:sz w:val="28"/>
          <w:szCs w:val="28"/>
          <w:lang w:val="en-US"/>
        </w:rPr>
        <w:br w:type="page"/>
      </w:r>
    </w:p>
    <w:p w:rsidR="00314147" w:rsidRDefault="00314147" w:rsidP="00314147">
      <w:pPr>
        <w:pStyle w:val="Stilepredefinito"/>
        <w:spacing w:line="480" w:lineRule="auto"/>
        <w:jc w:val="both"/>
        <w:rPr>
          <w:rFonts w:ascii="Cambria" w:hAnsi="Cambria"/>
          <w:b/>
          <w:sz w:val="28"/>
          <w:szCs w:val="28"/>
          <w:lang w:val="en-US"/>
        </w:rPr>
      </w:pPr>
      <w:r w:rsidRPr="00314147">
        <w:rPr>
          <w:rFonts w:ascii="Cambria" w:hAnsi="Cambria"/>
          <w:b/>
          <w:sz w:val="28"/>
          <w:szCs w:val="28"/>
          <w:lang w:val="en-US"/>
        </w:rPr>
        <w:t xml:space="preserve">References </w:t>
      </w:r>
    </w:p>
    <w:p w:rsidR="00314147" w:rsidRPr="00314147" w:rsidRDefault="00314147" w:rsidP="00314147">
      <w:pPr>
        <w:widowControl w:val="0"/>
        <w:autoSpaceDE w:val="0"/>
        <w:autoSpaceDN w:val="0"/>
        <w:adjustRightInd w:val="0"/>
        <w:spacing w:after="200" w:line="480" w:lineRule="auto"/>
        <w:ind w:left="640" w:hanging="640"/>
        <w:rPr>
          <w:rFonts w:ascii="Cambria" w:hAnsi="Cambria" w:cs="Times New Roman"/>
          <w:noProof/>
          <w:sz w:val="28"/>
        </w:rPr>
      </w:pPr>
      <w:r>
        <w:rPr>
          <w:rFonts w:ascii="Cambria" w:hAnsi="Cambria"/>
          <w:b/>
          <w:sz w:val="28"/>
          <w:szCs w:val="28"/>
          <w:lang w:val="en-US"/>
        </w:rPr>
        <w:fldChar w:fldCharType="begin" w:fldLock="1"/>
      </w:r>
      <w:r>
        <w:rPr>
          <w:rFonts w:ascii="Cambria" w:hAnsi="Cambria"/>
          <w:b/>
          <w:sz w:val="28"/>
          <w:szCs w:val="28"/>
          <w:lang w:val="en-US"/>
        </w:rPr>
        <w:instrText xml:space="preserve">ADDIN Mendeley Bibliography CSL_BIBLIOGRAPHY </w:instrText>
      </w:r>
      <w:r>
        <w:rPr>
          <w:rFonts w:ascii="Cambria" w:hAnsi="Cambria"/>
          <w:b/>
          <w:sz w:val="28"/>
          <w:szCs w:val="28"/>
          <w:lang w:val="en-US"/>
        </w:rPr>
        <w:fldChar w:fldCharType="separate"/>
      </w:r>
      <w:r w:rsidRPr="00314147">
        <w:rPr>
          <w:rFonts w:ascii="Cambria" w:hAnsi="Cambria" w:cs="Times New Roman"/>
          <w:noProof/>
          <w:sz w:val="28"/>
        </w:rPr>
        <w:t xml:space="preserve">1 </w:t>
      </w:r>
      <w:r w:rsidRPr="00314147">
        <w:rPr>
          <w:rFonts w:ascii="Cambria" w:hAnsi="Cambria" w:cs="Times New Roman"/>
          <w:noProof/>
          <w:sz w:val="28"/>
        </w:rPr>
        <w:tab/>
        <w:t xml:space="preserve">Brandt JT, Triplett DA, Alving B, </w:t>
      </w:r>
      <w:r w:rsidRPr="00314147">
        <w:rPr>
          <w:rFonts w:ascii="Cambria" w:hAnsi="Cambria" w:cs="Times New Roman"/>
          <w:i/>
          <w:iCs/>
          <w:noProof/>
          <w:sz w:val="28"/>
        </w:rPr>
        <w:t>et al.</w:t>
      </w:r>
      <w:r w:rsidRPr="00314147">
        <w:rPr>
          <w:rFonts w:ascii="Cambria" w:hAnsi="Cambria" w:cs="Times New Roman"/>
          <w:noProof/>
          <w:sz w:val="28"/>
        </w:rPr>
        <w:t xml:space="preserve"> Criteria for the diagnosis of lupus anticoagulants: an update. On behalf of the Subcommittee on Lupus Anticoagulant/Antiphospholipid Antibody of the Scientific and Standardisation Committee of the ISTH. </w:t>
      </w:r>
      <w:r w:rsidRPr="00314147">
        <w:rPr>
          <w:rFonts w:ascii="Cambria" w:hAnsi="Cambria" w:cs="Times New Roman"/>
          <w:i/>
          <w:iCs/>
          <w:noProof/>
          <w:sz w:val="28"/>
        </w:rPr>
        <w:t>Thromb Haemost</w:t>
      </w:r>
      <w:r w:rsidRPr="00314147">
        <w:rPr>
          <w:rFonts w:ascii="Cambria" w:hAnsi="Cambria" w:cs="Times New Roman"/>
          <w:noProof/>
          <w:sz w:val="28"/>
        </w:rPr>
        <w:t xml:space="preserve"> 1995;</w:t>
      </w:r>
      <w:r w:rsidRPr="00314147">
        <w:rPr>
          <w:rFonts w:ascii="Cambria" w:hAnsi="Cambria" w:cs="Times New Roman"/>
          <w:b/>
          <w:bCs/>
          <w:noProof/>
          <w:sz w:val="28"/>
        </w:rPr>
        <w:t>74</w:t>
      </w:r>
      <w:r w:rsidRPr="00314147">
        <w:rPr>
          <w:rFonts w:ascii="Cambria" w:hAnsi="Cambria" w:cs="Times New Roman"/>
          <w:noProof/>
          <w:sz w:val="28"/>
        </w:rPr>
        <w:t>:1185–90.http://www.ncbi.nlm.nih.gov/pubmed/8560433 (accessed 22 Dec 2016).</w:t>
      </w:r>
    </w:p>
    <w:p w:rsidR="00314147" w:rsidRPr="00314147" w:rsidRDefault="00314147" w:rsidP="00314147">
      <w:pPr>
        <w:widowControl w:val="0"/>
        <w:autoSpaceDE w:val="0"/>
        <w:autoSpaceDN w:val="0"/>
        <w:adjustRightInd w:val="0"/>
        <w:spacing w:after="200" w:line="480" w:lineRule="auto"/>
        <w:ind w:left="640" w:hanging="640"/>
        <w:rPr>
          <w:rFonts w:ascii="Cambria" w:hAnsi="Cambria"/>
          <w:noProof/>
          <w:sz w:val="28"/>
        </w:rPr>
      </w:pPr>
      <w:r w:rsidRPr="00314147">
        <w:rPr>
          <w:rFonts w:ascii="Cambria" w:hAnsi="Cambria" w:cs="Times New Roman"/>
          <w:noProof/>
          <w:sz w:val="28"/>
        </w:rPr>
        <w:t xml:space="preserve">2 </w:t>
      </w:r>
      <w:r w:rsidRPr="00314147">
        <w:rPr>
          <w:rFonts w:ascii="Cambria" w:hAnsi="Cambria" w:cs="Times New Roman"/>
          <w:noProof/>
          <w:sz w:val="28"/>
        </w:rPr>
        <w:tab/>
        <w:t xml:space="preserve">PENGO V, TRIPODI A, REBER G, </w:t>
      </w:r>
      <w:r w:rsidRPr="00314147">
        <w:rPr>
          <w:rFonts w:ascii="Cambria" w:hAnsi="Cambria" w:cs="Times New Roman"/>
          <w:i/>
          <w:iCs/>
          <w:noProof/>
          <w:sz w:val="28"/>
        </w:rPr>
        <w:t>et al.</w:t>
      </w:r>
      <w:r w:rsidRPr="00314147">
        <w:rPr>
          <w:rFonts w:ascii="Cambria" w:hAnsi="Cambria" w:cs="Times New Roman"/>
          <w:noProof/>
          <w:sz w:val="28"/>
        </w:rPr>
        <w:t xml:space="preserve"> Update of the guidelines for lupus anticoagulant detection. </w:t>
      </w:r>
      <w:r w:rsidRPr="00314147">
        <w:rPr>
          <w:rFonts w:ascii="Cambria" w:hAnsi="Cambria" w:cs="Times New Roman"/>
          <w:i/>
          <w:iCs/>
          <w:noProof/>
          <w:sz w:val="28"/>
        </w:rPr>
        <w:t>J Thromb Haemost</w:t>
      </w:r>
      <w:r w:rsidRPr="00314147">
        <w:rPr>
          <w:rFonts w:ascii="Cambria" w:hAnsi="Cambria" w:cs="Times New Roman"/>
          <w:noProof/>
          <w:sz w:val="28"/>
        </w:rPr>
        <w:t xml:space="preserve"> 2009;</w:t>
      </w:r>
      <w:r w:rsidRPr="00314147">
        <w:rPr>
          <w:rFonts w:ascii="Cambria" w:hAnsi="Cambria" w:cs="Times New Roman"/>
          <w:b/>
          <w:bCs/>
          <w:noProof/>
          <w:sz w:val="28"/>
        </w:rPr>
        <w:t>7</w:t>
      </w:r>
      <w:r w:rsidRPr="00314147">
        <w:rPr>
          <w:rFonts w:ascii="Cambria" w:hAnsi="Cambria" w:cs="Times New Roman"/>
          <w:noProof/>
          <w:sz w:val="28"/>
        </w:rPr>
        <w:t xml:space="preserve">:1737–40. </w:t>
      </w:r>
      <w:r w:rsidRPr="00314147">
        <w:rPr>
          <w:rFonts w:ascii="Cambria" w:hAnsi="Cambria" w:cs="Times New Roman"/>
          <w:noProof/>
          <w:sz w:val="28"/>
        </w:rPr>
        <w:lastRenderedPageBreak/>
        <w:t>doi:10.1111/j.1538-7836.2009.03555.x</w:t>
      </w:r>
    </w:p>
    <w:p w:rsidR="00314147" w:rsidRPr="00314147" w:rsidRDefault="00314147" w:rsidP="00314147">
      <w:pPr>
        <w:widowControl w:val="0"/>
        <w:autoSpaceDE w:val="0"/>
        <w:autoSpaceDN w:val="0"/>
        <w:adjustRightInd w:val="0"/>
        <w:spacing w:after="200" w:line="480" w:lineRule="auto"/>
        <w:ind w:left="640" w:hanging="640"/>
        <w:rPr>
          <w:rFonts w:ascii="Cambria" w:hAnsi="Cambria"/>
          <w:b/>
          <w:sz w:val="28"/>
          <w:szCs w:val="28"/>
          <w:lang w:val="en-US"/>
        </w:rPr>
      </w:pPr>
      <w:r>
        <w:rPr>
          <w:rFonts w:ascii="Cambria" w:hAnsi="Cambria"/>
          <w:b/>
          <w:sz w:val="28"/>
          <w:szCs w:val="28"/>
          <w:lang w:val="en-US"/>
        </w:rPr>
        <w:fldChar w:fldCharType="end"/>
      </w:r>
      <w:bookmarkEnd w:id="0"/>
    </w:p>
    <w:p w:rsidR="00314147" w:rsidRPr="00314147" w:rsidRDefault="00314147">
      <w:pPr>
        <w:rPr>
          <w:u w:val="single"/>
        </w:rPr>
      </w:pPr>
    </w:p>
    <w:sectPr w:rsidR="00314147" w:rsidRPr="00314147" w:rsidSect="00E4611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04"/>
    <w:rsid w:val="00172C3B"/>
    <w:rsid w:val="00314147"/>
    <w:rsid w:val="004C666A"/>
    <w:rsid w:val="009908E9"/>
    <w:rsid w:val="00AB2804"/>
    <w:rsid w:val="00E4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8EBC"/>
  <w14:defaultImageDpi w14:val="32767"/>
  <w15:chartTrackingRefBased/>
  <w15:docId w15:val="{13063503-3941-3F44-A869-D1B2022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uiPriority w:val="99"/>
    <w:rsid w:val="00314147"/>
    <w:pPr>
      <w:suppressAutoHyphens/>
      <w:spacing w:after="200" w:line="276" w:lineRule="auto"/>
    </w:pPr>
    <w:rPr>
      <w:rFonts w:ascii="Calibri" w:eastAsia="SimSun" w:hAnsi="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F792-A9C1-A342-A4D7-C165F8B2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Radin</dc:creator>
  <cp:keywords/>
  <dc:description/>
  <cp:lastModifiedBy>Massimo Radin</cp:lastModifiedBy>
  <cp:revision>4</cp:revision>
  <dcterms:created xsi:type="dcterms:W3CDTF">2018-04-18T09:36:00Z</dcterms:created>
  <dcterms:modified xsi:type="dcterms:W3CDTF">2018-04-18T10:02:00Z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http://www.zotero.org/styles/annals-of-the-rheumatic-diseases</vt:lpwstr>
  </property>
  <property fmtid="{D5CDD505-2E9C-101B-9397-08002B2CF9AE}" pid="11" name="Mendeley Recent Style Name 4_1">
    <vt:lpwstr>Annals of the Rheumatic Diseases</vt:lpwstr>
  </property>
  <property fmtid="{D5CDD505-2E9C-101B-9397-08002B2CF9AE}" pid="12" name="Mendeley Recent Style Id 5_1">
    <vt:lpwstr>http://www.zotero.org/styles/bmj</vt:lpwstr>
  </property>
  <property fmtid="{D5CDD505-2E9C-101B-9397-08002B2CF9AE}" pid="13" name="Mendeley Recent Style Name 5_1">
    <vt:lpwstr>BMJ</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http://www.zotero.org/styles/rheumatology</vt:lpwstr>
  </property>
  <property fmtid="{D5CDD505-2E9C-101B-9397-08002B2CF9AE}" pid="21" name="Mendeley Recent Style Name 9_1">
    <vt:lpwstr>Rheumatology</vt:lpwstr>
  </property>
  <property fmtid="{D5CDD505-2E9C-101B-9397-08002B2CF9AE}" pid="22" name="Mendeley Document_1">
    <vt:lpwstr>True</vt:lpwstr>
  </property>
  <property fmtid="{D5CDD505-2E9C-101B-9397-08002B2CF9AE}" pid="23" name="Mendeley Unique User Id_1">
    <vt:lpwstr>1531f684-9575-39a3-8c31-16e89460ff2b</vt:lpwstr>
  </property>
  <property fmtid="{D5CDD505-2E9C-101B-9397-08002B2CF9AE}" pid="24" name="Mendeley Citation Style_1">
    <vt:lpwstr>http://www.zotero.org/styles/annals-of-the-rheumatic-diseases</vt:lpwstr>
  </property>
</Properties>
</file>