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3C" w:rsidRDefault="00144C8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 Tables</w:t>
      </w:r>
    </w:p>
    <w:p w:rsidR="00AA133C" w:rsidRPr="00EA6761" w:rsidRDefault="008011C5">
      <w:pPr>
        <w:tabs>
          <w:tab w:val="left" w:pos="1077"/>
        </w:tabs>
        <w:spacing w:after="0" w:line="240" w:lineRule="auto"/>
        <w:ind w:right="317"/>
        <w:rPr>
          <w:rFonts w:ascii="Arial" w:hAnsi="Arial" w:cs="Arial"/>
          <w:b/>
          <w:sz w:val="20"/>
          <w:szCs w:val="20"/>
          <w:lang w:val="en-US"/>
        </w:rPr>
      </w:pPr>
      <w:r w:rsidRPr="00EA6761">
        <w:rPr>
          <w:rFonts w:ascii="Arial" w:hAnsi="Arial" w:cs="Arial"/>
          <w:b/>
          <w:sz w:val="20"/>
          <w:szCs w:val="20"/>
          <w:lang w:val="en-US"/>
        </w:rPr>
        <w:t>Table S</w:t>
      </w:r>
      <w:r w:rsidR="00F562A8" w:rsidRPr="00EA6761">
        <w:rPr>
          <w:rFonts w:ascii="Arial" w:hAnsi="Arial" w:cs="Arial"/>
          <w:b/>
          <w:sz w:val="20"/>
          <w:szCs w:val="20"/>
          <w:lang w:val="en-US"/>
        </w:rPr>
        <w:t>1</w:t>
      </w:r>
      <w:r w:rsidRPr="00EA6761">
        <w:rPr>
          <w:rFonts w:ascii="Arial" w:hAnsi="Arial" w:cs="Arial"/>
          <w:b/>
          <w:sz w:val="20"/>
          <w:szCs w:val="20"/>
          <w:lang w:val="en-US"/>
        </w:rPr>
        <w:t xml:space="preserve">.  </w:t>
      </w:r>
      <w:r w:rsidR="0044726D" w:rsidRPr="00EA6761">
        <w:rPr>
          <w:rFonts w:ascii="Arial" w:hAnsi="Arial" w:cs="Arial"/>
          <w:b/>
          <w:sz w:val="20"/>
          <w:szCs w:val="20"/>
          <w:lang w:val="en-US"/>
        </w:rPr>
        <w:t>Summary of the immunosuppressant, antimalarial and corticosteroid use during the study</w:t>
      </w:r>
    </w:p>
    <w:p w:rsidR="00AA133C" w:rsidRPr="00EA6761" w:rsidRDefault="00AA133C">
      <w:pPr>
        <w:tabs>
          <w:tab w:val="left" w:pos="1077"/>
        </w:tabs>
        <w:spacing w:after="0" w:line="240" w:lineRule="auto"/>
        <w:ind w:left="-426" w:right="317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Sombreadoclaro"/>
        <w:tblW w:w="16384" w:type="dxa"/>
        <w:tblInd w:w="-176" w:type="dxa"/>
        <w:tblLook w:val="04A0"/>
      </w:tblPr>
      <w:tblGrid>
        <w:gridCol w:w="3970"/>
        <w:gridCol w:w="3498"/>
        <w:gridCol w:w="3305"/>
        <w:gridCol w:w="2670"/>
        <w:gridCol w:w="2941"/>
      </w:tblGrid>
      <w:tr w:rsidR="00B25D05" w:rsidRPr="00EA6761" w:rsidTr="0044726D">
        <w:trPr>
          <w:cnfStyle w:val="100000000000"/>
          <w:trHeight w:val="1050"/>
        </w:trPr>
        <w:tc>
          <w:tcPr>
            <w:cnfStyle w:val="001000000000"/>
            <w:tcW w:w="3970" w:type="dxa"/>
          </w:tcPr>
          <w:p w:rsidR="00AA133C" w:rsidRPr="00EA6761" w:rsidRDefault="00AA133C">
            <w:pPr>
              <w:tabs>
                <w:tab w:val="left" w:pos="1077"/>
              </w:tabs>
              <w:ind w:right="317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98" w:type="dxa"/>
          </w:tcPr>
          <w:p w:rsidR="00B25D05" w:rsidRPr="00EA6761" w:rsidRDefault="00B25D05" w:rsidP="00E6674B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3 months</w:t>
            </w:r>
          </w:p>
          <w:p w:rsidR="00B25D05" w:rsidRPr="00EA6761" w:rsidRDefault="00B25D05" w:rsidP="00E6674B">
            <w:pPr>
              <w:ind w:left="-56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AZA              EC-MPS</w:t>
            </w:r>
          </w:p>
          <w:p w:rsidR="00B25D05" w:rsidRPr="00EA6761" w:rsidRDefault="00B25D05" w:rsidP="00E6674B">
            <w:pPr>
              <w:ind w:left="-56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305" w:type="dxa"/>
          </w:tcPr>
          <w:p w:rsidR="00B25D05" w:rsidRPr="00EA6761" w:rsidRDefault="00B25D05" w:rsidP="00E6674B">
            <w:pPr>
              <w:ind w:left="-197" w:right="318" w:firstLine="197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6 months</w:t>
            </w:r>
          </w:p>
          <w:p w:rsidR="00B25D05" w:rsidRPr="00EA6761" w:rsidRDefault="00B25D05" w:rsidP="00E6674B">
            <w:pPr>
              <w:ind w:left="-197" w:right="318" w:firstLine="197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33" w:right="318" w:hanging="33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AZA                 EC-MPS</w:t>
            </w:r>
          </w:p>
          <w:p w:rsidR="00B25D05" w:rsidRPr="00EA6761" w:rsidRDefault="00B25D05" w:rsidP="00E6674B">
            <w:pPr>
              <w:ind w:left="-197" w:right="318" w:firstLine="197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2670" w:type="dxa"/>
          </w:tcPr>
          <w:p w:rsidR="00B25D05" w:rsidRPr="00EA6761" w:rsidRDefault="00B25D05" w:rsidP="00E6674B">
            <w:pPr>
              <w:ind w:left="-25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12 months</w:t>
            </w:r>
          </w:p>
          <w:p w:rsidR="00B25D05" w:rsidRPr="00EA6761" w:rsidRDefault="00B25D05" w:rsidP="00E6674B">
            <w:pPr>
              <w:ind w:left="-25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25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AZA              EC-MPS</w:t>
            </w:r>
          </w:p>
          <w:p w:rsidR="00B25D05" w:rsidRPr="00EA6761" w:rsidRDefault="00B25D05" w:rsidP="00E6674B">
            <w:pPr>
              <w:ind w:left="-250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941" w:type="dxa"/>
          </w:tcPr>
          <w:p w:rsidR="00B25D05" w:rsidRPr="00EA6761" w:rsidRDefault="00B25D05" w:rsidP="00E6674B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24 months</w:t>
            </w:r>
          </w:p>
          <w:p w:rsidR="00B25D05" w:rsidRPr="00EA6761" w:rsidRDefault="00B25D05" w:rsidP="00E6674B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tabs>
                <w:tab w:val="left" w:pos="-443"/>
                <w:tab w:val="left" w:pos="0"/>
                <w:tab w:val="left" w:pos="34"/>
              </w:tabs>
              <w:ind w:left="-250" w:hanging="193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AZA              EC-MPS</w:t>
            </w:r>
          </w:p>
          <w:p w:rsidR="00B25D05" w:rsidRPr="00EA6761" w:rsidRDefault="00B25D05" w:rsidP="00E6674B">
            <w:pPr>
              <w:ind w:left="-625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(                 </w:t>
            </w:r>
          </w:p>
        </w:tc>
      </w:tr>
      <w:tr w:rsidR="00B25D05" w:rsidRPr="00EA6761" w:rsidTr="00415BBA">
        <w:trPr>
          <w:cnfStyle w:val="000000100000"/>
          <w:trHeight w:val="4302"/>
        </w:trPr>
        <w:tc>
          <w:tcPr>
            <w:cnfStyle w:val="001000000000"/>
            <w:tcW w:w="3970" w:type="dxa"/>
            <w:shd w:val="clear" w:color="auto" w:fill="auto"/>
          </w:tcPr>
          <w:p w:rsidR="00B25D05" w:rsidRPr="00EA6761" w:rsidRDefault="00B25D05" w:rsidP="00E6674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Prednisone dose, mean (SD), mg/day </w:t>
            </w:r>
          </w:p>
          <w:p w:rsidR="00B25D05" w:rsidRPr="00EA6761" w:rsidRDefault="00B25D05" w:rsidP="00E66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Prednisone reduced by ≥50%, n (%)</w:t>
            </w:r>
            <w:r w:rsidR="00AB4BE1" w:rsidRPr="00EA676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Prednisone dose reduced from baseline</w:t>
            </w: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to ≤ 7.5 mg/day, n (%)</w:t>
            </w:r>
            <w:r w:rsidR="00AB4BE1" w:rsidRPr="00EA676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Prednisone dose increased </w:t>
            </w: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to &gt;7.5 mg/day, n (%)</w:t>
            </w:r>
            <w:r w:rsidR="00AB4BE1" w:rsidRPr="00EA676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Azathioprine dose, mean (SD), mg/day</w:t>
            </w: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EC-MPS dose, mean (SD), g/day</w:t>
            </w: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Antimalarial use, n (%)</w:t>
            </w:r>
          </w:p>
        </w:tc>
        <w:tc>
          <w:tcPr>
            <w:tcW w:w="3498" w:type="dxa"/>
            <w:shd w:val="clear" w:color="auto" w:fill="auto"/>
          </w:tcPr>
          <w:p w:rsidR="00B25D05" w:rsidRPr="00EA6761" w:rsidRDefault="00B25D05" w:rsidP="00E6674B">
            <w:pPr>
              <w:ind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46A9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44726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</w:p>
          <w:p w:rsidR="00B25D05" w:rsidRPr="00EA6761" w:rsidRDefault="00E246A9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44726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9 (8)                        7 (5)</w:t>
            </w:r>
            <w:r w:rsidR="00BE3BD7" w:rsidRPr="00EA676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4726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2501DC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44726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 w:rsidR="002501DC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(67)        </w:t>
            </w:r>
            <w:r w:rsidR="002501DC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46A9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87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 w:rsidR="002501DC"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25D05" w:rsidRPr="00EA6761" w:rsidRDefault="00B25D05" w:rsidP="00E6674B">
            <w:pPr>
              <w:ind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4726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85264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744E3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60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</w:t>
            </w:r>
            <w:r w:rsidR="0085264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44E3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76 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4726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E246A9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25E8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16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(13)          </w:t>
            </w:r>
            <w:r w:rsidR="00E246A9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2A25E8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5 (4)</w:t>
            </w:r>
            <w:r w:rsidR="00F26B20" w:rsidRPr="00EA676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4726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126 (23)                    </w:t>
            </w: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</w:t>
            </w:r>
            <w:r w:rsidR="000D7A5B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1.3 (0.27)</w:t>
            </w:r>
          </w:p>
          <w:p w:rsidR="00B25D05" w:rsidRPr="00EA6761" w:rsidRDefault="00B25D05" w:rsidP="00E6674B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0D7A5B" w:rsidP="0020449D">
            <w:pPr>
              <w:ind w:left="-55"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5D709B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A5240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(8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5D709B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93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305" w:type="dxa"/>
            <w:shd w:val="clear" w:color="auto" w:fill="auto"/>
          </w:tcPr>
          <w:p w:rsidR="00B25D05" w:rsidRPr="00EA6761" w:rsidRDefault="00B25D05" w:rsidP="00E6674B">
            <w:pPr>
              <w:ind w:left="-197" w:right="318" w:firstLine="197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46A9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  <w:p w:rsidR="00B25D05" w:rsidRPr="00EA6761" w:rsidRDefault="00E246A9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8 (11)        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7 (8) </w:t>
            </w: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2501DC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89 (78)  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46A9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89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:rsidR="00B25D05" w:rsidRPr="00EA6761" w:rsidRDefault="00B25D05" w:rsidP="00E6674B">
            <w:pPr>
              <w:ind w:right="31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3904A0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79 (7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E246A9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81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(19)          </w:t>
            </w:r>
            <w:r w:rsidR="00E246A9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14 (12) </w:t>
            </w: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D6649F" w:rsidRPr="00EA676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(2</w:t>
            </w:r>
            <w:r w:rsidR="00D6649F" w:rsidRPr="00EA676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</w:t>
            </w: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1.3 (0.2</w:t>
            </w:r>
            <w:r w:rsidR="00EB6DD9" w:rsidRPr="00EA676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25D05" w:rsidRPr="00EA6761" w:rsidRDefault="00B25D05" w:rsidP="00E6674B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784C67">
            <w:pPr>
              <w:ind w:left="-197" w:right="318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D709B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06276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105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</w:t>
            </w:r>
            <w:r w:rsidR="000D7A5B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93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70" w:type="dxa"/>
            <w:shd w:val="clear" w:color="auto" w:fill="auto"/>
          </w:tcPr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46A9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B25D05" w:rsidRPr="00EA6761" w:rsidRDefault="00E246A9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6 (8)         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5 (3)  </w:t>
            </w: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E246A9" w:rsidP="00E6674B">
            <w:pPr>
              <w:ind w:left="-83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501DC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89 (78)      </w:t>
            </w:r>
            <w:r w:rsidR="002501DC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100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F26B20" w:rsidRPr="00EA676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263A6E" w:rsidP="00E6674B">
            <w:pPr>
              <w:ind w:left="-10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744E3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82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90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</w:t>
            </w: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20449D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9 (8)                  16 (13)  </w:t>
            </w: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116 (24)                     </w:t>
            </w: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1.12 (0.35)</w:t>
            </w: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CB64BE" w:rsidP="00415BBA">
            <w:pPr>
              <w:ind w:left="-108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104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91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941" w:type="dxa"/>
            <w:shd w:val="clear" w:color="auto" w:fill="auto"/>
          </w:tcPr>
          <w:p w:rsidR="00B25D05" w:rsidRPr="00EA6761" w:rsidRDefault="00B25D05" w:rsidP="00E6674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46A9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</w:p>
          <w:p w:rsidR="00B25D05" w:rsidRPr="00EA6761" w:rsidRDefault="00E246A9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7 (9)                 4 (2)</w:t>
            </w:r>
            <w:r w:rsidR="00BE3BD7" w:rsidRPr="00EA676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:rsidR="00B25D05" w:rsidRPr="00EA6761" w:rsidRDefault="00B25D05" w:rsidP="00E6674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5D7068" w:rsidP="00E6674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89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</w:t>
            </w:r>
            <w:r w:rsidR="003347EA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104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F26B20" w:rsidRPr="00EA676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:rsidR="00B25D05" w:rsidRPr="00EA6761" w:rsidRDefault="005D7068" w:rsidP="00E6674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25D05" w:rsidRPr="00EA6761" w:rsidRDefault="005D7068" w:rsidP="00E6674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86 (</w:t>
            </w:r>
            <w:r w:rsidR="00784C67" w:rsidRPr="00EA6761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</w:t>
            </w:r>
            <w:r w:rsidR="00960E8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9</w:t>
            </w:r>
            <w:r w:rsidR="002F32F2" w:rsidRPr="00EA6761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960E8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(9</w:t>
            </w:r>
            <w:r w:rsidR="002F32F2" w:rsidRPr="00EA6761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B25D05" w:rsidRPr="00EA6761" w:rsidRDefault="00B25D05" w:rsidP="00E6674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16 (13)               3 (3)</w:t>
            </w:r>
            <w:r w:rsidR="00F26B20" w:rsidRPr="00EA676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100 (22)                                 </w:t>
            </w: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B25D05" w:rsidP="00E6674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</w:t>
            </w:r>
            <w:r w:rsidR="00E158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0.92 (0.47)</w:t>
            </w:r>
          </w:p>
          <w:p w:rsidR="00B25D05" w:rsidRPr="00EA6761" w:rsidRDefault="00B25D05" w:rsidP="00E6674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25D05" w:rsidRPr="00EA6761" w:rsidRDefault="005D7068" w:rsidP="00116FDB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D26D2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103 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)     </w:t>
            </w:r>
            <w:r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D26D2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  <w:r w:rsidR="00D26D2D" w:rsidRPr="00EA676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20449D" w:rsidRPr="00EA6761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116FDB" w:rsidRPr="00EA6761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B25D05" w:rsidRPr="00EA676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415BBA" w:rsidRDefault="00415BBA" w:rsidP="00EA6761">
      <w:pPr>
        <w:ind w:left="142" w:right="-306"/>
        <w:rPr>
          <w:rFonts w:ascii="Arial" w:hAnsi="Arial" w:cs="Arial"/>
          <w:sz w:val="20"/>
          <w:szCs w:val="20"/>
          <w:lang w:val="en-GB"/>
        </w:rPr>
      </w:pPr>
    </w:p>
    <w:p w:rsidR="00443A7F" w:rsidRPr="00EA6761" w:rsidRDefault="00AB4BE1" w:rsidP="00EA6761">
      <w:pPr>
        <w:ind w:left="142" w:right="-306"/>
        <w:rPr>
          <w:rFonts w:ascii="Arial" w:hAnsi="Arial" w:cs="Arial"/>
          <w:sz w:val="20"/>
          <w:szCs w:val="20"/>
          <w:lang w:val="en-GB"/>
        </w:rPr>
      </w:pPr>
      <w:r w:rsidRPr="00EA6761">
        <w:rPr>
          <w:rFonts w:ascii="Arial" w:hAnsi="Arial" w:cs="Arial"/>
          <w:sz w:val="20"/>
          <w:szCs w:val="20"/>
          <w:lang w:val="en-GB"/>
        </w:rPr>
        <w:t xml:space="preserve">*p &lt;0.05, </w:t>
      </w:r>
      <w:r w:rsidR="005D0684" w:rsidRPr="00EA6761">
        <w:rPr>
          <w:rFonts w:ascii="Arial" w:hAnsi="Arial" w:cs="Arial"/>
          <w:sz w:val="20"/>
          <w:szCs w:val="20"/>
          <w:lang w:val="en-GB"/>
        </w:rPr>
        <w:t>enteric-coated mycophenolate sodium (EC-MPS)</w:t>
      </w:r>
      <w:r w:rsidRPr="00EA6761">
        <w:rPr>
          <w:rFonts w:ascii="Arial" w:hAnsi="Arial" w:cs="Arial"/>
          <w:sz w:val="20"/>
          <w:szCs w:val="20"/>
          <w:lang w:val="en-GB"/>
        </w:rPr>
        <w:t xml:space="preserve"> group compared with </w:t>
      </w:r>
      <w:r w:rsidR="005D0684" w:rsidRPr="00EA6761">
        <w:rPr>
          <w:rFonts w:ascii="Arial" w:hAnsi="Arial" w:cs="Arial"/>
          <w:sz w:val="20"/>
          <w:szCs w:val="20"/>
          <w:lang w:val="en-GB"/>
        </w:rPr>
        <w:t>the azathioprine (AZA) group</w:t>
      </w:r>
      <w:r w:rsidR="00510161" w:rsidRPr="00EA6761">
        <w:rPr>
          <w:rFonts w:ascii="Arial" w:hAnsi="Arial" w:cs="Arial"/>
          <w:sz w:val="20"/>
          <w:szCs w:val="20"/>
          <w:lang w:val="en-GB"/>
        </w:rPr>
        <w:t xml:space="preserve"> by Mann-Whitney U test.</w:t>
      </w:r>
      <w:bookmarkStart w:id="0" w:name="_GoBack"/>
      <w:bookmarkEnd w:id="0"/>
    </w:p>
    <w:p w:rsidR="00C7214D" w:rsidRPr="00EA6761" w:rsidRDefault="00AB4BE1" w:rsidP="00DC6A59">
      <w:pPr>
        <w:ind w:left="284" w:right="-306" w:hanging="142"/>
        <w:rPr>
          <w:rFonts w:ascii="Arial" w:hAnsi="Arial" w:cs="Arial"/>
          <w:sz w:val="20"/>
          <w:szCs w:val="20"/>
          <w:lang w:val="en-GB"/>
        </w:rPr>
      </w:pPr>
      <w:proofErr w:type="gramStart"/>
      <w:r w:rsidRPr="00EA6761"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gramEnd"/>
      <w:r w:rsidR="00C7214D" w:rsidRPr="00EA6761">
        <w:rPr>
          <w:rFonts w:ascii="Arial" w:hAnsi="Arial" w:cs="Arial"/>
          <w:sz w:val="20"/>
          <w:szCs w:val="20"/>
          <w:lang w:val="en-GB"/>
        </w:rPr>
        <w:t xml:space="preserve"> Patients with average dose reduced by 50% compared to baseline</w:t>
      </w:r>
      <w:r w:rsidR="00A5779D" w:rsidRPr="00EA6761">
        <w:rPr>
          <w:rFonts w:ascii="Arial" w:hAnsi="Arial" w:cs="Arial"/>
          <w:sz w:val="20"/>
          <w:szCs w:val="20"/>
          <w:lang w:val="en-GB"/>
        </w:rPr>
        <w:t xml:space="preserve">. The analysis was on patients </w:t>
      </w:r>
      <w:r w:rsidR="00665006" w:rsidRPr="00EA6761">
        <w:rPr>
          <w:rFonts w:ascii="Arial" w:hAnsi="Arial" w:cs="Arial"/>
          <w:sz w:val="20"/>
          <w:szCs w:val="20"/>
          <w:lang w:val="en-GB"/>
        </w:rPr>
        <w:t xml:space="preserve">taking prednisone at </w:t>
      </w:r>
      <w:r w:rsidR="00FB5335">
        <w:rPr>
          <w:rFonts w:ascii="Arial" w:hAnsi="Arial" w:cs="Arial"/>
          <w:sz w:val="20"/>
          <w:szCs w:val="20"/>
          <w:lang w:val="en-GB"/>
        </w:rPr>
        <w:t>baseline</w:t>
      </w:r>
      <w:r w:rsidR="00A5779D" w:rsidRPr="00EA6761">
        <w:rPr>
          <w:rFonts w:ascii="Arial" w:hAnsi="Arial" w:cs="Arial"/>
          <w:sz w:val="20"/>
          <w:szCs w:val="20"/>
          <w:lang w:val="en-GB"/>
        </w:rPr>
        <w:t xml:space="preserve">. (Number of patients </w:t>
      </w:r>
      <w:r w:rsidR="00665006" w:rsidRPr="00EA6761">
        <w:rPr>
          <w:rFonts w:ascii="Arial" w:hAnsi="Arial" w:cs="Arial"/>
          <w:sz w:val="20"/>
          <w:szCs w:val="20"/>
          <w:lang w:val="en-GB"/>
        </w:rPr>
        <w:t>per treatment group: EC</w:t>
      </w:r>
      <w:r w:rsidR="005C4336" w:rsidRPr="00EA6761">
        <w:rPr>
          <w:rFonts w:ascii="Arial" w:hAnsi="Arial" w:cs="Arial"/>
          <w:sz w:val="20"/>
          <w:szCs w:val="20"/>
          <w:lang w:val="en-GB"/>
        </w:rPr>
        <w:t>-</w:t>
      </w:r>
      <w:r w:rsidR="00DC6A59">
        <w:rPr>
          <w:rFonts w:ascii="Arial" w:hAnsi="Arial" w:cs="Arial"/>
          <w:sz w:val="20"/>
          <w:szCs w:val="20"/>
          <w:lang w:val="en-GB"/>
        </w:rPr>
        <w:t xml:space="preserve"> </w:t>
      </w:r>
      <w:r w:rsidR="00665006" w:rsidRPr="00EA6761">
        <w:rPr>
          <w:rFonts w:ascii="Arial" w:hAnsi="Arial" w:cs="Arial"/>
          <w:sz w:val="20"/>
          <w:szCs w:val="20"/>
          <w:lang w:val="en-GB"/>
        </w:rPr>
        <w:t>MPS=116 and AZA=114)</w:t>
      </w:r>
      <w:r w:rsidR="0066659C">
        <w:rPr>
          <w:rFonts w:ascii="Arial" w:hAnsi="Arial" w:cs="Arial"/>
          <w:sz w:val="20"/>
          <w:szCs w:val="20"/>
          <w:lang w:val="en-GB"/>
        </w:rPr>
        <w:t>.</w:t>
      </w:r>
    </w:p>
    <w:p w:rsidR="00A5779D" w:rsidRPr="00EA6761" w:rsidRDefault="00AB4BE1" w:rsidP="00DC6A59">
      <w:pPr>
        <w:ind w:left="284" w:right="-306" w:hanging="142"/>
        <w:rPr>
          <w:rFonts w:ascii="Arial" w:hAnsi="Arial" w:cs="Arial"/>
          <w:sz w:val="20"/>
          <w:szCs w:val="20"/>
          <w:lang w:val="en-GB"/>
        </w:rPr>
      </w:pPr>
      <w:proofErr w:type="gramStart"/>
      <w:r w:rsidRPr="00EA6761"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proofErr w:type="gramEnd"/>
      <w:r w:rsidR="00A5779D" w:rsidRPr="00EA6761">
        <w:rPr>
          <w:rFonts w:ascii="Arial" w:hAnsi="Arial" w:cs="Arial"/>
          <w:sz w:val="20"/>
          <w:szCs w:val="20"/>
          <w:vertAlign w:val="superscript"/>
          <w:lang w:val="en-GB"/>
        </w:rPr>
        <w:t xml:space="preserve"> </w:t>
      </w:r>
      <w:r w:rsidR="00A5779D" w:rsidRPr="00EA6761">
        <w:rPr>
          <w:rFonts w:ascii="Arial" w:hAnsi="Arial" w:cs="Arial"/>
          <w:sz w:val="20"/>
          <w:szCs w:val="20"/>
          <w:lang w:val="en-GB"/>
        </w:rPr>
        <w:t>Patients with average dose reduced to ≤7.5</w:t>
      </w:r>
      <w:r w:rsidR="002501DC" w:rsidRPr="00EA6761">
        <w:rPr>
          <w:rFonts w:ascii="Arial" w:hAnsi="Arial" w:cs="Arial"/>
          <w:sz w:val="20"/>
          <w:szCs w:val="20"/>
          <w:lang w:val="en-GB"/>
        </w:rPr>
        <w:t xml:space="preserve"> from baseline during the study. The analysis was on patients with baseline prednisone dose &gt;7.5 mg/day. </w:t>
      </w:r>
      <w:r w:rsidR="00DC6A59">
        <w:rPr>
          <w:rFonts w:ascii="Arial" w:hAnsi="Arial" w:cs="Arial"/>
          <w:sz w:val="20"/>
          <w:szCs w:val="20"/>
          <w:lang w:val="en-GB"/>
        </w:rPr>
        <w:t xml:space="preserve">(Number of patients per </w:t>
      </w:r>
      <w:r w:rsidR="002501DC" w:rsidRPr="00EA6761">
        <w:rPr>
          <w:rFonts w:ascii="Arial" w:hAnsi="Arial" w:cs="Arial"/>
          <w:sz w:val="20"/>
          <w:szCs w:val="20"/>
          <w:lang w:val="en-GB"/>
        </w:rPr>
        <w:t xml:space="preserve">treatment group: </w:t>
      </w:r>
      <w:r w:rsidR="003744E3" w:rsidRPr="00EA6761">
        <w:rPr>
          <w:rFonts w:ascii="Arial" w:hAnsi="Arial" w:cs="Arial"/>
          <w:sz w:val="20"/>
          <w:szCs w:val="20"/>
          <w:lang w:val="en-GB"/>
        </w:rPr>
        <w:t>E</w:t>
      </w:r>
      <w:r w:rsidR="002501DC" w:rsidRPr="00EA6761">
        <w:rPr>
          <w:rFonts w:ascii="Arial" w:hAnsi="Arial" w:cs="Arial"/>
          <w:sz w:val="20"/>
          <w:szCs w:val="20"/>
          <w:lang w:val="en-GB"/>
        </w:rPr>
        <w:t>C-MPS= 98 and AZA= 103)</w:t>
      </w:r>
      <w:r w:rsidR="0066659C">
        <w:rPr>
          <w:rFonts w:ascii="Arial" w:hAnsi="Arial" w:cs="Arial"/>
          <w:sz w:val="20"/>
          <w:szCs w:val="20"/>
          <w:lang w:val="en-GB"/>
        </w:rPr>
        <w:t>.</w:t>
      </w:r>
    </w:p>
    <w:p w:rsidR="007E44C3" w:rsidRPr="008B28E0" w:rsidRDefault="00EA6761" w:rsidP="008B28E0">
      <w:pPr>
        <w:ind w:right="-306"/>
        <w:rPr>
          <w:rFonts w:ascii="Arial" w:hAnsi="Arial" w:cs="Arial"/>
          <w:sz w:val="20"/>
          <w:szCs w:val="20"/>
          <w:lang w:val="en-GB"/>
        </w:rPr>
      </w:pPr>
      <w:r w:rsidRPr="00EA6761">
        <w:rPr>
          <w:rFonts w:ascii="Arial" w:hAnsi="Arial" w:cs="Arial"/>
          <w:sz w:val="20"/>
          <w:szCs w:val="20"/>
          <w:vertAlign w:val="superscript"/>
          <w:lang w:val="en-GB"/>
        </w:rPr>
        <w:t xml:space="preserve">   </w:t>
      </w:r>
      <w:proofErr w:type="gramStart"/>
      <w:r w:rsidR="00AB4BE1" w:rsidRPr="00EA6761"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proofErr w:type="gramEnd"/>
      <w:r w:rsidR="000D7A5B" w:rsidRPr="00EA6761">
        <w:rPr>
          <w:rFonts w:ascii="Arial" w:hAnsi="Arial" w:cs="Arial"/>
          <w:sz w:val="20"/>
          <w:szCs w:val="20"/>
          <w:lang w:val="en-GB"/>
        </w:rPr>
        <w:t xml:space="preserve"> Patien</w:t>
      </w:r>
      <w:r w:rsidR="00A962F5" w:rsidRPr="00EA6761">
        <w:rPr>
          <w:rFonts w:ascii="Arial" w:hAnsi="Arial" w:cs="Arial"/>
          <w:sz w:val="20"/>
          <w:szCs w:val="20"/>
          <w:lang w:val="en-GB"/>
        </w:rPr>
        <w:t>ts with average prednisone dose increase</w:t>
      </w:r>
      <w:r w:rsidR="005D709B" w:rsidRPr="00EA6761">
        <w:rPr>
          <w:rFonts w:ascii="Arial" w:hAnsi="Arial" w:cs="Arial"/>
          <w:sz w:val="20"/>
          <w:szCs w:val="20"/>
          <w:lang w:val="en-GB"/>
        </w:rPr>
        <w:t>d</w:t>
      </w:r>
      <w:r w:rsidR="00A962F5" w:rsidRPr="00EA6761">
        <w:rPr>
          <w:rFonts w:ascii="Arial" w:hAnsi="Arial" w:cs="Arial"/>
          <w:sz w:val="20"/>
          <w:szCs w:val="20"/>
          <w:lang w:val="en-GB"/>
        </w:rPr>
        <w:t xml:space="preserve"> to &gt;7.5 mg/day </w:t>
      </w:r>
      <w:r w:rsidR="00192201" w:rsidRPr="00EA6761">
        <w:rPr>
          <w:rFonts w:ascii="Arial" w:hAnsi="Arial" w:cs="Arial"/>
          <w:sz w:val="20"/>
          <w:szCs w:val="20"/>
          <w:lang w:val="en-GB"/>
        </w:rPr>
        <w:t>compared to previous visit</w:t>
      </w:r>
      <w:r w:rsidR="0066659C">
        <w:rPr>
          <w:rFonts w:ascii="Arial" w:hAnsi="Arial" w:cs="Arial"/>
          <w:sz w:val="20"/>
          <w:szCs w:val="20"/>
          <w:lang w:val="en-GB"/>
        </w:rPr>
        <w:t>.</w:t>
      </w:r>
    </w:p>
    <w:p w:rsidR="003209D1" w:rsidRPr="002E1FEB" w:rsidRDefault="003209D1" w:rsidP="003209D1">
      <w:pPr>
        <w:rPr>
          <w:rFonts w:ascii="Arial" w:hAnsi="Arial" w:cs="Arial"/>
          <w:b/>
          <w:sz w:val="20"/>
          <w:szCs w:val="20"/>
          <w:lang w:val="en-US"/>
        </w:rPr>
      </w:pPr>
      <w:r w:rsidRPr="002E1FEB">
        <w:rPr>
          <w:rFonts w:ascii="Arial" w:hAnsi="Arial" w:cs="Arial"/>
          <w:b/>
          <w:sz w:val="20"/>
          <w:szCs w:val="20"/>
          <w:lang w:val="en-US"/>
        </w:rPr>
        <w:lastRenderedPageBreak/>
        <w:t>Table S2.  Clinical response outcomes</w:t>
      </w:r>
    </w:p>
    <w:tbl>
      <w:tblPr>
        <w:tblStyle w:val="Sombreadoclaro"/>
        <w:tblW w:w="5000" w:type="pct"/>
        <w:tblBorders>
          <w:insideH w:val="single" w:sz="8" w:space="0" w:color="000000" w:themeColor="text1"/>
        </w:tblBorders>
        <w:tblLook w:val="04A0"/>
      </w:tblPr>
      <w:tblGrid>
        <w:gridCol w:w="2045"/>
        <w:gridCol w:w="3456"/>
        <w:gridCol w:w="3358"/>
        <w:gridCol w:w="3544"/>
        <w:gridCol w:w="3405"/>
      </w:tblGrid>
      <w:tr w:rsidR="003209D1" w:rsidRPr="002E1FEB" w:rsidTr="003209D1">
        <w:trPr>
          <w:cnfStyle w:val="100000000000"/>
        </w:trPr>
        <w:tc>
          <w:tcPr>
            <w:cnfStyle w:val="001000000000"/>
            <w:tcW w:w="6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09D1" w:rsidRPr="002E1FEB" w:rsidRDefault="003209D1" w:rsidP="00F411AC">
            <w:pPr>
              <w:ind w:right="3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09D1" w:rsidRPr="002E1FEB" w:rsidRDefault="003209D1" w:rsidP="00F411AC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3 months</w:t>
            </w:r>
          </w:p>
          <w:p w:rsidR="003209D1" w:rsidRPr="002E1FEB" w:rsidRDefault="003209D1" w:rsidP="00F411AC">
            <w:pPr>
              <w:ind w:left="-56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AZA                    EC-MPS</w:t>
            </w:r>
          </w:p>
          <w:p w:rsidR="003209D1" w:rsidRPr="002E1FEB" w:rsidRDefault="003209D1" w:rsidP="00F411AC">
            <w:pPr>
              <w:ind w:left="-56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End"/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% (95% CI)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N   % (95% CI)</w:t>
            </w:r>
          </w:p>
        </w:tc>
        <w:tc>
          <w:tcPr>
            <w:tcW w:w="10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09D1" w:rsidRPr="002E1FEB" w:rsidRDefault="003209D1" w:rsidP="00F411AC">
            <w:pPr>
              <w:ind w:left="-197" w:firstLine="197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6 months</w:t>
            </w:r>
          </w:p>
          <w:p w:rsidR="003209D1" w:rsidRPr="002E1FEB" w:rsidRDefault="003209D1" w:rsidP="00F411AC">
            <w:pPr>
              <w:ind w:left="-197" w:firstLine="197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197" w:firstLine="197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AZA                 EC-MPS</w:t>
            </w:r>
          </w:p>
          <w:p w:rsidR="003209D1" w:rsidRPr="002E1FEB" w:rsidRDefault="003209D1" w:rsidP="00F411AC">
            <w:pPr>
              <w:ind w:left="-197" w:right="-681" w:firstLine="197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N   % (95% CI)    N   % (95% CI)</w:t>
            </w:r>
          </w:p>
        </w:tc>
        <w:tc>
          <w:tcPr>
            <w:tcW w:w="11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09D1" w:rsidRPr="002E1FEB" w:rsidRDefault="003209D1" w:rsidP="00F411AC">
            <w:pPr>
              <w:ind w:left="-25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12 months</w:t>
            </w:r>
          </w:p>
          <w:p w:rsidR="003209D1" w:rsidRPr="002E1FEB" w:rsidRDefault="003209D1" w:rsidP="00F411AC">
            <w:pPr>
              <w:ind w:left="-25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250"/>
              <w:jc w:val="center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AZA                EC-MPS</w:t>
            </w:r>
          </w:p>
          <w:p w:rsidR="003209D1" w:rsidRPr="002E1FEB" w:rsidRDefault="003209D1" w:rsidP="00F411AC">
            <w:pPr>
              <w:ind w:left="-250"/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N  % (95% CI)     N   % (95% CI)</w:t>
            </w:r>
          </w:p>
        </w:tc>
        <w:tc>
          <w:tcPr>
            <w:tcW w:w="10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09D1" w:rsidRPr="00F320B4" w:rsidRDefault="003209D1" w:rsidP="00F411AC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320B4">
              <w:rPr>
                <w:rFonts w:ascii="Arial" w:hAnsi="Arial" w:cs="Arial"/>
                <w:sz w:val="20"/>
                <w:szCs w:val="20"/>
              </w:rPr>
              <w:t xml:space="preserve">24 </w:t>
            </w:r>
            <w:proofErr w:type="spellStart"/>
            <w:r w:rsidRPr="00F320B4">
              <w:rPr>
                <w:rFonts w:ascii="Arial" w:hAnsi="Arial" w:cs="Arial"/>
                <w:sz w:val="20"/>
                <w:szCs w:val="20"/>
              </w:rPr>
              <w:t>months</w:t>
            </w:r>
            <w:r w:rsidRPr="00125DBB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3209D1" w:rsidRPr="00F320B4" w:rsidRDefault="003209D1" w:rsidP="00F411AC">
            <w:pPr>
              <w:ind w:left="-560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  <w:p w:rsidR="003209D1" w:rsidRPr="00F320B4" w:rsidRDefault="003209D1" w:rsidP="00F411AC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320B4">
              <w:rPr>
                <w:rFonts w:ascii="Arial" w:hAnsi="Arial" w:cs="Arial"/>
                <w:sz w:val="20"/>
                <w:szCs w:val="20"/>
              </w:rPr>
              <w:t>AZA             EC-MPS</w:t>
            </w:r>
          </w:p>
          <w:p w:rsidR="003209D1" w:rsidRPr="00F320B4" w:rsidRDefault="003209D1" w:rsidP="00F411AC">
            <w:pPr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F320B4">
              <w:rPr>
                <w:rFonts w:ascii="Arial" w:hAnsi="Arial" w:cs="Arial"/>
                <w:sz w:val="20"/>
                <w:szCs w:val="20"/>
              </w:rPr>
              <w:t xml:space="preserve">  N  % (95% CI)    N   % (95% CI)</w:t>
            </w:r>
          </w:p>
        </w:tc>
      </w:tr>
      <w:tr w:rsidR="003209D1" w:rsidRPr="002E1FEB" w:rsidTr="003209D1">
        <w:trPr>
          <w:cnfStyle w:val="000000100000"/>
        </w:trPr>
        <w:tc>
          <w:tcPr>
            <w:cnfStyle w:val="001000000000"/>
            <w:tcW w:w="6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09D1" w:rsidRPr="00F320B4" w:rsidRDefault="003209D1" w:rsidP="00F411A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9D1" w:rsidRPr="002E1FEB" w:rsidRDefault="003209D1" w:rsidP="00F411AC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Clinical Remission</w:t>
            </w:r>
          </w:p>
          <w:p w:rsidR="003209D1" w:rsidRPr="002E1FEB" w:rsidRDefault="003209D1" w:rsidP="00F411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Partial clinical Response  </w:t>
            </w:r>
          </w:p>
          <w:p w:rsidR="003209D1" w:rsidRPr="002E1FEB" w:rsidRDefault="003209D1" w:rsidP="00F411AC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right="-161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Treatment </w:t>
            </w:r>
            <w:proofErr w:type="spellStart"/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Failure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  <w:p w:rsidR="003209D1" w:rsidRPr="002E1FEB" w:rsidRDefault="003209D1" w:rsidP="00F411AC">
            <w:pPr>
              <w:ind w:right="-161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</w:p>
          <w:p w:rsidR="003209D1" w:rsidRPr="002E1FEB" w:rsidRDefault="003209D1" w:rsidP="00F411AC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SRI4 response</w:t>
            </w:r>
          </w:p>
          <w:p w:rsidR="003209D1" w:rsidRPr="002E1FEB" w:rsidRDefault="003209D1" w:rsidP="00F411AC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LLDAS response</w:t>
            </w:r>
          </w:p>
          <w:p w:rsidR="003209D1" w:rsidRPr="002E1FEB" w:rsidRDefault="003209D1" w:rsidP="00F411AC">
            <w:pPr>
              <w:ind w:right="-1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23   19  (12-26)        39  32 (24-41)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43   35  (27-45)        41  34 (26-43)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6     5   (1-9)                  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(0-2)</w:t>
            </w: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75   63 (54-71)          93   78 (70-85)</w:t>
            </w: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55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25   21 (13-28)          42   35 (26-44)</w:t>
            </w:r>
          </w:p>
        </w:tc>
        <w:tc>
          <w:tcPr>
            <w:tcW w:w="106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09D1" w:rsidRPr="002E1FEB" w:rsidRDefault="003209D1" w:rsidP="00F411AC">
            <w:pPr>
              <w:ind w:left="-197" w:firstLine="197"/>
              <w:jc w:val="center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41   34 (26-43)       64   53 (44-62)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35   29 (21-37)       28   23 (16-31)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19   16 (9-22)          9       8  (3-12)</w:t>
            </w: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80   67 (58-75)       99   83 (76-89)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ind w:left="-197" w:firstLine="197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53   44 (35-53)       76   65 (56-74)</w:t>
            </w:r>
            <w:r w:rsidRPr="00E555AD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†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112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56   46 (38-56)         82   68 (60-77)</w:t>
            </w:r>
            <w:r w:rsidRPr="0038684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†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37   30 (22-39) 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24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20 (13-27)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31   26  (18-34)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18   15 (9-22)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82   68  (60-77)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108   90 (85-95)</w:t>
            </w:r>
            <w:r w:rsidRPr="0038684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‡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68   57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(48-66)         95   79 (72-87)</w:t>
            </w:r>
            <w:r w:rsidRPr="0038684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‡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</w:t>
            </w:r>
          </w:p>
          <w:p w:rsidR="003209D1" w:rsidRPr="002E1FEB" w:rsidRDefault="003209D1" w:rsidP="00F411AC">
            <w:pPr>
              <w:ind w:left="-250"/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57   48 (39-57)      84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71 (63-79)</w:t>
            </w:r>
            <w:r w:rsidRPr="0038684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‡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25   22 (14-29)      14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24 (15-31)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38   32 (23-40)      22   18 (11-25)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85   72 (64-80)    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109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92 (88-97)</w:t>
            </w:r>
            <w:r w:rsidRPr="0038684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‡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9D1" w:rsidRPr="002E1FEB" w:rsidRDefault="003209D1" w:rsidP="00F411AC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68   58 (49-67)     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>102   86 (80-93)</w:t>
            </w:r>
            <w:r w:rsidRPr="00386843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‡</w:t>
            </w:r>
            <w:r w:rsidRPr="002E1FE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</w:p>
        </w:tc>
      </w:tr>
    </w:tbl>
    <w:p w:rsidR="003209D1" w:rsidRPr="002E1FEB" w:rsidRDefault="003209D1" w:rsidP="003209D1">
      <w:pPr>
        <w:rPr>
          <w:rFonts w:ascii="Arial" w:hAnsi="Arial" w:cs="Arial"/>
          <w:sz w:val="20"/>
          <w:szCs w:val="20"/>
          <w:lang w:val="en-US"/>
        </w:rPr>
      </w:pPr>
    </w:p>
    <w:p w:rsidR="00F562A8" w:rsidRPr="00083658" w:rsidRDefault="00F562A8" w:rsidP="00083658">
      <w:pPr>
        <w:jc w:val="both"/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083658">
        <w:rPr>
          <w:rFonts w:ascii="Arial" w:hAnsi="Arial" w:cs="Arial"/>
          <w:sz w:val="20"/>
          <w:szCs w:val="20"/>
          <w:lang w:val="en-US"/>
        </w:rPr>
        <w:t>AZA = Azathioprine; EC-MPS = Enteric-coated mycophenolate sodium</w:t>
      </w:r>
      <w:r w:rsidR="00254595">
        <w:rPr>
          <w:rFonts w:ascii="Arial" w:hAnsi="Arial" w:cs="Arial"/>
          <w:sz w:val="20"/>
          <w:szCs w:val="20"/>
          <w:lang w:val="en-US"/>
        </w:rPr>
        <w:t xml:space="preserve">; SRI4: SLE responder index </w:t>
      </w:r>
      <w:r w:rsidR="00AB4BE1" w:rsidRPr="00083658">
        <w:rPr>
          <w:rFonts w:ascii="Arial" w:eastAsia="Times New Roman" w:hAnsi="Arial" w:cs="Arial"/>
          <w:sz w:val="20"/>
          <w:szCs w:val="20"/>
          <w:lang w:val="en-US" w:eastAsia="es-ES"/>
        </w:rPr>
        <w:t>defined</w:t>
      </w:r>
      <w:r w:rsidR="0093284C" w:rsidRPr="00083658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 w:rsidR="00AB4BE1" w:rsidRPr="00083658">
        <w:rPr>
          <w:rFonts w:ascii="Arial" w:eastAsia="Times New Roman" w:hAnsi="Arial" w:cs="Arial"/>
          <w:sz w:val="20"/>
          <w:szCs w:val="20"/>
          <w:lang w:val="en-US" w:eastAsia="es-ES"/>
        </w:rPr>
        <w:t>as a</w:t>
      </w:r>
      <w:r w:rsidR="0093284C" w:rsidRPr="00083658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≥ </w:t>
      </w:r>
      <w:r w:rsidR="00AB4BE1" w:rsidRPr="00083658">
        <w:rPr>
          <w:rFonts w:ascii="Arial" w:eastAsia="Times New Roman" w:hAnsi="Arial" w:cs="Arial"/>
          <w:sz w:val="20"/>
          <w:szCs w:val="20"/>
          <w:lang w:val="en-US" w:eastAsia="es-ES"/>
        </w:rPr>
        <w:t>4-point reduction in SLEDAI-2K score; no new BILAG</w:t>
      </w:r>
      <w:r w:rsidR="0093284C" w:rsidRPr="00083658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 w:rsidR="00AB4BE1" w:rsidRPr="00083658">
        <w:rPr>
          <w:rFonts w:ascii="Arial" w:eastAsia="Times New Roman" w:hAnsi="Arial" w:cs="Arial"/>
          <w:sz w:val="20"/>
          <w:szCs w:val="20"/>
          <w:lang w:val="en-US" w:eastAsia="es-ES"/>
        </w:rPr>
        <w:t>2004 A or</w:t>
      </w:r>
      <w:r w:rsidR="0093284C" w:rsidRPr="00083658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&gt;</w:t>
      </w:r>
      <w:r w:rsidR="00AB4BE1" w:rsidRPr="00083658">
        <w:rPr>
          <w:rFonts w:ascii="Arial" w:eastAsia="Times New Roman" w:hAnsi="Arial" w:cs="Arial"/>
          <w:sz w:val="20"/>
          <w:szCs w:val="20"/>
          <w:lang w:val="en-US" w:eastAsia="es-ES"/>
        </w:rPr>
        <w:t>1 new BILAG 2004 B domain scores; and</w:t>
      </w:r>
      <w:r w:rsidR="0093284C" w:rsidRPr="00083658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&lt;</w:t>
      </w:r>
      <w:r w:rsidR="00AB4BE1" w:rsidRPr="00083658">
        <w:rPr>
          <w:rFonts w:ascii="Arial" w:eastAsia="Times New Roman" w:hAnsi="Arial" w:cs="Arial"/>
          <w:sz w:val="20"/>
          <w:szCs w:val="20"/>
          <w:lang w:val="en-US" w:eastAsia="es-ES"/>
        </w:rPr>
        <w:t>0.3-point</w:t>
      </w:r>
      <w:r w:rsidR="0093284C" w:rsidRPr="00083658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 w:rsidR="00AB4BE1" w:rsidRPr="00083658">
        <w:rPr>
          <w:rFonts w:ascii="Arial" w:eastAsia="Times New Roman" w:hAnsi="Arial" w:cs="Arial"/>
          <w:sz w:val="20"/>
          <w:szCs w:val="20"/>
          <w:lang w:val="en-US" w:eastAsia="es-ES"/>
        </w:rPr>
        <w:t>deterioration in physician’s global assessment</w:t>
      </w:r>
      <w:r w:rsidR="0093284C" w:rsidRPr="00083658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(31); </w:t>
      </w:r>
      <w:r w:rsidR="00B6353F" w:rsidRPr="00083658">
        <w:rPr>
          <w:rFonts w:ascii="Arial" w:eastAsia="Times New Roman" w:hAnsi="Arial" w:cs="Arial"/>
          <w:sz w:val="20"/>
          <w:szCs w:val="20"/>
          <w:lang w:val="en-US" w:eastAsia="es-ES"/>
        </w:rPr>
        <w:t xml:space="preserve">LLDAS: Lupus Low disease activity state defined as </w:t>
      </w:r>
      <w:r w:rsidR="00AB4BE1" w:rsidRPr="00083658">
        <w:rPr>
          <w:rFonts w:ascii="Arial" w:hAnsi="Arial" w:cs="Arial"/>
          <w:sz w:val="20"/>
          <w:szCs w:val="20"/>
          <w:lang w:val="en-US"/>
        </w:rPr>
        <w:t xml:space="preserve">(1) SLE Disease Activity Index (SLEDAI)-2K ≤4, with no activity in major organ systems (renal, central nervous system (CNS), cardiopulmonary, vasculitis, fever) and no haemolytic anaemia or gastrointestinal activity; (2) no new </w:t>
      </w:r>
      <w:r w:rsidR="00AB4BE1" w:rsidRPr="00083658">
        <w:rPr>
          <w:rStyle w:val="highlight"/>
          <w:rFonts w:ascii="Arial" w:hAnsi="Arial" w:cs="Arial"/>
          <w:sz w:val="20"/>
          <w:szCs w:val="20"/>
          <w:lang w:val="en-US"/>
        </w:rPr>
        <w:t>lupus</w:t>
      </w:r>
      <w:r w:rsidR="00AB4BE1" w:rsidRPr="00083658">
        <w:rPr>
          <w:rFonts w:ascii="Arial" w:hAnsi="Arial" w:cs="Arial"/>
          <w:sz w:val="20"/>
          <w:szCs w:val="20"/>
          <w:lang w:val="en-US"/>
        </w:rPr>
        <w:t xml:space="preserve"> disease activity compared with the previous assessment; (3) a Safety of Estrogens in </w:t>
      </w:r>
      <w:r w:rsidR="00AB4BE1" w:rsidRPr="00083658">
        <w:rPr>
          <w:rStyle w:val="highlight"/>
          <w:rFonts w:ascii="Arial" w:hAnsi="Arial" w:cs="Arial"/>
          <w:sz w:val="20"/>
          <w:szCs w:val="20"/>
          <w:lang w:val="en-US"/>
        </w:rPr>
        <w:t>Lupus</w:t>
      </w:r>
      <w:r w:rsidR="00AB4BE1" w:rsidRPr="00083658">
        <w:rPr>
          <w:rFonts w:ascii="Arial" w:hAnsi="Arial" w:cs="Arial"/>
          <w:sz w:val="20"/>
          <w:szCs w:val="20"/>
          <w:lang w:val="en-US"/>
        </w:rPr>
        <w:t xml:space="preserve"> Erythematosus National Assessment (SELENA)-SLEDAI physician global assessment (scale 0-3) ≤1; (4) a current prednisolone (or equivalent) dose ≤7.5</w:t>
      </w:r>
      <w:r w:rsidR="00AB4BE1" w:rsidRPr="00083658">
        <w:rPr>
          <w:rFonts w:ascii="Arial" w:eastAsia="MS Mincho" w:hAnsi="MS Mincho" w:cs="Arial"/>
          <w:sz w:val="20"/>
          <w:szCs w:val="20"/>
          <w:lang w:val="en-US"/>
        </w:rPr>
        <w:t> </w:t>
      </w:r>
      <w:r w:rsidR="00AB4BE1" w:rsidRPr="00083658">
        <w:rPr>
          <w:rFonts w:ascii="Arial" w:hAnsi="Arial" w:cs="Arial"/>
          <w:sz w:val="20"/>
          <w:szCs w:val="20"/>
          <w:lang w:val="en-US"/>
        </w:rPr>
        <w:t>mg daily; and (5) well tolerated standard maintenance doses of immunosuppressive drugs</w:t>
      </w:r>
      <w:r w:rsidR="00B6353F" w:rsidRPr="00083658">
        <w:rPr>
          <w:rFonts w:ascii="Arial" w:hAnsi="Arial" w:cs="Arial"/>
          <w:sz w:val="20"/>
          <w:szCs w:val="20"/>
          <w:lang w:val="en-US"/>
        </w:rPr>
        <w:t xml:space="preserve"> and approved biological agents (32)</w:t>
      </w:r>
    </w:p>
    <w:p w:rsidR="0093284C" w:rsidRPr="00254595" w:rsidRDefault="00F320B4" w:rsidP="00F562A8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F320B4">
        <w:rPr>
          <w:rFonts w:ascii="Arial" w:hAnsi="Arial" w:cs="Arial"/>
          <w:sz w:val="20"/>
          <w:szCs w:val="20"/>
          <w:vertAlign w:val="superscript"/>
          <w:lang w:val="en-US"/>
        </w:rPr>
        <w:t>a</w:t>
      </w:r>
      <w:proofErr w:type="gramEnd"/>
      <w:r w:rsidR="0093284C" w:rsidRPr="00254595">
        <w:rPr>
          <w:rFonts w:ascii="Arial" w:hAnsi="Arial" w:cs="Arial"/>
          <w:sz w:val="20"/>
          <w:szCs w:val="20"/>
          <w:lang w:val="en-US"/>
        </w:rPr>
        <w:t xml:space="preserve"> </w:t>
      </w:r>
      <w:r w:rsidR="002E1FEB" w:rsidRPr="00254595">
        <w:rPr>
          <w:rFonts w:ascii="Arial" w:hAnsi="Arial" w:cs="Arial"/>
          <w:sz w:val="20"/>
          <w:szCs w:val="20"/>
          <w:lang w:val="en-US"/>
        </w:rPr>
        <w:t>T</w:t>
      </w:r>
      <w:r w:rsidR="0093284C" w:rsidRPr="00254595">
        <w:rPr>
          <w:rFonts w:ascii="Arial" w:hAnsi="Arial" w:cs="Arial"/>
          <w:sz w:val="20"/>
          <w:szCs w:val="20"/>
          <w:lang w:val="en-US"/>
        </w:rPr>
        <w:t>wo patients in</w:t>
      </w:r>
      <w:r w:rsidR="0033077F" w:rsidRPr="00254595">
        <w:rPr>
          <w:rFonts w:ascii="Arial" w:hAnsi="Arial" w:cs="Arial"/>
          <w:sz w:val="20"/>
          <w:szCs w:val="20"/>
          <w:lang w:val="en-US"/>
        </w:rPr>
        <w:t xml:space="preserve"> each group were lost to follow-</w:t>
      </w:r>
      <w:r w:rsidR="0093284C" w:rsidRPr="00254595">
        <w:rPr>
          <w:rFonts w:ascii="Arial" w:hAnsi="Arial" w:cs="Arial"/>
          <w:sz w:val="20"/>
          <w:szCs w:val="20"/>
          <w:lang w:val="en-US"/>
        </w:rPr>
        <w:t>up</w:t>
      </w:r>
      <w:r w:rsidR="002444A5">
        <w:rPr>
          <w:rFonts w:ascii="Arial" w:hAnsi="Arial" w:cs="Arial"/>
          <w:sz w:val="20"/>
          <w:szCs w:val="20"/>
          <w:lang w:val="en-US"/>
        </w:rPr>
        <w:t>.</w:t>
      </w:r>
    </w:p>
    <w:p w:rsidR="00F562A8" w:rsidRDefault="00F320B4" w:rsidP="00F562A8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US"/>
        </w:rPr>
        <w:t>b</w:t>
      </w:r>
      <w:proofErr w:type="gramEnd"/>
      <w:r w:rsidR="00F562A8" w:rsidRPr="00254595">
        <w:rPr>
          <w:rFonts w:ascii="Arial" w:hAnsi="Arial" w:cs="Arial"/>
          <w:sz w:val="20"/>
          <w:szCs w:val="20"/>
          <w:vertAlign w:val="superscript"/>
          <w:lang w:val="en-US"/>
        </w:rPr>
        <w:t xml:space="preserve"> </w:t>
      </w:r>
      <w:r w:rsidR="00F562A8" w:rsidRPr="00254595">
        <w:rPr>
          <w:rFonts w:ascii="Arial" w:hAnsi="Arial" w:cs="Arial"/>
          <w:sz w:val="20"/>
          <w:szCs w:val="20"/>
          <w:lang w:val="en-US"/>
        </w:rPr>
        <w:t>Values correspond to the cumulative number of patients over time</w:t>
      </w:r>
      <w:r w:rsidR="002444A5">
        <w:rPr>
          <w:rFonts w:ascii="Arial" w:hAnsi="Arial" w:cs="Arial"/>
          <w:sz w:val="20"/>
          <w:szCs w:val="20"/>
          <w:lang w:val="en-US"/>
        </w:rPr>
        <w:t>.</w:t>
      </w:r>
    </w:p>
    <w:p w:rsidR="003209D1" w:rsidRPr="003209D1" w:rsidRDefault="003209D1" w:rsidP="003209D1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3209D1">
        <w:rPr>
          <w:rFonts w:ascii="Arial" w:hAnsi="Arial" w:cs="Arial"/>
          <w:sz w:val="20"/>
          <w:szCs w:val="20"/>
          <w:lang w:val="en-GB"/>
        </w:rPr>
        <w:t>*p &lt;0.05, †p&lt;0.01, ‡p&lt;0.0001, enteric-coated mycophenolate sodium (EC-MPS) group compared with the azathioprine (AZA) group.</w:t>
      </w:r>
      <w:proofErr w:type="gramEnd"/>
    </w:p>
    <w:p w:rsidR="00F320B4" w:rsidRPr="00F320B4" w:rsidRDefault="00F320B4" w:rsidP="00F562A8">
      <w:pPr>
        <w:rPr>
          <w:rFonts w:ascii="Arial" w:hAnsi="Arial" w:cs="Arial"/>
          <w:sz w:val="20"/>
          <w:szCs w:val="20"/>
          <w:lang w:val="en-GB"/>
        </w:rPr>
      </w:pPr>
    </w:p>
    <w:p w:rsidR="008011C5" w:rsidRPr="00B66374" w:rsidRDefault="008011C5" w:rsidP="00661A53">
      <w:pPr>
        <w:rPr>
          <w:rFonts w:ascii="Arial" w:hAnsi="Arial" w:cs="Arial"/>
          <w:sz w:val="24"/>
          <w:szCs w:val="24"/>
          <w:lang w:val="en-GB"/>
        </w:rPr>
      </w:pPr>
    </w:p>
    <w:sectPr w:rsidR="008011C5" w:rsidRPr="00B66374" w:rsidSect="00A11FE0">
      <w:footerReference w:type="default" r:id="rId8"/>
      <w:pgSz w:w="16838" w:h="11906" w:orient="landscape"/>
      <w:pgMar w:top="1134" w:right="678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DF" w:rsidRDefault="001615DF" w:rsidP="00112A89">
      <w:pPr>
        <w:spacing w:after="0" w:line="240" w:lineRule="auto"/>
      </w:pPr>
      <w:r>
        <w:separator/>
      </w:r>
    </w:p>
  </w:endnote>
  <w:endnote w:type="continuationSeparator" w:id="0">
    <w:p w:rsidR="001615DF" w:rsidRDefault="001615DF" w:rsidP="0011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3442"/>
      <w:docPartObj>
        <w:docPartGallery w:val="Page Numbers (Bottom of Page)"/>
        <w:docPartUnique/>
      </w:docPartObj>
    </w:sdtPr>
    <w:sdtContent>
      <w:p w:rsidR="00710180" w:rsidRDefault="00125DBB">
        <w:pPr>
          <w:pStyle w:val="Piedepgina"/>
          <w:jc w:val="center"/>
        </w:pPr>
        <w:r>
          <w:fldChar w:fldCharType="begin"/>
        </w:r>
        <w:r w:rsidR="00076B91">
          <w:instrText xml:space="preserve"> PAGE   \* MERGEFORMAT </w:instrText>
        </w:r>
        <w:r>
          <w:fldChar w:fldCharType="separate"/>
        </w:r>
        <w:r w:rsidR="00206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180" w:rsidRDefault="007101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DF" w:rsidRDefault="001615DF" w:rsidP="00112A89">
      <w:pPr>
        <w:spacing w:after="0" w:line="240" w:lineRule="auto"/>
      </w:pPr>
      <w:r>
        <w:separator/>
      </w:r>
    </w:p>
  </w:footnote>
  <w:footnote w:type="continuationSeparator" w:id="0">
    <w:p w:rsidR="001615DF" w:rsidRDefault="001615DF" w:rsidP="00112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F04"/>
    <w:multiLevelType w:val="hybridMultilevel"/>
    <w:tmpl w:val="7E74AF38"/>
    <w:lvl w:ilvl="0" w:tplc="69D8F234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3A2F6D1D"/>
    <w:multiLevelType w:val="hybridMultilevel"/>
    <w:tmpl w:val="D3A60714"/>
    <w:lvl w:ilvl="0" w:tplc="3C6A238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6827D15"/>
    <w:multiLevelType w:val="hybridMultilevel"/>
    <w:tmpl w:val="A896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0319C6"/>
    <w:multiLevelType w:val="hybridMultilevel"/>
    <w:tmpl w:val="404E728A"/>
    <w:lvl w:ilvl="0" w:tplc="9C8088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inorHAnsi" w:hAnsiTheme="minorHAnsi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591FF4"/>
    <w:multiLevelType w:val="hybridMultilevel"/>
    <w:tmpl w:val="3D7E5C1C"/>
    <w:lvl w:ilvl="0" w:tplc="0728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7A67FE"/>
    <w:multiLevelType w:val="hybridMultilevel"/>
    <w:tmpl w:val="AFAC01C6"/>
    <w:lvl w:ilvl="0" w:tplc="7D9085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efina Cortes Hernandez">
    <w15:presenceInfo w15:providerId="Windows Live" w15:userId="5cfb462d8a8be7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782"/>
    <w:rsid w:val="00000EC8"/>
    <w:rsid w:val="00002AA0"/>
    <w:rsid w:val="0001014E"/>
    <w:rsid w:val="0004014E"/>
    <w:rsid w:val="0004315F"/>
    <w:rsid w:val="00043E0D"/>
    <w:rsid w:val="00046805"/>
    <w:rsid w:val="000624C4"/>
    <w:rsid w:val="00062767"/>
    <w:rsid w:val="00064CF8"/>
    <w:rsid w:val="000666DD"/>
    <w:rsid w:val="00072CDA"/>
    <w:rsid w:val="00076B91"/>
    <w:rsid w:val="00081B45"/>
    <w:rsid w:val="00083658"/>
    <w:rsid w:val="00085B7A"/>
    <w:rsid w:val="0009142B"/>
    <w:rsid w:val="00096520"/>
    <w:rsid w:val="000A0896"/>
    <w:rsid w:val="000A5383"/>
    <w:rsid w:val="000A76FE"/>
    <w:rsid w:val="000B2BE8"/>
    <w:rsid w:val="000B34B6"/>
    <w:rsid w:val="000D418B"/>
    <w:rsid w:val="000D7A5B"/>
    <w:rsid w:val="000F1ABA"/>
    <w:rsid w:val="000F535B"/>
    <w:rsid w:val="00101DCB"/>
    <w:rsid w:val="00103484"/>
    <w:rsid w:val="001074D5"/>
    <w:rsid w:val="0011237C"/>
    <w:rsid w:val="00112A89"/>
    <w:rsid w:val="00115D22"/>
    <w:rsid w:val="00116FDB"/>
    <w:rsid w:val="00125DBB"/>
    <w:rsid w:val="00126844"/>
    <w:rsid w:val="0013255B"/>
    <w:rsid w:val="00144C83"/>
    <w:rsid w:val="0016025C"/>
    <w:rsid w:val="001615DF"/>
    <w:rsid w:val="00182F4D"/>
    <w:rsid w:val="00192201"/>
    <w:rsid w:val="00197F14"/>
    <w:rsid w:val="001A0E91"/>
    <w:rsid w:val="001A2672"/>
    <w:rsid w:val="001B2E8C"/>
    <w:rsid w:val="001C0170"/>
    <w:rsid w:val="001E5160"/>
    <w:rsid w:val="001E5CF9"/>
    <w:rsid w:val="001F0EBE"/>
    <w:rsid w:val="001F7189"/>
    <w:rsid w:val="0020449D"/>
    <w:rsid w:val="0020531E"/>
    <w:rsid w:val="00206A79"/>
    <w:rsid w:val="002124DD"/>
    <w:rsid w:val="00230151"/>
    <w:rsid w:val="0023113E"/>
    <w:rsid w:val="00244301"/>
    <w:rsid w:val="002444A5"/>
    <w:rsid w:val="002501DC"/>
    <w:rsid w:val="00254595"/>
    <w:rsid w:val="002558B1"/>
    <w:rsid w:val="0026286D"/>
    <w:rsid w:val="00263A6E"/>
    <w:rsid w:val="00286BA8"/>
    <w:rsid w:val="00290D23"/>
    <w:rsid w:val="002914ED"/>
    <w:rsid w:val="002A25E8"/>
    <w:rsid w:val="002C5757"/>
    <w:rsid w:val="002D228C"/>
    <w:rsid w:val="002D2612"/>
    <w:rsid w:val="002D26EE"/>
    <w:rsid w:val="002E1FEB"/>
    <w:rsid w:val="002F2441"/>
    <w:rsid w:val="002F2E93"/>
    <w:rsid w:val="002F2F47"/>
    <w:rsid w:val="002F32F2"/>
    <w:rsid w:val="002F7185"/>
    <w:rsid w:val="0031300C"/>
    <w:rsid w:val="003209D1"/>
    <w:rsid w:val="00323301"/>
    <w:rsid w:val="0033077F"/>
    <w:rsid w:val="003347EA"/>
    <w:rsid w:val="003621AC"/>
    <w:rsid w:val="003705D2"/>
    <w:rsid w:val="00372FB9"/>
    <w:rsid w:val="003744E3"/>
    <w:rsid w:val="00386843"/>
    <w:rsid w:val="003904A0"/>
    <w:rsid w:val="003A21FB"/>
    <w:rsid w:val="003C4121"/>
    <w:rsid w:val="003C6BA8"/>
    <w:rsid w:val="003D18D6"/>
    <w:rsid w:val="003D5723"/>
    <w:rsid w:val="003F1A8C"/>
    <w:rsid w:val="003F3989"/>
    <w:rsid w:val="00402AB1"/>
    <w:rsid w:val="00404DED"/>
    <w:rsid w:val="00405DAB"/>
    <w:rsid w:val="00406C84"/>
    <w:rsid w:val="00411F8A"/>
    <w:rsid w:val="00415BBA"/>
    <w:rsid w:val="0041732E"/>
    <w:rsid w:val="00420E7D"/>
    <w:rsid w:val="00424747"/>
    <w:rsid w:val="00430C51"/>
    <w:rsid w:val="0043170E"/>
    <w:rsid w:val="004410C5"/>
    <w:rsid w:val="00443A7F"/>
    <w:rsid w:val="0044675F"/>
    <w:rsid w:val="0044726D"/>
    <w:rsid w:val="004611E5"/>
    <w:rsid w:val="00477758"/>
    <w:rsid w:val="004857D9"/>
    <w:rsid w:val="004A2385"/>
    <w:rsid w:val="004F7A6E"/>
    <w:rsid w:val="00502B58"/>
    <w:rsid w:val="0050733D"/>
    <w:rsid w:val="00510161"/>
    <w:rsid w:val="00514256"/>
    <w:rsid w:val="0053018D"/>
    <w:rsid w:val="00530D8F"/>
    <w:rsid w:val="00534A8F"/>
    <w:rsid w:val="005423CD"/>
    <w:rsid w:val="0054346A"/>
    <w:rsid w:val="0054766A"/>
    <w:rsid w:val="005517AE"/>
    <w:rsid w:val="00554353"/>
    <w:rsid w:val="005628D7"/>
    <w:rsid w:val="005724A7"/>
    <w:rsid w:val="00591172"/>
    <w:rsid w:val="005938D2"/>
    <w:rsid w:val="005A1B7C"/>
    <w:rsid w:val="005A5DFE"/>
    <w:rsid w:val="005A6261"/>
    <w:rsid w:val="005B1EB6"/>
    <w:rsid w:val="005B4218"/>
    <w:rsid w:val="005C4336"/>
    <w:rsid w:val="005C4BDC"/>
    <w:rsid w:val="005D0684"/>
    <w:rsid w:val="005D0FFE"/>
    <w:rsid w:val="005D7068"/>
    <w:rsid w:val="005D709B"/>
    <w:rsid w:val="005D735F"/>
    <w:rsid w:val="005E4451"/>
    <w:rsid w:val="005E65C7"/>
    <w:rsid w:val="005F700D"/>
    <w:rsid w:val="00601BAD"/>
    <w:rsid w:val="00614026"/>
    <w:rsid w:val="0061664B"/>
    <w:rsid w:val="006300EB"/>
    <w:rsid w:val="00641548"/>
    <w:rsid w:val="00650AA3"/>
    <w:rsid w:val="0065264B"/>
    <w:rsid w:val="0066020B"/>
    <w:rsid w:val="00661A53"/>
    <w:rsid w:val="00665006"/>
    <w:rsid w:val="0066659C"/>
    <w:rsid w:val="00681B55"/>
    <w:rsid w:val="0069068B"/>
    <w:rsid w:val="006A3E42"/>
    <w:rsid w:val="006A45C8"/>
    <w:rsid w:val="006B0182"/>
    <w:rsid w:val="006C5C19"/>
    <w:rsid w:val="006C6C97"/>
    <w:rsid w:val="006D5C4D"/>
    <w:rsid w:val="006E7AFE"/>
    <w:rsid w:val="007054A9"/>
    <w:rsid w:val="00710180"/>
    <w:rsid w:val="007131A0"/>
    <w:rsid w:val="00715047"/>
    <w:rsid w:val="0073267F"/>
    <w:rsid w:val="00745782"/>
    <w:rsid w:val="00755836"/>
    <w:rsid w:val="0077275D"/>
    <w:rsid w:val="00784C67"/>
    <w:rsid w:val="00787AFF"/>
    <w:rsid w:val="0079291E"/>
    <w:rsid w:val="007A1C15"/>
    <w:rsid w:val="007B0603"/>
    <w:rsid w:val="007B595D"/>
    <w:rsid w:val="007C0154"/>
    <w:rsid w:val="007C1E7E"/>
    <w:rsid w:val="007C2E31"/>
    <w:rsid w:val="007E44C3"/>
    <w:rsid w:val="007F0E2E"/>
    <w:rsid w:val="008011C5"/>
    <w:rsid w:val="00802BE3"/>
    <w:rsid w:val="0080373C"/>
    <w:rsid w:val="00805CD7"/>
    <w:rsid w:val="008211BE"/>
    <w:rsid w:val="008239CE"/>
    <w:rsid w:val="00852645"/>
    <w:rsid w:val="0085294B"/>
    <w:rsid w:val="008603B0"/>
    <w:rsid w:val="0086145E"/>
    <w:rsid w:val="00864C39"/>
    <w:rsid w:val="00873975"/>
    <w:rsid w:val="00881B87"/>
    <w:rsid w:val="00884951"/>
    <w:rsid w:val="00887090"/>
    <w:rsid w:val="008B28E0"/>
    <w:rsid w:val="008B3EA4"/>
    <w:rsid w:val="008C1029"/>
    <w:rsid w:val="008C1D0B"/>
    <w:rsid w:val="008D33C0"/>
    <w:rsid w:val="008D7E0E"/>
    <w:rsid w:val="00900CC3"/>
    <w:rsid w:val="00917ED8"/>
    <w:rsid w:val="00930A73"/>
    <w:rsid w:val="0093284C"/>
    <w:rsid w:val="009477D8"/>
    <w:rsid w:val="0095002A"/>
    <w:rsid w:val="00960E85"/>
    <w:rsid w:val="00961664"/>
    <w:rsid w:val="00970362"/>
    <w:rsid w:val="00980838"/>
    <w:rsid w:val="009976ED"/>
    <w:rsid w:val="009A377A"/>
    <w:rsid w:val="009A4F3A"/>
    <w:rsid w:val="009B25F9"/>
    <w:rsid w:val="009B493B"/>
    <w:rsid w:val="009B7EEE"/>
    <w:rsid w:val="009C6A7C"/>
    <w:rsid w:val="009D0704"/>
    <w:rsid w:val="009D7798"/>
    <w:rsid w:val="009D7CBA"/>
    <w:rsid w:val="009E2ECC"/>
    <w:rsid w:val="009E72ED"/>
    <w:rsid w:val="009E748D"/>
    <w:rsid w:val="009F4E4A"/>
    <w:rsid w:val="009F6B31"/>
    <w:rsid w:val="00A03E5A"/>
    <w:rsid w:val="00A11FE0"/>
    <w:rsid w:val="00A20D01"/>
    <w:rsid w:val="00A254A5"/>
    <w:rsid w:val="00A26EFF"/>
    <w:rsid w:val="00A3177A"/>
    <w:rsid w:val="00A4468B"/>
    <w:rsid w:val="00A51747"/>
    <w:rsid w:val="00A5408F"/>
    <w:rsid w:val="00A5779D"/>
    <w:rsid w:val="00A63C86"/>
    <w:rsid w:val="00A6776E"/>
    <w:rsid w:val="00A72684"/>
    <w:rsid w:val="00A772A0"/>
    <w:rsid w:val="00A82F90"/>
    <w:rsid w:val="00A962F5"/>
    <w:rsid w:val="00AA133C"/>
    <w:rsid w:val="00AA15EA"/>
    <w:rsid w:val="00AA760F"/>
    <w:rsid w:val="00AB4BE1"/>
    <w:rsid w:val="00AC3624"/>
    <w:rsid w:val="00AC37BB"/>
    <w:rsid w:val="00AC3EE8"/>
    <w:rsid w:val="00AD02B9"/>
    <w:rsid w:val="00AE1A9D"/>
    <w:rsid w:val="00AE3A86"/>
    <w:rsid w:val="00AE5357"/>
    <w:rsid w:val="00B043E6"/>
    <w:rsid w:val="00B13174"/>
    <w:rsid w:val="00B20AF7"/>
    <w:rsid w:val="00B25D05"/>
    <w:rsid w:val="00B26E3B"/>
    <w:rsid w:val="00B2796D"/>
    <w:rsid w:val="00B40B1C"/>
    <w:rsid w:val="00B44302"/>
    <w:rsid w:val="00B457BF"/>
    <w:rsid w:val="00B62937"/>
    <w:rsid w:val="00B6353F"/>
    <w:rsid w:val="00B64F10"/>
    <w:rsid w:val="00B66374"/>
    <w:rsid w:val="00B73748"/>
    <w:rsid w:val="00B979C9"/>
    <w:rsid w:val="00BB255F"/>
    <w:rsid w:val="00BD4B46"/>
    <w:rsid w:val="00BD5804"/>
    <w:rsid w:val="00BE3BD7"/>
    <w:rsid w:val="00C019F4"/>
    <w:rsid w:val="00C306DD"/>
    <w:rsid w:val="00C309D6"/>
    <w:rsid w:val="00C36ED8"/>
    <w:rsid w:val="00C5104A"/>
    <w:rsid w:val="00C579E7"/>
    <w:rsid w:val="00C60289"/>
    <w:rsid w:val="00C614AA"/>
    <w:rsid w:val="00C7214D"/>
    <w:rsid w:val="00C80010"/>
    <w:rsid w:val="00C81CF9"/>
    <w:rsid w:val="00C831B2"/>
    <w:rsid w:val="00C91A12"/>
    <w:rsid w:val="00C91BC5"/>
    <w:rsid w:val="00C93410"/>
    <w:rsid w:val="00CB64BE"/>
    <w:rsid w:val="00CD3314"/>
    <w:rsid w:val="00D05072"/>
    <w:rsid w:val="00D127C9"/>
    <w:rsid w:val="00D26D2D"/>
    <w:rsid w:val="00D31B8A"/>
    <w:rsid w:val="00D32ACB"/>
    <w:rsid w:val="00D34B45"/>
    <w:rsid w:val="00D46135"/>
    <w:rsid w:val="00D504C0"/>
    <w:rsid w:val="00D528DC"/>
    <w:rsid w:val="00D6649F"/>
    <w:rsid w:val="00D66B92"/>
    <w:rsid w:val="00D66C1C"/>
    <w:rsid w:val="00D924F1"/>
    <w:rsid w:val="00D944FD"/>
    <w:rsid w:val="00DA5240"/>
    <w:rsid w:val="00DA60F6"/>
    <w:rsid w:val="00DA767D"/>
    <w:rsid w:val="00DB7315"/>
    <w:rsid w:val="00DC36FB"/>
    <w:rsid w:val="00DC445E"/>
    <w:rsid w:val="00DC64A6"/>
    <w:rsid w:val="00DC6A59"/>
    <w:rsid w:val="00DE598C"/>
    <w:rsid w:val="00E0051E"/>
    <w:rsid w:val="00E01B2D"/>
    <w:rsid w:val="00E158B8"/>
    <w:rsid w:val="00E246A9"/>
    <w:rsid w:val="00E33146"/>
    <w:rsid w:val="00E36975"/>
    <w:rsid w:val="00E4257C"/>
    <w:rsid w:val="00E446E0"/>
    <w:rsid w:val="00E530CC"/>
    <w:rsid w:val="00E555AD"/>
    <w:rsid w:val="00E56A8E"/>
    <w:rsid w:val="00E62A3B"/>
    <w:rsid w:val="00E66DDF"/>
    <w:rsid w:val="00E70002"/>
    <w:rsid w:val="00E70E1C"/>
    <w:rsid w:val="00E71CC4"/>
    <w:rsid w:val="00E77341"/>
    <w:rsid w:val="00E83439"/>
    <w:rsid w:val="00E86B76"/>
    <w:rsid w:val="00E90BF3"/>
    <w:rsid w:val="00E91EDE"/>
    <w:rsid w:val="00EA1CF7"/>
    <w:rsid w:val="00EA6761"/>
    <w:rsid w:val="00EB0B0A"/>
    <w:rsid w:val="00EB6DD9"/>
    <w:rsid w:val="00EC05BA"/>
    <w:rsid w:val="00EC19E8"/>
    <w:rsid w:val="00EC350A"/>
    <w:rsid w:val="00ED3230"/>
    <w:rsid w:val="00ED6570"/>
    <w:rsid w:val="00EE0015"/>
    <w:rsid w:val="00EE74A3"/>
    <w:rsid w:val="00EE78B3"/>
    <w:rsid w:val="00EF021E"/>
    <w:rsid w:val="00EF0E5B"/>
    <w:rsid w:val="00EF5DE7"/>
    <w:rsid w:val="00EF7C4C"/>
    <w:rsid w:val="00F06219"/>
    <w:rsid w:val="00F0657E"/>
    <w:rsid w:val="00F07572"/>
    <w:rsid w:val="00F10035"/>
    <w:rsid w:val="00F179F1"/>
    <w:rsid w:val="00F269F3"/>
    <w:rsid w:val="00F26B20"/>
    <w:rsid w:val="00F320B4"/>
    <w:rsid w:val="00F350DA"/>
    <w:rsid w:val="00F377D9"/>
    <w:rsid w:val="00F52CBD"/>
    <w:rsid w:val="00F562A8"/>
    <w:rsid w:val="00F60E79"/>
    <w:rsid w:val="00F6112C"/>
    <w:rsid w:val="00F624F0"/>
    <w:rsid w:val="00F75F71"/>
    <w:rsid w:val="00F8254B"/>
    <w:rsid w:val="00F95EAF"/>
    <w:rsid w:val="00F97AB6"/>
    <w:rsid w:val="00FA009C"/>
    <w:rsid w:val="00FB40C7"/>
    <w:rsid w:val="00FB5335"/>
    <w:rsid w:val="00FC12B6"/>
    <w:rsid w:val="00FD40F0"/>
    <w:rsid w:val="00FD66D2"/>
    <w:rsid w:val="00FF0412"/>
    <w:rsid w:val="00F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62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76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nuscriptbodytext">
    <w:name w:val="Manuscript body text"/>
    <w:basedOn w:val="Normal"/>
    <w:link w:val="ManuscriptbodytextChar"/>
    <w:rsid w:val="00745782"/>
    <w:pPr>
      <w:spacing w:after="0" w:line="48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ManuscriptbodytextChar">
    <w:name w:val="Manuscript body text Char"/>
    <w:basedOn w:val="Fuentedeprrafopredeter"/>
    <w:link w:val="Manuscriptbodytext"/>
    <w:locked/>
    <w:rsid w:val="00745782"/>
    <w:rPr>
      <w:rFonts w:ascii="Arial" w:eastAsia="Times New Roman" w:hAnsi="Arial" w:cs="Times New Roman"/>
      <w:szCs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4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12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2A89"/>
  </w:style>
  <w:style w:type="paragraph" w:styleId="Piedepgina">
    <w:name w:val="footer"/>
    <w:basedOn w:val="Normal"/>
    <w:link w:val="PiedepginaCar"/>
    <w:uiPriority w:val="99"/>
    <w:unhideWhenUsed/>
    <w:rsid w:val="00112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A89"/>
  </w:style>
  <w:style w:type="character" w:styleId="Textoennegrita">
    <w:name w:val="Strong"/>
    <w:basedOn w:val="Fuentedeprrafopredeter"/>
    <w:uiPriority w:val="22"/>
    <w:qFormat/>
    <w:rsid w:val="00C60289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95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95EAF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00CC3"/>
    <w:pPr>
      <w:ind w:left="720"/>
      <w:contextualSpacing/>
    </w:pPr>
  </w:style>
  <w:style w:type="table" w:styleId="Sombreadoclaro">
    <w:name w:val="Light Shading"/>
    <w:basedOn w:val="Tablanormal"/>
    <w:uiPriority w:val="60"/>
    <w:rsid w:val="006166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AA76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7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ListTable2-Accent11">
    <w:name w:val="List Table 2 - Accent 11"/>
    <w:basedOn w:val="Tablanormal"/>
    <w:uiPriority w:val="47"/>
    <w:rsid w:val="00443A7F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43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3A7F"/>
    <w:pPr>
      <w:spacing w:after="160" w:line="240" w:lineRule="auto"/>
    </w:pPr>
    <w:rPr>
      <w:rFonts w:eastAsia="Times New Roman" w:hAnsi="Times New Roman" w:cs="Times New Roman"/>
      <w:sz w:val="20"/>
      <w:szCs w:val="20"/>
      <w:lang w:val="en-GB" w:eastAsia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3A7F"/>
    <w:rPr>
      <w:rFonts w:eastAsia="Times New Roman" w:hAnsi="Times New Roman" w:cs="Times New Roman"/>
      <w:sz w:val="20"/>
      <w:szCs w:val="20"/>
      <w:lang w:val="en-GB" w:eastAsia="en-GB"/>
    </w:rPr>
  </w:style>
  <w:style w:type="character" w:customStyle="1" w:styleId="highlight">
    <w:name w:val="highlight"/>
    <w:basedOn w:val="Fuentedeprrafopredeter"/>
    <w:rsid w:val="00B63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B71C-D573-4BFD-A7E4-68F6DFE1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758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HUVH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38810952Q</dc:creator>
  <cp:keywords/>
  <dc:description/>
  <cp:lastModifiedBy>38810952Q</cp:lastModifiedBy>
  <cp:revision>4</cp:revision>
  <cp:lastPrinted>2017-03-21T15:36:00Z</cp:lastPrinted>
  <dcterms:created xsi:type="dcterms:W3CDTF">2017-03-28T15:25:00Z</dcterms:created>
  <dcterms:modified xsi:type="dcterms:W3CDTF">2017-03-28T15:41:00Z</dcterms:modified>
</cp:coreProperties>
</file>