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7D" w:rsidRPr="00AC50FD" w:rsidRDefault="00EE78B3" w:rsidP="00411F8A">
      <w:pPr>
        <w:spacing w:line="360" w:lineRule="auto"/>
        <w:rPr>
          <w:rFonts w:ascii="Arial" w:eastAsia="Times New Roman" w:hAnsi="Arial" w:cs="Arial"/>
          <w:b/>
          <w:lang w:val="en-IE" w:eastAsia="en-IE"/>
        </w:rPr>
      </w:pPr>
      <w:r w:rsidRPr="00AC50FD">
        <w:rPr>
          <w:rFonts w:ascii="Arial" w:eastAsia="Times New Roman" w:hAnsi="Arial" w:cs="Arial"/>
          <w:b/>
          <w:lang w:val="en-IE" w:eastAsia="en-IE"/>
        </w:rPr>
        <w:t xml:space="preserve">Supplementary </w:t>
      </w:r>
      <w:r w:rsidR="009055B5" w:rsidRPr="00AC50FD">
        <w:rPr>
          <w:rFonts w:ascii="Arial" w:eastAsia="Times New Roman" w:hAnsi="Arial" w:cs="Arial"/>
          <w:b/>
          <w:lang w:val="en-IE" w:eastAsia="en-IE"/>
        </w:rPr>
        <w:t>Text</w:t>
      </w:r>
    </w:p>
    <w:p w:rsidR="007C2E31" w:rsidRPr="00AC50FD" w:rsidRDefault="00E91EDE" w:rsidP="00411F8A">
      <w:pPr>
        <w:spacing w:line="360" w:lineRule="auto"/>
        <w:rPr>
          <w:rFonts w:ascii="Arial" w:hAnsi="Arial" w:cs="Arial"/>
          <w:lang w:val="en-US"/>
        </w:rPr>
      </w:pPr>
      <w:r w:rsidRPr="00AC50FD">
        <w:rPr>
          <w:rFonts w:ascii="Arial" w:hAnsi="Arial" w:cs="Arial"/>
          <w:bCs/>
          <w:i/>
          <w:iCs/>
          <w:lang w:val="en-US"/>
        </w:rPr>
        <w:t>1</w:t>
      </w:r>
      <w:r w:rsidR="007C2E31" w:rsidRPr="00AC50FD">
        <w:rPr>
          <w:rFonts w:ascii="Arial" w:hAnsi="Arial" w:cs="Arial"/>
          <w:bCs/>
          <w:i/>
          <w:iCs/>
          <w:lang w:val="en-US"/>
        </w:rPr>
        <w:t xml:space="preserve">. </w:t>
      </w:r>
      <w:r w:rsidR="007C2E31" w:rsidRPr="00AC50FD">
        <w:rPr>
          <w:rFonts w:ascii="Arial" w:hAnsi="Arial" w:cs="Arial"/>
          <w:b/>
          <w:bCs/>
          <w:i/>
          <w:iCs/>
          <w:lang w:val="en-US"/>
        </w:rPr>
        <w:t>Inclusion criteria</w:t>
      </w:r>
    </w:p>
    <w:p w:rsidR="007C2E31" w:rsidRPr="00AC50FD" w:rsidRDefault="007C2E31" w:rsidP="00411F8A">
      <w:pPr>
        <w:numPr>
          <w:ilvl w:val="0"/>
          <w:numId w:val="1"/>
        </w:numPr>
        <w:autoSpaceDE w:val="0"/>
        <w:autoSpaceDN w:val="0"/>
        <w:adjustRightInd w:val="0"/>
        <w:spacing w:line="360" w:lineRule="auto"/>
        <w:jc w:val="both"/>
        <w:rPr>
          <w:rFonts w:ascii="Arial" w:hAnsi="Arial" w:cs="Arial"/>
          <w:bCs/>
          <w:i/>
          <w:iCs/>
          <w:lang w:val="en-US"/>
        </w:rPr>
      </w:pPr>
      <w:r w:rsidRPr="00AC50FD">
        <w:rPr>
          <w:rFonts w:ascii="Arial" w:hAnsi="Arial" w:cs="Arial"/>
          <w:color w:val="000000"/>
          <w:lang w:val="en-US"/>
        </w:rPr>
        <w:t>Provision of written informed consent by subject</w:t>
      </w:r>
      <w:r w:rsidR="0008353D">
        <w:rPr>
          <w:rFonts w:ascii="Arial" w:hAnsi="Arial" w:cs="Arial"/>
          <w:color w:val="000000"/>
          <w:lang w:val="en-US"/>
        </w:rPr>
        <w:t>.</w:t>
      </w:r>
      <w:r w:rsidRPr="00AC50FD">
        <w:rPr>
          <w:rFonts w:ascii="Arial" w:hAnsi="Arial" w:cs="Arial"/>
          <w:color w:val="000000"/>
          <w:lang w:val="en-US"/>
        </w:rPr>
        <w:t xml:space="preserve"> </w:t>
      </w:r>
    </w:p>
    <w:p w:rsidR="007C2E31" w:rsidRPr="00AC50FD" w:rsidRDefault="007C2E31" w:rsidP="00411F8A">
      <w:pPr>
        <w:numPr>
          <w:ilvl w:val="0"/>
          <w:numId w:val="1"/>
        </w:numPr>
        <w:autoSpaceDE w:val="0"/>
        <w:autoSpaceDN w:val="0"/>
        <w:adjustRightInd w:val="0"/>
        <w:spacing w:line="360" w:lineRule="auto"/>
        <w:jc w:val="both"/>
        <w:rPr>
          <w:rFonts w:ascii="Arial" w:hAnsi="Arial" w:cs="Arial"/>
          <w:bCs/>
          <w:i/>
          <w:iCs/>
          <w:lang w:val="en-US"/>
        </w:rPr>
      </w:pPr>
      <w:r w:rsidRPr="00AC50FD">
        <w:rPr>
          <w:rFonts w:ascii="Arial" w:hAnsi="Arial" w:cs="Arial"/>
          <w:color w:val="000000"/>
          <w:lang w:val="en-US"/>
        </w:rPr>
        <w:t>Age ≥ 18</w:t>
      </w:r>
      <w:r w:rsidR="0008353D">
        <w:rPr>
          <w:rFonts w:ascii="Arial" w:hAnsi="Arial" w:cs="Arial"/>
          <w:color w:val="000000"/>
          <w:lang w:val="en-US"/>
        </w:rPr>
        <w:t>.</w:t>
      </w:r>
      <w:r w:rsidRPr="00AC50FD">
        <w:rPr>
          <w:rFonts w:ascii="Arial" w:hAnsi="Arial" w:cs="Arial"/>
          <w:color w:val="000000"/>
          <w:lang w:val="en-US"/>
        </w:rPr>
        <w:t xml:space="preserve"> </w:t>
      </w:r>
    </w:p>
    <w:p w:rsidR="007C2E31" w:rsidRPr="00AC50FD" w:rsidRDefault="007C2E31" w:rsidP="00411F8A">
      <w:pPr>
        <w:numPr>
          <w:ilvl w:val="0"/>
          <w:numId w:val="1"/>
        </w:numPr>
        <w:autoSpaceDE w:val="0"/>
        <w:autoSpaceDN w:val="0"/>
        <w:adjustRightInd w:val="0"/>
        <w:spacing w:line="360" w:lineRule="auto"/>
        <w:jc w:val="both"/>
        <w:rPr>
          <w:rFonts w:ascii="Arial" w:hAnsi="Arial" w:cs="Arial"/>
          <w:bCs/>
          <w:i/>
          <w:iCs/>
          <w:lang w:val="en-US"/>
        </w:rPr>
      </w:pPr>
      <w:r w:rsidRPr="00AC50FD">
        <w:rPr>
          <w:rFonts w:ascii="Arial" w:hAnsi="Arial" w:cs="Arial"/>
          <w:color w:val="000000"/>
          <w:lang w:val="en-US"/>
        </w:rPr>
        <w:t xml:space="preserve">Fulfill at least 4 of the </w:t>
      </w:r>
      <w:r w:rsidRPr="00AC50FD">
        <w:rPr>
          <w:rFonts w:ascii="Arial" w:hAnsi="Arial" w:cs="Arial"/>
          <w:lang w:val="en-US"/>
        </w:rPr>
        <w:t>American College of Rheumatology (ACR) classification criteria for SLE</w:t>
      </w:r>
      <w:r w:rsidR="00A772A0" w:rsidRPr="00AC50FD">
        <w:rPr>
          <w:rFonts w:ascii="Arial" w:hAnsi="Arial" w:cs="Arial"/>
          <w:lang w:val="en-US"/>
        </w:rPr>
        <w:t xml:space="preserve"> </w:t>
      </w:r>
      <w:r w:rsidRPr="00AC50FD">
        <w:rPr>
          <w:rFonts w:ascii="Arial" w:hAnsi="Arial" w:cs="Arial"/>
          <w:lang w:val="en-US"/>
        </w:rPr>
        <w:t>(25) for a minimum of 3 months prior to the first dose</w:t>
      </w:r>
      <w:r w:rsidR="0008353D">
        <w:rPr>
          <w:rFonts w:ascii="Arial" w:hAnsi="Arial" w:cs="Arial"/>
          <w:lang w:val="en-US"/>
        </w:rPr>
        <w:t>.</w:t>
      </w:r>
      <w:r w:rsidRPr="00AC50FD">
        <w:rPr>
          <w:rFonts w:ascii="Arial" w:hAnsi="Arial" w:cs="Arial"/>
          <w:lang w:val="en-US"/>
        </w:rPr>
        <w:t xml:space="preserve"> </w:t>
      </w:r>
    </w:p>
    <w:p w:rsidR="007C2E31" w:rsidRPr="00AC50FD" w:rsidRDefault="007C2E31" w:rsidP="00411F8A">
      <w:pPr>
        <w:numPr>
          <w:ilvl w:val="0"/>
          <w:numId w:val="1"/>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 xml:space="preserve">Active SLE disease defined by </w:t>
      </w:r>
      <w:r w:rsidRPr="00AC50FD">
        <w:rPr>
          <w:rFonts w:ascii="Arial" w:hAnsi="Arial" w:cs="Arial"/>
          <w:lang w:val="en-US"/>
        </w:rPr>
        <w:t xml:space="preserve">a Systemic Lupus Erythematosus Disease Activity index 2000 (SLEDAI-2k) (26) total score </w:t>
      </w:r>
      <w:r w:rsidRPr="00AC50FD">
        <w:rPr>
          <w:rFonts w:ascii="Arial" w:hAnsi="Arial" w:cs="Arial"/>
          <w:lang w:val="en-US"/>
        </w:rPr>
        <w:sym w:font="Symbol" w:char="F0B3"/>
      </w:r>
      <w:r w:rsidRPr="00AC50FD">
        <w:rPr>
          <w:rFonts w:ascii="Arial" w:hAnsi="Arial" w:cs="Arial"/>
          <w:lang w:val="en-US"/>
        </w:rPr>
        <w:t>6 or 1 system with a British Isles Lupus Assessment Group (BILAG) score of A or 2 systems with a BILAG score of B at screening (27)</w:t>
      </w:r>
      <w:r w:rsidR="0008353D">
        <w:rPr>
          <w:rFonts w:ascii="Arial" w:hAnsi="Arial" w:cs="Arial"/>
          <w:lang w:val="en-US"/>
        </w:rPr>
        <w:t>.</w:t>
      </w:r>
    </w:p>
    <w:p w:rsidR="007C2E31" w:rsidRPr="00AC50FD" w:rsidRDefault="007C2E31" w:rsidP="00411F8A">
      <w:pPr>
        <w:numPr>
          <w:ilvl w:val="0"/>
          <w:numId w:val="1"/>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Positive Antinuclear antibodies (ANA ≥1:80)</w:t>
      </w:r>
      <w:r w:rsidR="0008353D">
        <w:rPr>
          <w:rFonts w:ascii="Arial" w:hAnsi="Arial" w:cs="Arial"/>
          <w:color w:val="000000"/>
          <w:lang w:val="en-US"/>
        </w:rPr>
        <w:t>.</w:t>
      </w:r>
    </w:p>
    <w:p w:rsidR="007C2E31" w:rsidRPr="00AC50FD" w:rsidRDefault="007C2E31" w:rsidP="00411F8A">
      <w:pPr>
        <w:numPr>
          <w:ilvl w:val="0"/>
          <w:numId w:val="1"/>
        </w:numPr>
        <w:autoSpaceDE w:val="0"/>
        <w:autoSpaceDN w:val="0"/>
        <w:adjustRightInd w:val="0"/>
        <w:spacing w:line="360" w:lineRule="auto"/>
        <w:jc w:val="both"/>
        <w:rPr>
          <w:rFonts w:ascii="Arial" w:hAnsi="Arial" w:cs="Arial"/>
          <w:bCs/>
          <w:i/>
          <w:iCs/>
          <w:lang w:val="en-US"/>
        </w:rPr>
      </w:pPr>
      <w:r w:rsidRPr="00AC50FD">
        <w:rPr>
          <w:rFonts w:ascii="Arial" w:hAnsi="Arial" w:cs="Arial"/>
          <w:lang w:val="en-US"/>
        </w:rPr>
        <w:t xml:space="preserve">If using oral corticosteroids, patients must be receiving this medication for at least 6 weeks and on a stable dose of ≤40 mg/day of prednisone for at least </w:t>
      </w:r>
      <w:r w:rsidR="00502B58" w:rsidRPr="00AC50FD">
        <w:rPr>
          <w:rFonts w:ascii="Arial" w:hAnsi="Arial" w:cs="Arial"/>
          <w:lang w:val="en-US"/>
        </w:rPr>
        <w:t>14</w:t>
      </w:r>
      <w:r w:rsidRPr="00AC50FD">
        <w:rPr>
          <w:rFonts w:ascii="Arial" w:hAnsi="Arial" w:cs="Arial"/>
          <w:lang w:val="en-US"/>
        </w:rPr>
        <w:t xml:space="preserve"> days before the first dose of the study medication. </w:t>
      </w:r>
    </w:p>
    <w:p w:rsidR="007C2E31" w:rsidRPr="00AC50FD" w:rsidRDefault="007C2E31" w:rsidP="00411F8A">
      <w:pPr>
        <w:numPr>
          <w:ilvl w:val="0"/>
          <w:numId w:val="1"/>
        </w:numPr>
        <w:autoSpaceDE w:val="0"/>
        <w:autoSpaceDN w:val="0"/>
        <w:adjustRightInd w:val="0"/>
        <w:spacing w:line="360" w:lineRule="auto"/>
        <w:jc w:val="both"/>
        <w:rPr>
          <w:rFonts w:ascii="Arial" w:hAnsi="Arial" w:cs="Arial"/>
          <w:bCs/>
          <w:i/>
          <w:iCs/>
          <w:lang w:val="en-US"/>
        </w:rPr>
      </w:pPr>
      <w:r w:rsidRPr="00AC50FD">
        <w:rPr>
          <w:rFonts w:ascii="Arial" w:hAnsi="Arial" w:cs="Arial"/>
          <w:lang w:val="en-US"/>
        </w:rPr>
        <w:t xml:space="preserve"> If using antimalarial therapy (hy</w:t>
      </w:r>
      <w:r w:rsidR="00F179F1" w:rsidRPr="00AC50FD">
        <w:rPr>
          <w:rFonts w:ascii="Arial" w:hAnsi="Arial" w:cs="Arial"/>
          <w:lang w:val="en-US"/>
        </w:rPr>
        <w:t>dr</w:t>
      </w:r>
      <w:r w:rsidR="00A772A0" w:rsidRPr="00AC50FD">
        <w:rPr>
          <w:rFonts w:ascii="Arial" w:hAnsi="Arial" w:cs="Arial"/>
          <w:lang w:val="en-US"/>
        </w:rPr>
        <w:t xml:space="preserve">oxychloroquine or </w:t>
      </w:r>
      <w:r w:rsidRPr="00AC50FD">
        <w:rPr>
          <w:rFonts w:ascii="Arial" w:hAnsi="Arial" w:cs="Arial"/>
          <w:lang w:val="en-US"/>
        </w:rPr>
        <w:t xml:space="preserve">chloroquine), subjects must be taking this medication for </w:t>
      </w:r>
      <w:r w:rsidRPr="00AC50FD">
        <w:rPr>
          <w:rFonts w:ascii="Arial" w:hAnsi="Arial" w:cs="Arial"/>
          <w:lang w:val="en-US"/>
        </w:rPr>
        <w:sym w:font="Symbol" w:char="F0B3"/>
      </w:r>
      <w:r w:rsidRPr="00AC50FD">
        <w:rPr>
          <w:rFonts w:ascii="Arial" w:hAnsi="Arial" w:cs="Arial"/>
          <w:lang w:val="en-US"/>
        </w:rPr>
        <w:t xml:space="preserve">3 months and on stable dose for at least 4 weeks prior to the first administration of the study agent. </w:t>
      </w:r>
    </w:p>
    <w:p w:rsidR="007C2E31" w:rsidRPr="00AC50FD" w:rsidRDefault="007C2E31" w:rsidP="00411F8A">
      <w:pPr>
        <w:numPr>
          <w:ilvl w:val="0"/>
          <w:numId w:val="1"/>
        </w:numPr>
        <w:autoSpaceDE w:val="0"/>
        <w:autoSpaceDN w:val="0"/>
        <w:adjustRightInd w:val="0"/>
        <w:spacing w:line="360" w:lineRule="auto"/>
        <w:jc w:val="both"/>
        <w:rPr>
          <w:rFonts w:ascii="Arial" w:hAnsi="Arial" w:cs="Arial"/>
          <w:bCs/>
          <w:iCs/>
          <w:lang w:val="en-US"/>
        </w:rPr>
      </w:pPr>
      <w:r w:rsidRPr="00AC50FD">
        <w:rPr>
          <w:rFonts w:ascii="Arial" w:hAnsi="Arial" w:cs="Arial"/>
          <w:bCs/>
          <w:iCs/>
          <w:lang w:val="en-US"/>
        </w:rPr>
        <w:t xml:space="preserve">Women of childbearing potential must be willing to remain on a highly effective method of birth control during the study and 3 months after receiving the last study </w:t>
      </w:r>
      <w:r w:rsidR="00F179F1" w:rsidRPr="00AC50FD">
        <w:rPr>
          <w:rFonts w:ascii="Arial" w:hAnsi="Arial" w:cs="Arial"/>
          <w:bCs/>
          <w:iCs/>
          <w:lang w:val="en-US"/>
        </w:rPr>
        <w:t>drug</w:t>
      </w:r>
      <w:r w:rsidRPr="00AC50FD">
        <w:rPr>
          <w:rFonts w:ascii="Arial" w:hAnsi="Arial" w:cs="Arial"/>
          <w:bCs/>
          <w:iCs/>
          <w:lang w:val="en-US"/>
        </w:rPr>
        <w:t xml:space="preserve">. </w:t>
      </w:r>
    </w:p>
    <w:p w:rsidR="007C2E31" w:rsidRPr="00AC50FD" w:rsidRDefault="00E91EDE" w:rsidP="00411F8A">
      <w:pPr>
        <w:pStyle w:val="Manuscriptbodytext"/>
        <w:spacing w:line="360" w:lineRule="auto"/>
        <w:jc w:val="both"/>
        <w:rPr>
          <w:rFonts w:cs="Arial"/>
          <w:b/>
          <w:bCs/>
          <w:i/>
          <w:iCs/>
          <w:szCs w:val="22"/>
          <w:lang w:val="en-US"/>
        </w:rPr>
      </w:pPr>
      <w:r w:rsidRPr="00AC50FD">
        <w:rPr>
          <w:rFonts w:cs="Arial"/>
          <w:bCs/>
          <w:iCs/>
          <w:szCs w:val="22"/>
          <w:lang w:val="en-US"/>
        </w:rPr>
        <w:t>2</w:t>
      </w:r>
      <w:r w:rsidR="007C2E31" w:rsidRPr="00AC50FD">
        <w:rPr>
          <w:rFonts w:cs="Arial"/>
          <w:bCs/>
          <w:iCs/>
          <w:szCs w:val="22"/>
          <w:lang w:val="en-US"/>
        </w:rPr>
        <w:t xml:space="preserve">.  </w:t>
      </w:r>
      <w:r w:rsidR="007C2E31" w:rsidRPr="00AC50FD">
        <w:rPr>
          <w:rFonts w:cs="Arial"/>
          <w:b/>
          <w:bCs/>
          <w:i/>
          <w:iCs/>
          <w:szCs w:val="22"/>
          <w:lang w:val="en-US"/>
        </w:rPr>
        <w:t>Exclusion criteria</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Inability or unwillingness to comply with the requirements of the protocol as determined by the investigator</w:t>
      </w:r>
      <w:r w:rsidR="0008353D">
        <w:rPr>
          <w:rFonts w:ascii="Arial" w:hAnsi="Arial" w:cs="Arial"/>
          <w:color w:val="000000"/>
          <w:lang w:val="en-US"/>
        </w:rPr>
        <w:t>.</w:t>
      </w:r>
      <w:r w:rsidRPr="00AC50FD">
        <w:rPr>
          <w:rFonts w:ascii="Arial" w:hAnsi="Arial" w:cs="Arial"/>
          <w:color w:val="000000"/>
          <w:lang w:val="en-US"/>
        </w:rPr>
        <w:t xml:space="preserve"> </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Pregnancy, breastfeeding, planning a pregnancy or use of a non-reliable method of contraception while enrolled in the study</w:t>
      </w:r>
      <w:r w:rsidR="0008353D">
        <w:rPr>
          <w:rFonts w:ascii="Arial" w:hAnsi="Arial" w:cs="Arial"/>
          <w:color w:val="000000"/>
          <w:lang w:val="en-US"/>
        </w:rPr>
        <w:t>.</w:t>
      </w:r>
      <w:r w:rsidRPr="00AC50FD">
        <w:rPr>
          <w:rFonts w:ascii="Arial" w:hAnsi="Arial" w:cs="Arial"/>
          <w:color w:val="000000"/>
          <w:lang w:val="en-US"/>
        </w:rPr>
        <w:t xml:space="preserve"> </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Known hypersensitivity or contraindication to MMF/EC-MPs or azathioprine (including known inherited thiopurine methyl-transferase (TPMT) severe deficiency).</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 xml:space="preserve">Have received </w:t>
      </w:r>
      <w:r w:rsidRPr="00AC50FD">
        <w:rPr>
          <w:rFonts w:ascii="Arial" w:hAnsi="Arial" w:cs="Arial"/>
          <w:lang w:val="en-US"/>
        </w:rPr>
        <w:t xml:space="preserve">azathioprine or MMF/EC-MPs within the past 3 months prior to the first administration of the study agent. </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lastRenderedPageBreak/>
        <w:t xml:space="preserve">Have received systemic immunosuppressive agents such as </w:t>
      </w:r>
      <w:r w:rsidRPr="00AC50FD">
        <w:rPr>
          <w:rFonts w:ascii="Arial" w:hAnsi="Arial" w:cs="Arial"/>
          <w:lang w:val="en-US"/>
        </w:rPr>
        <w:t xml:space="preserve">cyclosporine, methotrexate and leflunomide within the previous 3 months prior to the first study </w:t>
      </w:r>
      <w:r w:rsidR="00F179F1" w:rsidRPr="00AC50FD">
        <w:rPr>
          <w:rFonts w:ascii="Arial" w:hAnsi="Arial" w:cs="Arial"/>
          <w:lang w:val="en-US"/>
        </w:rPr>
        <w:t>drug</w:t>
      </w:r>
      <w:r w:rsidRPr="00AC50FD">
        <w:rPr>
          <w:rFonts w:ascii="Arial" w:hAnsi="Arial" w:cs="Arial"/>
          <w:lang w:val="en-US"/>
        </w:rPr>
        <w:t xml:space="preserve"> administration.</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lang w:val="en-US"/>
        </w:rPr>
        <w:t xml:space="preserve">Have received cyclophosphamide within </w:t>
      </w:r>
      <w:r w:rsidR="000A76FE" w:rsidRPr="00AC50FD">
        <w:rPr>
          <w:rFonts w:ascii="Arial" w:hAnsi="Arial" w:cs="Arial"/>
          <w:lang w:val="en-US"/>
        </w:rPr>
        <w:t>3</w:t>
      </w:r>
      <w:r w:rsidRPr="00AC50FD">
        <w:rPr>
          <w:rFonts w:ascii="Arial" w:hAnsi="Arial" w:cs="Arial"/>
          <w:lang w:val="en-US"/>
        </w:rPr>
        <w:t xml:space="preserve"> months of starting screening. </w:t>
      </w:r>
    </w:p>
    <w:p w:rsidR="00A03E5A" w:rsidRPr="00AC50FD" w:rsidRDefault="003D5723"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lang w:val="en-US"/>
        </w:rPr>
        <w:t xml:space="preserve">Have an active lupus nephritis </w:t>
      </w:r>
      <w:r w:rsidR="00A03E5A" w:rsidRPr="00AC50FD">
        <w:rPr>
          <w:rFonts w:ascii="Arial" w:hAnsi="Arial" w:cs="Arial"/>
          <w:lang w:val="en-US"/>
        </w:rPr>
        <w:t>reported in recent biopsy and/or other assessments such as active urinary sediment,</w:t>
      </w:r>
      <w:r w:rsidR="003A21FB" w:rsidRPr="00AC50FD">
        <w:rPr>
          <w:rFonts w:ascii="Arial" w:hAnsi="Arial" w:cs="Arial"/>
          <w:lang w:val="en-US"/>
        </w:rPr>
        <w:t xml:space="preserve"> </w:t>
      </w:r>
      <w:r w:rsidRPr="00AC50FD">
        <w:rPr>
          <w:rFonts w:ascii="Arial" w:hAnsi="Arial" w:cs="Arial"/>
          <w:lang w:val="en-US"/>
        </w:rPr>
        <w:t xml:space="preserve">or </w:t>
      </w:r>
      <w:r w:rsidR="00A03E5A" w:rsidRPr="00AC50FD">
        <w:rPr>
          <w:rFonts w:ascii="Arial" w:hAnsi="Arial" w:cs="Arial"/>
          <w:lang w:val="en-US"/>
        </w:rPr>
        <w:t>end-stage renal disease, or severe or rapidly progressive glomerulonephritis.</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 xml:space="preserve">Have received </w:t>
      </w:r>
      <w:r w:rsidRPr="00AC50FD">
        <w:rPr>
          <w:rFonts w:ascii="Arial" w:hAnsi="Arial" w:cs="Arial"/>
          <w:lang w:val="en-US"/>
        </w:rPr>
        <w:t>B cell depleting therapy (</w:t>
      </w:r>
      <w:proofErr w:type="spellStart"/>
      <w:r w:rsidRPr="00AC50FD">
        <w:rPr>
          <w:rFonts w:ascii="Arial" w:hAnsi="Arial" w:cs="Arial"/>
          <w:lang w:val="en-US"/>
        </w:rPr>
        <w:t>eg</w:t>
      </w:r>
      <w:proofErr w:type="spellEnd"/>
      <w:r w:rsidRPr="00AC50FD">
        <w:rPr>
          <w:rFonts w:ascii="Arial" w:hAnsi="Arial" w:cs="Arial"/>
          <w:lang w:val="en-US"/>
        </w:rPr>
        <w:t xml:space="preserve">, Rituximab) within 12 months prior to the first study </w:t>
      </w:r>
      <w:r w:rsidR="00F179F1" w:rsidRPr="00AC50FD">
        <w:rPr>
          <w:rFonts w:ascii="Arial" w:hAnsi="Arial" w:cs="Arial"/>
          <w:lang w:val="en-US"/>
        </w:rPr>
        <w:t>drug</w:t>
      </w:r>
      <w:r w:rsidRPr="00AC50FD">
        <w:rPr>
          <w:rFonts w:ascii="Arial" w:hAnsi="Arial" w:cs="Arial"/>
          <w:lang w:val="en-US"/>
        </w:rPr>
        <w:t xml:space="preserve"> administration.</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Have an active or a history of ongoing, chronic or recurrent disease including HIV and hepatitis B</w:t>
      </w:r>
      <w:r w:rsidR="0008353D">
        <w:rPr>
          <w:rFonts w:ascii="Arial" w:hAnsi="Arial" w:cs="Arial"/>
          <w:color w:val="000000"/>
          <w:lang w:val="en-US"/>
        </w:rPr>
        <w:t>.</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History of malignancy within 5 years before screening (with the exception of basal cell carcinoma treated by complete excision and with no evidence of recurrence for at least 3 months before the study agent administration and carcinoma in situ of the cervix that has been surgically cured)</w:t>
      </w:r>
      <w:r w:rsidR="0008353D">
        <w:rPr>
          <w:rFonts w:ascii="Arial" w:hAnsi="Arial" w:cs="Arial"/>
          <w:color w:val="000000"/>
          <w:lang w:val="en-US"/>
        </w:rPr>
        <w:t>.</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 xml:space="preserve">Has any condition for which, in the opinion of the investigator participation would not be in the best interest of the patient. </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 xml:space="preserve">Have a </w:t>
      </w:r>
      <w:r w:rsidRPr="00AC50FD">
        <w:rPr>
          <w:rFonts w:ascii="Arial" w:hAnsi="Arial" w:cs="Arial"/>
          <w:lang w:val="en-US"/>
        </w:rPr>
        <w:t xml:space="preserve">serious intercurrent illness that was likely to require additional systemic steroid therapy. </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lang w:val="en-US"/>
        </w:rPr>
        <w:t>Have significant hematologic or laboratory abnormalities not attributed to SLE</w:t>
      </w:r>
      <w:r w:rsidR="0008353D">
        <w:rPr>
          <w:rFonts w:ascii="Arial" w:hAnsi="Arial" w:cs="Arial"/>
          <w:lang w:val="en-US"/>
        </w:rPr>
        <w:t>:</w:t>
      </w:r>
    </w:p>
    <w:p w:rsidR="007C2E31" w:rsidRPr="00AC50FD" w:rsidRDefault="0008353D" w:rsidP="00411F8A">
      <w:pPr>
        <w:numPr>
          <w:ilvl w:val="0"/>
          <w:numId w:val="2"/>
        </w:numPr>
        <w:autoSpaceDE w:val="0"/>
        <w:autoSpaceDN w:val="0"/>
        <w:adjustRightInd w:val="0"/>
        <w:spacing w:line="360" w:lineRule="auto"/>
        <w:ind w:left="1080"/>
        <w:jc w:val="both"/>
        <w:rPr>
          <w:rFonts w:ascii="Arial" w:hAnsi="Arial" w:cs="Arial"/>
          <w:color w:val="000000"/>
          <w:lang w:val="en-US"/>
        </w:rPr>
      </w:pPr>
      <w:r w:rsidRPr="00AC50FD">
        <w:rPr>
          <w:rFonts w:ascii="Arial" w:hAnsi="Arial" w:cs="Arial"/>
          <w:color w:val="000000"/>
          <w:lang w:val="en-US"/>
        </w:rPr>
        <w:t>L</w:t>
      </w:r>
      <w:r w:rsidR="007C2E31" w:rsidRPr="00AC50FD">
        <w:rPr>
          <w:rFonts w:ascii="Arial" w:hAnsi="Arial" w:cs="Arial"/>
          <w:color w:val="000000"/>
          <w:lang w:val="en-US"/>
        </w:rPr>
        <w:t>iver</w:t>
      </w:r>
      <w:r>
        <w:rPr>
          <w:rFonts w:ascii="Arial" w:hAnsi="Arial" w:cs="Arial"/>
          <w:color w:val="000000"/>
          <w:lang w:val="en-US"/>
        </w:rPr>
        <w:t xml:space="preserve"> </w:t>
      </w:r>
      <w:r w:rsidR="007C2E31" w:rsidRPr="00AC50FD">
        <w:rPr>
          <w:rFonts w:ascii="Arial" w:hAnsi="Arial" w:cs="Arial"/>
          <w:color w:val="000000"/>
          <w:lang w:val="en-US"/>
        </w:rPr>
        <w:t>dysfunction (</w:t>
      </w:r>
      <w:proofErr w:type="spellStart"/>
      <w:r w:rsidR="007C2E31" w:rsidRPr="00AC50FD">
        <w:rPr>
          <w:rFonts w:ascii="Arial" w:hAnsi="Arial" w:cs="Arial"/>
          <w:color w:val="000000"/>
          <w:lang w:val="en-US"/>
        </w:rPr>
        <w:t>aspartate</w:t>
      </w:r>
      <w:proofErr w:type="spellEnd"/>
      <w:r w:rsidR="007C2E31" w:rsidRPr="00AC50FD">
        <w:rPr>
          <w:rFonts w:ascii="Arial" w:hAnsi="Arial" w:cs="Arial"/>
          <w:color w:val="000000"/>
          <w:lang w:val="en-US"/>
        </w:rPr>
        <w:t xml:space="preserve"> </w:t>
      </w:r>
      <w:proofErr w:type="spellStart"/>
      <w:r w:rsidR="007C2E31" w:rsidRPr="00AC50FD">
        <w:rPr>
          <w:rFonts w:ascii="Arial" w:hAnsi="Arial" w:cs="Arial"/>
          <w:color w:val="000000"/>
          <w:lang w:val="en-US"/>
        </w:rPr>
        <w:t>aminotransferase</w:t>
      </w:r>
      <w:proofErr w:type="spellEnd"/>
      <w:r w:rsidR="007C2E31" w:rsidRPr="00AC50FD">
        <w:rPr>
          <w:rFonts w:ascii="Arial" w:hAnsi="Arial" w:cs="Arial"/>
          <w:color w:val="000000"/>
          <w:lang w:val="en-US"/>
        </w:rPr>
        <w:t xml:space="preserve">, </w:t>
      </w:r>
      <w:proofErr w:type="spellStart"/>
      <w:r w:rsidR="007C2E31" w:rsidRPr="00AC50FD">
        <w:rPr>
          <w:rFonts w:ascii="Arial" w:hAnsi="Arial" w:cs="Arial"/>
          <w:color w:val="000000"/>
          <w:lang w:val="en-US"/>
        </w:rPr>
        <w:t>alanine</w:t>
      </w:r>
      <w:proofErr w:type="spellEnd"/>
      <w:r w:rsidR="007C2E31" w:rsidRPr="00AC50FD">
        <w:rPr>
          <w:rFonts w:ascii="Arial" w:hAnsi="Arial" w:cs="Arial"/>
          <w:color w:val="000000"/>
          <w:lang w:val="en-US"/>
        </w:rPr>
        <w:t xml:space="preserve"> aminotransferase, or bilirubin greater than 2.5 times the upper limit of normal, measured on at least two separate occasions)</w:t>
      </w:r>
    </w:p>
    <w:p w:rsidR="007C2E31" w:rsidRPr="00AC50FD" w:rsidRDefault="0008353D" w:rsidP="00411F8A">
      <w:pPr>
        <w:numPr>
          <w:ilvl w:val="0"/>
          <w:numId w:val="2"/>
        </w:numPr>
        <w:autoSpaceDE w:val="0"/>
        <w:autoSpaceDN w:val="0"/>
        <w:adjustRightInd w:val="0"/>
        <w:spacing w:line="360" w:lineRule="auto"/>
        <w:ind w:left="1080"/>
        <w:jc w:val="both"/>
        <w:rPr>
          <w:rFonts w:ascii="Arial" w:hAnsi="Arial" w:cs="Arial"/>
          <w:color w:val="000000"/>
          <w:lang w:val="en-US"/>
        </w:rPr>
      </w:pPr>
      <w:r>
        <w:rPr>
          <w:rFonts w:ascii="Arial" w:hAnsi="Arial" w:cs="Arial"/>
          <w:color w:val="000000"/>
          <w:lang w:val="en-US"/>
        </w:rPr>
        <w:t>B</w:t>
      </w:r>
      <w:r w:rsidR="007C2E31" w:rsidRPr="00AC50FD">
        <w:rPr>
          <w:rFonts w:ascii="Arial" w:hAnsi="Arial" w:cs="Arial"/>
          <w:color w:val="000000"/>
          <w:lang w:val="en-US"/>
        </w:rPr>
        <w:t>one marrow insufficiency unrelated to active SLE (according to investigator judgment) with WBC &lt;2500/mm</w:t>
      </w:r>
      <w:r w:rsidR="007C2E31" w:rsidRPr="00AC50FD">
        <w:rPr>
          <w:rFonts w:ascii="Arial" w:hAnsi="Arial" w:cs="Arial"/>
          <w:color w:val="000000"/>
          <w:vertAlign w:val="superscript"/>
          <w:lang w:val="en-US"/>
        </w:rPr>
        <w:t>3</w:t>
      </w:r>
      <w:r w:rsidR="007C2E31" w:rsidRPr="00AC50FD">
        <w:rPr>
          <w:rFonts w:ascii="Arial" w:hAnsi="Arial" w:cs="Arial"/>
          <w:color w:val="000000"/>
          <w:lang w:val="en-US"/>
        </w:rPr>
        <w:t>, absolute neutrophil count &lt;1.3 x 103/</w:t>
      </w:r>
      <w:proofErr w:type="spellStart"/>
      <w:r w:rsidR="007C2E31" w:rsidRPr="00AC50FD">
        <w:rPr>
          <w:rFonts w:ascii="Arial" w:hAnsi="Arial" w:cs="Arial"/>
          <w:color w:val="000000"/>
          <w:lang w:val="en-US"/>
        </w:rPr>
        <w:t>μL</w:t>
      </w:r>
      <w:proofErr w:type="spellEnd"/>
      <w:r w:rsidR="007C2E31" w:rsidRPr="00AC50FD">
        <w:rPr>
          <w:rFonts w:ascii="Arial" w:hAnsi="Arial" w:cs="Arial"/>
          <w:color w:val="000000"/>
          <w:lang w:val="en-US"/>
        </w:rPr>
        <w:t>, thrombocytopenia (platelet count) &lt;50,000/mm</w:t>
      </w:r>
      <w:r w:rsidR="007C2E31" w:rsidRPr="00AC50FD">
        <w:rPr>
          <w:rFonts w:ascii="Arial" w:hAnsi="Arial" w:cs="Arial"/>
          <w:color w:val="000000"/>
          <w:vertAlign w:val="superscript"/>
          <w:lang w:val="en-US"/>
        </w:rPr>
        <w:t>3</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Other medical condition that, in the investigator’s judgment, may be associated with increased risk to the subject or may interfere with study assessments or outcomes</w:t>
      </w:r>
      <w:r w:rsidR="0008353D">
        <w:rPr>
          <w:rFonts w:ascii="Arial" w:hAnsi="Arial" w:cs="Arial"/>
          <w:color w:val="000000"/>
          <w:lang w:val="en-US"/>
        </w:rPr>
        <w:t>.</w:t>
      </w:r>
    </w:p>
    <w:p w:rsidR="007C2E31" w:rsidRPr="00AC50FD" w:rsidRDefault="007C2E31" w:rsidP="00411F8A">
      <w:pPr>
        <w:numPr>
          <w:ilvl w:val="0"/>
          <w:numId w:val="3"/>
        </w:numPr>
        <w:autoSpaceDE w:val="0"/>
        <w:autoSpaceDN w:val="0"/>
        <w:adjustRightInd w:val="0"/>
        <w:spacing w:line="360" w:lineRule="auto"/>
        <w:jc w:val="both"/>
        <w:rPr>
          <w:rFonts w:ascii="Arial" w:hAnsi="Arial" w:cs="Arial"/>
          <w:color w:val="000000"/>
          <w:lang w:val="en-US"/>
        </w:rPr>
      </w:pPr>
      <w:r w:rsidRPr="00AC50FD">
        <w:rPr>
          <w:rFonts w:ascii="Arial" w:hAnsi="Arial" w:cs="Arial"/>
          <w:color w:val="000000"/>
          <w:lang w:val="en-US"/>
        </w:rPr>
        <w:t>Have or had a substance abuse (</w:t>
      </w:r>
      <w:r w:rsidR="00F179F1" w:rsidRPr="00AC50FD">
        <w:rPr>
          <w:rFonts w:ascii="Arial" w:hAnsi="Arial" w:cs="Arial"/>
          <w:color w:val="000000"/>
          <w:lang w:val="en-US"/>
        </w:rPr>
        <w:t>drugs</w:t>
      </w:r>
      <w:r w:rsidRPr="00AC50FD">
        <w:rPr>
          <w:rFonts w:ascii="Arial" w:hAnsi="Arial" w:cs="Arial"/>
          <w:color w:val="000000"/>
          <w:lang w:val="en-US"/>
        </w:rPr>
        <w:t xml:space="preserve"> or alcohol) problem</w:t>
      </w:r>
      <w:r w:rsidR="0008353D">
        <w:rPr>
          <w:rFonts w:ascii="Arial" w:hAnsi="Arial" w:cs="Arial"/>
          <w:color w:val="000000"/>
          <w:lang w:val="en-US"/>
        </w:rPr>
        <w:t>.</w:t>
      </w:r>
    </w:p>
    <w:p w:rsidR="007C2E31" w:rsidRPr="00AC50FD" w:rsidRDefault="00E91EDE" w:rsidP="00411F8A">
      <w:pPr>
        <w:spacing w:line="360" w:lineRule="auto"/>
        <w:jc w:val="both"/>
        <w:rPr>
          <w:rFonts w:ascii="Arial" w:hAnsi="Arial" w:cs="Arial"/>
          <w:b/>
          <w:i/>
          <w:lang w:val="en-US"/>
        </w:rPr>
      </w:pPr>
      <w:r w:rsidRPr="00AC50FD">
        <w:rPr>
          <w:rFonts w:ascii="Arial" w:hAnsi="Arial" w:cs="Arial"/>
          <w:b/>
          <w:lang w:val="en-US"/>
        </w:rPr>
        <w:lastRenderedPageBreak/>
        <w:t>3</w:t>
      </w:r>
      <w:r w:rsidR="007C2E31" w:rsidRPr="00AC50FD">
        <w:rPr>
          <w:rFonts w:ascii="Arial" w:hAnsi="Arial" w:cs="Arial"/>
          <w:b/>
          <w:lang w:val="en-US"/>
        </w:rPr>
        <w:t>.</w:t>
      </w:r>
      <w:r w:rsidR="007C2E31" w:rsidRPr="00AC50FD">
        <w:rPr>
          <w:rFonts w:ascii="Arial" w:hAnsi="Arial" w:cs="Arial"/>
          <w:lang w:val="en-US"/>
        </w:rPr>
        <w:t xml:space="preserve"> </w:t>
      </w:r>
      <w:r w:rsidR="007C2E31" w:rsidRPr="00AC50FD">
        <w:rPr>
          <w:rFonts w:ascii="Arial" w:hAnsi="Arial" w:cs="Arial"/>
          <w:b/>
          <w:i/>
          <w:lang w:val="en-US"/>
        </w:rPr>
        <w:t xml:space="preserve">Adjustment of </w:t>
      </w:r>
      <w:r w:rsidR="00F179F1" w:rsidRPr="00AC50FD">
        <w:rPr>
          <w:rFonts w:ascii="Arial" w:hAnsi="Arial" w:cs="Arial"/>
          <w:b/>
          <w:i/>
          <w:lang w:val="en-US"/>
        </w:rPr>
        <w:t xml:space="preserve">drug </w:t>
      </w:r>
      <w:r w:rsidR="007C2E31" w:rsidRPr="00AC50FD">
        <w:rPr>
          <w:rFonts w:ascii="Arial" w:hAnsi="Arial" w:cs="Arial"/>
          <w:b/>
          <w:i/>
          <w:lang w:val="en-US"/>
        </w:rPr>
        <w:t>dose</w:t>
      </w:r>
    </w:p>
    <w:p w:rsidR="0054346A" w:rsidRPr="00AC50FD" w:rsidRDefault="00F95EAF"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r w:rsidRPr="00AC50FD">
        <w:rPr>
          <w:rFonts w:ascii="Arial" w:eastAsia="Times New Roman" w:hAnsi="Arial" w:cs="Arial"/>
          <w:b/>
          <w:lang w:val="en-US" w:eastAsia="es-ES"/>
        </w:rPr>
        <w:t>AZA group</w:t>
      </w:r>
      <w:r w:rsidRPr="00AC50FD">
        <w:rPr>
          <w:rFonts w:ascii="Arial" w:eastAsia="Times New Roman" w:hAnsi="Arial" w:cs="Arial"/>
          <w:lang w:val="en-US" w:eastAsia="es-ES"/>
        </w:rPr>
        <w:t xml:space="preserve">: Azathioprine will be started </w:t>
      </w:r>
      <w:r w:rsidR="0054346A" w:rsidRPr="00AC50FD">
        <w:rPr>
          <w:rFonts w:ascii="Arial" w:eastAsia="Times New Roman" w:hAnsi="Arial" w:cs="Arial"/>
          <w:lang w:val="en-US" w:eastAsia="es-ES"/>
        </w:rPr>
        <w:t xml:space="preserve">progressively </w:t>
      </w:r>
      <w:r w:rsidRPr="00AC50FD">
        <w:rPr>
          <w:rFonts w:ascii="Arial" w:eastAsia="Times New Roman" w:hAnsi="Arial" w:cs="Arial"/>
          <w:lang w:val="en-US" w:eastAsia="es-ES"/>
        </w:rPr>
        <w:t xml:space="preserve">to achieve a target dose of 2 mg / kg per day (given the impossibility of accurate dosing as the tablets are 50 mg) or according to the </w:t>
      </w:r>
      <w:r w:rsidR="005F700D" w:rsidRPr="00AC50FD">
        <w:rPr>
          <w:rFonts w:ascii="Arial" w:eastAsia="Times New Roman" w:hAnsi="Arial" w:cs="Arial"/>
          <w:lang w:val="en-US" w:eastAsia="es-ES"/>
        </w:rPr>
        <w:t>t</w:t>
      </w:r>
      <w:r w:rsidRPr="00AC50FD">
        <w:rPr>
          <w:rFonts w:ascii="Arial" w:eastAsia="Times New Roman" w:hAnsi="Arial" w:cs="Arial"/>
          <w:lang w:val="en-US" w:eastAsia="es-ES"/>
        </w:rPr>
        <w:t xml:space="preserve">hiopurine </w:t>
      </w:r>
      <w:r w:rsidR="005F700D" w:rsidRPr="00AC50FD">
        <w:rPr>
          <w:rFonts w:ascii="Arial" w:eastAsia="Times New Roman" w:hAnsi="Arial" w:cs="Arial"/>
          <w:lang w:val="en-US" w:eastAsia="es-ES"/>
        </w:rPr>
        <w:t>m</w:t>
      </w:r>
      <w:r w:rsidRPr="00AC50FD">
        <w:rPr>
          <w:rFonts w:ascii="Arial" w:eastAsia="Times New Roman" w:hAnsi="Arial" w:cs="Arial"/>
          <w:lang w:val="en-US" w:eastAsia="es-ES"/>
        </w:rPr>
        <w:t>ethyl</w:t>
      </w:r>
      <w:r w:rsidR="005F700D" w:rsidRPr="00AC50FD">
        <w:rPr>
          <w:rFonts w:ascii="Arial" w:eastAsia="Times New Roman" w:hAnsi="Arial" w:cs="Arial"/>
          <w:lang w:val="en-US" w:eastAsia="es-ES"/>
        </w:rPr>
        <w:t>t</w:t>
      </w:r>
      <w:r w:rsidRPr="00AC50FD">
        <w:rPr>
          <w:rFonts w:ascii="Arial" w:eastAsia="Times New Roman" w:hAnsi="Arial" w:cs="Arial"/>
          <w:lang w:val="en-US" w:eastAsia="es-ES"/>
        </w:rPr>
        <w:t xml:space="preserve">ransferase (TPMT) levels and maintained for 6 months in the induction phase. After this time period, if clinical remission is achieved, the dose will be reduced progressively 25 mg </w:t>
      </w:r>
      <w:r w:rsidR="00900CC3" w:rsidRPr="00AC50FD">
        <w:rPr>
          <w:rFonts w:ascii="Arial" w:eastAsia="Times New Roman" w:hAnsi="Arial" w:cs="Arial"/>
          <w:lang w:val="en-US" w:eastAsia="es-ES"/>
        </w:rPr>
        <w:t>(</w:t>
      </w:r>
      <w:r w:rsidR="00900CC3" w:rsidRPr="00AC50FD">
        <w:rPr>
          <w:rFonts w:ascii="Arial" w:eastAsia="Times New Roman" w:hAnsi="Arial" w:cs="Arial"/>
          <w:lang w:val="en-US" w:eastAsia="es-ES"/>
        </w:rPr>
        <w:sym w:font="Symbol" w:char="F07E"/>
      </w:r>
      <w:r w:rsidR="00900CC3" w:rsidRPr="00AC50FD">
        <w:rPr>
          <w:rFonts w:ascii="Arial" w:eastAsia="Times New Roman" w:hAnsi="Arial" w:cs="Arial"/>
          <w:lang w:val="en-US" w:eastAsia="es-ES"/>
        </w:rPr>
        <w:t xml:space="preserve">0.5 mg/kg) </w:t>
      </w:r>
      <w:r w:rsidRPr="00AC50FD">
        <w:rPr>
          <w:rFonts w:ascii="Arial" w:eastAsia="Times New Roman" w:hAnsi="Arial" w:cs="Arial"/>
          <w:lang w:val="en-US" w:eastAsia="es-ES"/>
        </w:rPr>
        <w:t>every 3 months until their with</w:t>
      </w:r>
      <w:r w:rsidR="00F179F1" w:rsidRPr="00AC50FD">
        <w:rPr>
          <w:rFonts w:ascii="Arial" w:eastAsia="Times New Roman" w:hAnsi="Arial" w:cs="Arial"/>
          <w:lang w:val="en-US" w:eastAsia="es-ES"/>
        </w:rPr>
        <w:t>dr</w:t>
      </w:r>
      <w:r w:rsidRPr="00AC50FD">
        <w:rPr>
          <w:rFonts w:ascii="Arial" w:eastAsia="Times New Roman" w:hAnsi="Arial" w:cs="Arial"/>
          <w:lang w:val="en-US" w:eastAsia="es-ES"/>
        </w:rPr>
        <w:t xml:space="preserve">awal if possible, always according to the medical judgment. </w:t>
      </w:r>
      <w:r w:rsidR="005F700D" w:rsidRPr="00AC50FD">
        <w:rPr>
          <w:rFonts w:ascii="Arial" w:eastAsia="Times New Roman" w:hAnsi="Arial" w:cs="Arial"/>
          <w:lang w:val="en-US" w:eastAsia="es-ES"/>
        </w:rPr>
        <w:t>The minimal duration of treatment in the mild/moderate flares will be 1 year and 2 for severe flares. In the event of relapse of the disease while reducing the dose no further reduction will be performed and the dose will be increased up to the previous dose</w:t>
      </w:r>
      <w:r w:rsidR="0054346A" w:rsidRPr="00AC50FD">
        <w:rPr>
          <w:rFonts w:ascii="Arial" w:eastAsia="Times New Roman" w:hAnsi="Arial" w:cs="Arial"/>
          <w:lang w:val="en-US" w:eastAsia="es-ES"/>
        </w:rPr>
        <w:t xml:space="preserve"> if required to control the disease flare</w:t>
      </w:r>
      <w:r w:rsidR="005F700D" w:rsidRPr="00AC50FD">
        <w:rPr>
          <w:rFonts w:ascii="Arial" w:eastAsia="Times New Roman" w:hAnsi="Arial" w:cs="Arial"/>
          <w:lang w:val="en-US" w:eastAsia="es-ES"/>
        </w:rPr>
        <w:t xml:space="preserve">.  If the </w:t>
      </w:r>
      <w:r w:rsidR="00F179F1" w:rsidRPr="00AC50FD">
        <w:rPr>
          <w:rFonts w:ascii="Arial" w:eastAsia="Times New Roman" w:hAnsi="Arial" w:cs="Arial"/>
          <w:lang w:val="en-US" w:eastAsia="es-ES"/>
        </w:rPr>
        <w:t>drug</w:t>
      </w:r>
      <w:r w:rsidR="005F700D" w:rsidRPr="00AC50FD">
        <w:rPr>
          <w:rFonts w:ascii="Arial" w:eastAsia="Times New Roman" w:hAnsi="Arial" w:cs="Arial"/>
          <w:lang w:val="en-US" w:eastAsia="es-ES"/>
        </w:rPr>
        <w:t xml:space="preserve"> had been with</w:t>
      </w:r>
      <w:r w:rsidR="00F179F1" w:rsidRPr="00AC50FD">
        <w:rPr>
          <w:rFonts w:ascii="Arial" w:eastAsia="Times New Roman" w:hAnsi="Arial" w:cs="Arial"/>
          <w:lang w:val="en-US" w:eastAsia="es-ES"/>
        </w:rPr>
        <w:t>drawn</w:t>
      </w:r>
      <w:r w:rsidR="005F700D" w:rsidRPr="00AC50FD">
        <w:rPr>
          <w:rFonts w:ascii="Arial" w:eastAsia="Times New Roman" w:hAnsi="Arial" w:cs="Arial"/>
          <w:lang w:val="en-US" w:eastAsia="es-ES"/>
        </w:rPr>
        <w:t>, in the event of clinical relapse, azathioprine will be re-started at the initial dose</w:t>
      </w:r>
      <w:r w:rsidR="0054346A" w:rsidRPr="00AC50FD">
        <w:rPr>
          <w:rFonts w:ascii="Arial" w:eastAsia="Times New Roman" w:hAnsi="Arial" w:cs="Arial"/>
          <w:lang w:val="en-US" w:eastAsia="es-ES"/>
        </w:rPr>
        <w:t xml:space="preserve"> at the initial dose according to clinical judgment.  </w:t>
      </w:r>
      <w:r w:rsidR="0026286D" w:rsidRPr="00AC50FD">
        <w:rPr>
          <w:rFonts w:ascii="Arial" w:hAnsi="Arial" w:cs="Arial"/>
          <w:color w:val="231F20"/>
          <w:lang w:val="en-US"/>
        </w:rPr>
        <w:t>Patients who were unable to tolerate the target dose or whose weight was below 50 Kg remained in the study if they tolerated a minimum dose of 50 mg of AZA per day during the first 6 months</w:t>
      </w:r>
      <w:r w:rsidR="0008353D">
        <w:rPr>
          <w:rFonts w:ascii="Arial" w:hAnsi="Arial" w:cs="Arial"/>
          <w:color w:val="231F20"/>
          <w:lang w:val="en-US"/>
        </w:rPr>
        <w:t>.</w:t>
      </w:r>
    </w:p>
    <w:p w:rsidR="00900CC3" w:rsidRPr="00AC50FD" w:rsidRDefault="00900CC3"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p>
    <w:p w:rsidR="00900CC3" w:rsidRPr="00AC50FD" w:rsidRDefault="00900CC3"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r w:rsidRPr="00AC50FD">
        <w:rPr>
          <w:rFonts w:ascii="Arial" w:hAnsi="Arial" w:cs="Arial"/>
          <w:color w:val="231F20"/>
          <w:lang w:val="en-US"/>
        </w:rPr>
        <w:t>Dose adjustments:</w:t>
      </w:r>
    </w:p>
    <w:p w:rsidR="000A5383" w:rsidRPr="00AC50FD" w:rsidRDefault="000A5383"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r w:rsidRPr="00AC50FD">
        <w:rPr>
          <w:rFonts w:ascii="Arial" w:hAnsi="Arial" w:cs="Arial"/>
          <w:color w:val="231F20"/>
          <w:lang w:val="en-US"/>
        </w:rPr>
        <w:t xml:space="preserve">1. If the </w:t>
      </w:r>
      <w:r w:rsidR="00A82F90" w:rsidRPr="00AC50FD">
        <w:rPr>
          <w:rFonts w:ascii="Arial" w:hAnsi="Arial" w:cs="Arial"/>
          <w:color w:val="231F20"/>
          <w:lang w:val="en-US"/>
        </w:rPr>
        <w:t>w</w:t>
      </w:r>
      <w:r w:rsidRPr="00AC50FD">
        <w:rPr>
          <w:rFonts w:ascii="Arial" w:hAnsi="Arial" w:cs="Arial"/>
          <w:color w:val="231F20"/>
          <w:lang w:val="en-US"/>
        </w:rPr>
        <w:t xml:space="preserve">hite cell count was </w:t>
      </w:r>
      <w:r w:rsidR="00A82F90" w:rsidRPr="00AC50FD">
        <w:rPr>
          <w:rFonts w:ascii="Arial" w:hAnsi="Arial" w:cs="Arial"/>
          <w:color w:val="231F20"/>
          <w:lang w:val="en-US"/>
        </w:rPr>
        <w:t>&lt;3x10</w:t>
      </w:r>
      <w:r w:rsidR="00A82F90" w:rsidRPr="00AC50FD">
        <w:rPr>
          <w:rFonts w:ascii="Arial" w:hAnsi="Arial" w:cs="Arial"/>
          <w:color w:val="231F20"/>
          <w:vertAlign w:val="superscript"/>
          <w:lang w:val="en-US"/>
        </w:rPr>
        <w:t xml:space="preserve">9 </w:t>
      </w:r>
      <w:r w:rsidR="00A82F90" w:rsidRPr="00AC50FD">
        <w:rPr>
          <w:rFonts w:ascii="Arial" w:hAnsi="Arial" w:cs="Arial"/>
          <w:color w:val="231F20"/>
          <w:lang w:val="en-US"/>
        </w:rPr>
        <w:t>cells/L, the azathioprine dose will be halved. When white cell count was &lt;2x10</w:t>
      </w:r>
      <w:r w:rsidR="00A82F90" w:rsidRPr="00AC50FD">
        <w:rPr>
          <w:rFonts w:ascii="Arial" w:hAnsi="Arial" w:cs="Arial"/>
          <w:color w:val="231F20"/>
          <w:vertAlign w:val="superscript"/>
          <w:lang w:val="en-US"/>
        </w:rPr>
        <w:t xml:space="preserve">9 </w:t>
      </w:r>
      <w:r w:rsidR="00A82F90" w:rsidRPr="00AC50FD">
        <w:rPr>
          <w:rFonts w:ascii="Arial" w:hAnsi="Arial" w:cs="Arial"/>
          <w:color w:val="231F20"/>
          <w:lang w:val="en-US"/>
        </w:rPr>
        <w:t xml:space="preserve">cells/L, azathioprine will be discontinued. </w:t>
      </w:r>
    </w:p>
    <w:p w:rsidR="00A82F90"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lang w:val="en-US"/>
        </w:rPr>
      </w:pPr>
      <w:r w:rsidRPr="00AC50FD">
        <w:rPr>
          <w:rFonts w:ascii="Arial" w:hAnsi="Arial" w:cs="Arial"/>
          <w:color w:val="231F20"/>
          <w:lang w:val="en-US"/>
        </w:rPr>
        <w:t xml:space="preserve">2. If ALT/AST were </w:t>
      </w:r>
      <w:r w:rsidRPr="00AC50FD">
        <w:rPr>
          <w:rFonts w:ascii="Arial" w:hAnsi="Arial" w:cs="Arial"/>
          <w:lang w:val="en-US"/>
        </w:rPr>
        <w:t>≥5 time</w:t>
      </w:r>
      <w:r w:rsidR="00755836" w:rsidRPr="00AC50FD">
        <w:rPr>
          <w:rFonts w:ascii="Arial" w:hAnsi="Arial" w:cs="Arial"/>
          <w:lang w:val="en-US"/>
        </w:rPr>
        <w:t>s</w:t>
      </w:r>
      <w:r w:rsidRPr="00AC50FD">
        <w:rPr>
          <w:rFonts w:ascii="Arial" w:hAnsi="Arial" w:cs="Arial"/>
          <w:lang w:val="en-US"/>
        </w:rPr>
        <w:t xml:space="preserve"> normal value azathioprine will be discontinued. </w:t>
      </w:r>
    </w:p>
    <w:p w:rsidR="00A82F90"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lang w:val="en-US"/>
        </w:rPr>
      </w:pPr>
      <w:r w:rsidRPr="00AC50FD">
        <w:rPr>
          <w:rFonts w:ascii="Arial" w:hAnsi="Arial" w:cs="Arial"/>
          <w:lang w:val="en-US"/>
        </w:rPr>
        <w:t>3. In the event of severe side effects (</w:t>
      </w:r>
      <w:proofErr w:type="spellStart"/>
      <w:r w:rsidRPr="00AC50FD">
        <w:rPr>
          <w:rFonts w:ascii="Arial" w:hAnsi="Arial" w:cs="Arial"/>
          <w:lang w:val="en-US"/>
        </w:rPr>
        <w:t>eg</w:t>
      </w:r>
      <w:proofErr w:type="spellEnd"/>
      <w:r w:rsidRPr="00AC50FD">
        <w:rPr>
          <w:rFonts w:ascii="Arial" w:hAnsi="Arial" w:cs="Arial"/>
          <w:lang w:val="en-US"/>
        </w:rPr>
        <w:t xml:space="preserve">. Pancreatitis) azathioprine will be discontinued. </w:t>
      </w:r>
    </w:p>
    <w:p w:rsidR="005F700D"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r w:rsidRPr="00AC50FD">
        <w:rPr>
          <w:rFonts w:ascii="Arial" w:hAnsi="Arial" w:cs="Arial"/>
          <w:color w:val="231F20"/>
          <w:lang w:val="en-US"/>
        </w:rPr>
        <w:t xml:space="preserve">4. If patient </w:t>
      </w:r>
      <w:r w:rsidR="008C1D0B" w:rsidRPr="00AC50FD">
        <w:rPr>
          <w:rFonts w:ascii="Arial" w:hAnsi="Arial" w:cs="Arial"/>
          <w:color w:val="231F20"/>
          <w:lang w:val="en-US"/>
        </w:rPr>
        <w:t>suffered</w:t>
      </w:r>
      <w:r w:rsidRPr="00AC50FD">
        <w:rPr>
          <w:rFonts w:ascii="Arial" w:hAnsi="Arial" w:cs="Arial"/>
          <w:color w:val="231F20"/>
          <w:lang w:val="en-US"/>
        </w:rPr>
        <w:t xml:space="preserve"> from severe infections, azathioprine will be </w:t>
      </w:r>
      <w:r w:rsidR="002D228C" w:rsidRPr="00AC50FD">
        <w:rPr>
          <w:rFonts w:ascii="Arial" w:hAnsi="Arial" w:cs="Arial"/>
          <w:color w:val="231F20"/>
          <w:lang w:val="en-US"/>
        </w:rPr>
        <w:t>discontinued;</w:t>
      </w:r>
      <w:r w:rsidRPr="00AC50FD">
        <w:rPr>
          <w:rFonts w:ascii="Arial" w:hAnsi="Arial" w:cs="Arial"/>
          <w:color w:val="231F20"/>
          <w:lang w:val="en-US"/>
        </w:rPr>
        <w:t xml:space="preserve"> the continuation of AZA therapy was determined by the physician. </w:t>
      </w:r>
    </w:p>
    <w:p w:rsidR="00A82F90"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p>
    <w:p w:rsidR="0054346A" w:rsidRPr="00AC50FD" w:rsidRDefault="005F700D"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eastAsia="es-ES"/>
        </w:rPr>
      </w:pPr>
      <w:r w:rsidRPr="00AC50FD">
        <w:rPr>
          <w:rFonts w:ascii="Arial" w:hAnsi="Arial" w:cs="Arial"/>
          <w:b/>
          <w:lang w:val="en-US"/>
        </w:rPr>
        <w:t>Enteric-coated mycophenolate sodium</w:t>
      </w:r>
      <w:r w:rsidRPr="00AC50FD">
        <w:rPr>
          <w:rFonts w:ascii="Arial" w:hAnsi="Arial" w:cs="Arial"/>
          <w:lang w:val="en-US"/>
        </w:rPr>
        <w:t xml:space="preserve"> </w:t>
      </w:r>
      <w:r w:rsidR="0008353D" w:rsidRPr="0008353D">
        <w:rPr>
          <w:rFonts w:ascii="Arial" w:hAnsi="Arial" w:cs="Arial"/>
          <w:b/>
          <w:lang w:val="en-US"/>
        </w:rPr>
        <w:t>group</w:t>
      </w:r>
      <w:r w:rsidR="0008353D">
        <w:rPr>
          <w:rFonts w:ascii="Arial" w:hAnsi="Arial" w:cs="Arial"/>
          <w:lang w:val="en-US"/>
        </w:rPr>
        <w:t xml:space="preserve"> </w:t>
      </w:r>
      <w:r w:rsidRPr="00AC50FD">
        <w:rPr>
          <w:rFonts w:ascii="Arial" w:hAnsi="Arial" w:cs="Arial"/>
          <w:lang w:val="en-US"/>
        </w:rPr>
        <w:t>(EC-MP</w:t>
      </w:r>
      <w:r w:rsidR="00043E0D" w:rsidRPr="00AC50FD">
        <w:rPr>
          <w:rFonts w:ascii="Arial" w:hAnsi="Arial" w:cs="Arial"/>
          <w:lang w:val="en-US"/>
        </w:rPr>
        <w:t>S</w:t>
      </w:r>
      <w:r w:rsidRPr="00AC50FD">
        <w:rPr>
          <w:rFonts w:ascii="Arial" w:hAnsi="Arial" w:cs="Arial"/>
          <w:lang w:val="en-US"/>
        </w:rPr>
        <w:t>)</w:t>
      </w:r>
      <w:r w:rsidR="0054346A" w:rsidRPr="00AC50FD">
        <w:rPr>
          <w:rFonts w:ascii="Arial" w:hAnsi="Arial" w:cs="Arial"/>
          <w:lang w:val="en-US"/>
        </w:rPr>
        <w:t xml:space="preserve">. </w:t>
      </w:r>
      <w:r w:rsidR="00F6112C" w:rsidRPr="00AC50FD">
        <w:rPr>
          <w:rFonts w:ascii="Arial" w:hAnsi="Arial" w:cs="Arial"/>
          <w:lang w:val="en-US"/>
        </w:rPr>
        <w:t>EC-MPS</w:t>
      </w:r>
      <w:r w:rsidR="0054346A" w:rsidRPr="00AC50FD">
        <w:rPr>
          <w:rFonts w:ascii="Arial" w:hAnsi="Arial" w:cs="Arial"/>
          <w:lang w:val="en-US"/>
        </w:rPr>
        <w:t xml:space="preserve"> will be started at a dose of 1440 mg/day according to gastrointestinal tolerance and sustained for 6 months the same dose. After this period of time if clinical remission has been achieved the dose will be progressively reduced, 360 mg / day every 3 months. Treatment will be with</w:t>
      </w:r>
      <w:r w:rsidR="00F179F1" w:rsidRPr="00AC50FD">
        <w:rPr>
          <w:rFonts w:ascii="Arial" w:hAnsi="Arial" w:cs="Arial"/>
          <w:lang w:val="en-US"/>
        </w:rPr>
        <w:t xml:space="preserve">drawn </w:t>
      </w:r>
      <w:r w:rsidR="0054346A" w:rsidRPr="00AC50FD">
        <w:rPr>
          <w:rFonts w:ascii="Arial" w:hAnsi="Arial" w:cs="Arial"/>
          <w:lang w:val="en-US"/>
        </w:rPr>
        <w:t xml:space="preserve">after at least 1 year of therapy in the mild/moderate initial flares and after 2 years for severe flares according to clinical judgment. </w:t>
      </w:r>
      <w:r w:rsidR="0054346A" w:rsidRPr="00AC50FD">
        <w:rPr>
          <w:rFonts w:ascii="Arial" w:eastAsia="Times New Roman" w:hAnsi="Arial" w:cs="Arial"/>
          <w:lang w:val="en-US" w:eastAsia="es-ES"/>
        </w:rPr>
        <w:t xml:space="preserve">In the event of relapse of the disease while reducing the dose no further reduction will be performed and the dose will be increased up to the previous dose if required to control the disease flare. If the </w:t>
      </w:r>
      <w:r w:rsidR="00F179F1" w:rsidRPr="00AC50FD">
        <w:rPr>
          <w:rFonts w:ascii="Arial" w:eastAsia="Times New Roman" w:hAnsi="Arial" w:cs="Arial"/>
          <w:lang w:val="en-US" w:eastAsia="es-ES"/>
        </w:rPr>
        <w:t>drug</w:t>
      </w:r>
      <w:r w:rsidR="0054346A" w:rsidRPr="00AC50FD">
        <w:rPr>
          <w:rFonts w:ascii="Arial" w:eastAsia="Times New Roman" w:hAnsi="Arial" w:cs="Arial"/>
          <w:lang w:val="en-US" w:eastAsia="es-ES"/>
        </w:rPr>
        <w:t xml:space="preserve"> had been with</w:t>
      </w:r>
      <w:r w:rsidR="00F179F1" w:rsidRPr="00AC50FD">
        <w:rPr>
          <w:rFonts w:ascii="Arial" w:eastAsia="Times New Roman" w:hAnsi="Arial" w:cs="Arial"/>
          <w:lang w:val="en-US" w:eastAsia="es-ES"/>
        </w:rPr>
        <w:t>dra</w:t>
      </w:r>
      <w:r w:rsidR="0054346A" w:rsidRPr="00AC50FD">
        <w:rPr>
          <w:rFonts w:ascii="Arial" w:eastAsia="Times New Roman" w:hAnsi="Arial" w:cs="Arial"/>
          <w:lang w:val="en-US" w:eastAsia="es-ES"/>
        </w:rPr>
        <w:t xml:space="preserve">wn, in the event of clinical relapse, azathioprine will be re-started at the initial dose according to clinical </w:t>
      </w:r>
      <w:r w:rsidR="0008353D" w:rsidRPr="00AC50FD">
        <w:rPr>
          <w:rFonts w:ascii="Arial" w:eastAsia="Times New Roman" w:hAnsi="Arial" w:cs="Arial"/>
          <w:lang w:val="en-US" w:eastAsia="es-ES"/>
        </w:rPr>
        <w:t>judgment</w:t>
      </w:r>
      <w:r w:rsidR="0054346A" w:rsidRPr="00AC50FD">
        <w:rPr>
          <w:rFonts w:ascii="Arial" w:eastAsia="Times New Roman" w:hAnsi="Arial" w:cs="Arial"/>
          <w:lang w:val="en-US" w:eastAsia="es-ES"/>
        </w:rPr>
        <w:t xml:space="preserve">. </w:t>
      </w:r>
      <w:r w:rsidR="0026286D" w:rsidRPr="00AC50FD">
        <w:rPr>
          <w:rFonts w:ascii="Arial" w:hAnsi="Arial" w:cs="Arial"/>
          <w:color w:val="231F20"/>
          <w:lang w:val="en-US"/>
        </w:rPr>
        <w:t xml:space="preserve">Patients who were unable to tolerate </w:t>
      </w:r>
      <w:r w:rsidR="0026286D" w:rsidRPr="00AC50FD">
        <w:rPr>
          <w:rFonts w:ascii="Arial" w:hAnsi="Arial" w:cs="Arial"/>
          <w:color w:val="231F20"/>
          <w:lang w:val="en-US"/>
        </w:rPr>
        <w:lastRenderedPageBreak/>
        <w:t xml:space="preserve">the target dose remained in the study if they tolerated a minimum dose of 720 mg of </w:t>
      </w:r>
      <w:r w:rsidR="00F6112C" w:rsidRPr="00AC50FD">
        <w:rPr>
          <w:rFonts w:ascii="Arial" w:hAnsi="Arial" w:cs="Arial"/>
          <w:color w:val="231F20"/>
          <w:lang w:val="en-US"/>
        </w:rPr>
        <w:t>EC-MPS</w:t>
      </w:r>
      <w:r w:rsidR="0026286D" w:rsidRPr="00AC50FD">
        <w:rPr>
          <w:rFonts w:ascii="Arial" w:hAnsi="Arial" w:cs="Arial"/>
          <w:color w:val="231F20"/>
          <w:lang w:val="en-US"/>
        </w:rPr>
        <w:t xml:space="preserve"> per day during the first 6 months.</w:t>
      </w:r>
    </w:p>
    <w:p w:rsidR="00A82F90"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p>
    <w:p w:rsidR="00A82F90"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r w:rsidRPr="00AC50FD">
        <w:rPr>
          <w:rFonts w:ascii="Arial" w:hAnsi="Arial" w:cs="Arial"/>
          <w:color w:val="231F20"/>
          <w:lang w:val="en-US"/>
        </w:rPr>
        <w:t>Dose adjustments:</w:t>
      </w:r>
    </w:p>
    <w:p w:rsidR="00A82F90" w:rsidRPr="00AC50FD" w:rsidRDefault="00A82F90"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31F20"/>
          <w:lang w:val="en-US"/>
        </w:rPr>
      </w:pPr>
      <w:r w:rsidRPr="00AC50FD">
        <w:rPr>
          <w:rFonts w:ascii="Arial" w:hAnsi="Arial" w:cs="Arial"/>
          <w:color w:val="231F20"/>
          <w:lang w:val="en-US"/>
        </w:rPr>
        <w:t>1. If the white cell count was &lt;3x10</w:t>
      </w:r>
      <w:r w:rsidRPr="00AC50FD">
        <w:rPr>
          <w:rFonts w:ascii="Arial" w:hAnsi="Arial" w:cs="Arial"/>
          <w:color w:val="231F20"/>
          <w:vertAlign w:val="superscript"/>
          <w:lang w:val="en-US"/>
        </w:rPr>
        <w:t xml:space="preserve">9 </w:t>
      </w:r>
      <w:r w:rsidRPr="00AC50FD">
        <w:rPr>
          <w:rFonts w:ascii="Arial" w:hAnsi="Arial" w:cs="Arial"/>
          <w:color w:val="231F20"/>
          <w:lang w:val="en-US"/>
        </w:rPr>
        <w:t xml:space="preserve">cells/L, the </w:t>
      </w:r>
      <w:r w:rsidR="00F6112C" w:rsidRPr="00AC50FD">
        <w:rPr>
          <w:rFonts w:ascii="Arial" w:hAnsi="Arial" w:cs="Arial"/>
          <w:color w:val="231F20"/>
          <w:lang w:val="en-US"/>
        </w:rPr>
        <w:t>EC-MPS</w:t>
      </w:r>
      <w:r w:rsidRPr="00AC50FD">
        <w:rPr>
          <w:rFonts w:ascii="Arial" w:hAnsi="Arial" w:cs="Arial"/>
          <w:color w:val="231F20"/>
          <w:lang w:val="en-US"/>
        </w:rPr>
        <w:t xml:space="preserve"> dose </w:t>
      </w:r>
      <w:r w:rsidR="008C1D0B" w:rsidRPr="00AC50FD">
        <w:rPr>
          <w:rFonts w:ascii="Arial" w:hAnsi="Arial" w:cs="Arial"/>
          <w:color w:val="231F20"/>
          <w:lang w:val="en-US"/>
        </w:rPr>
        <w:t>was</w:t>
      </w:r>
      <w:r w:rsidRPr="00AC50FD">
        <w:rPr>
          <w:rFonts w:ascii="Arial" w:hAnsi="Arial" w:cs="Arial"/>
          <w:color w:val="231F20"/>
          <w:lang w:val="en-US"/>
        </w:rPr>
        <w:t xml:space="preserve"> halved. When white cell count was &lt;2x10</w:t>
      </w:r>
      <w:r w:rsidRPr="00AC50FD">
        <w:rPr>
          <w:rFonts w:ascii="Arial" w:hAnsi="Arial" w:cs="Arial"/>
          <w:color w:val="231F20"/>
          <w:vertAlign w:val="superscript"/>
          <w:lang w:val="en-US"/>
        </w:rPr>
        <w:t xml:space="preserve">9 </w:t>
      </w:r>
      <w:r w:rsidRPr="00AC50FD">
        <w:rPr>
          <w:rFonts w:ascii="Arial" w:hAnsi="Arial" w:cs="Arial"/>
          <w:color w:val="231F20"/>
          <w:lang w:val="en-US"/>
        </w:rPr>
        <w:t xml:space="preserve">cells/L, </w:t>
      </w:r>
      <w:r w:rsidR="00F6112C" w:rsidRPr="00AC50FD">
        <w:rPr>
          <w:rFonts w:ascii="Arial" w:hAnsi="Arial" w:cs="Arial"/>
          <w:color w:val="231F20"/>
          <w:lang w:val="en-US"/>
        </w:rPr>
        <w:t>EC-MPS</w:t>
      </w:r>
      <w:r w:rsidRPr="00AC50FD">
        <w:rPr>
          <w:rFonts w:ascii="Arial" w:hAnsi="Arial" w:cs="Arial"/>
          <w:color w:val="231F20"/>
          <w:lang w:val="en-US"/>
        </w:rPr>
        <w:t xml:space="preserve"> </w:t>
      </w:r>
      <w:r w:rsidR="008C1D0B" w:rsidRPr="00AC50FD">
        <w:rPr>
          <w:rFonts w:ascii="Arial" w:hAnsi="Arial" w:cs="Arial"/>
          <w:color w:val="231F20"/>
          <w:lang w:val="en-US"/>
        </w:rPr>
        <w:t>was to be</w:t>
      </w:r>
      <w:r w:rsidRPr="00AC50FD">
        <w:rPr>
          <w:rFonts w:ascii="Arial" w:hAnsi="Arial" w:cs="Arial"/>
          <w:color w:val="231F20"/>
          <w:lang w:val="en-US"/>
        </w:rPr>
        <w:t xml:space="preserve"> discontinued. </w:t>
      </w:r>
    </w:p>
    <w:p w:rsidR="005F700D" w:rsidRPr="00AC50FD" w:rsidRDefault="008C1D0B"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eastAsia="es-ES"/>
        </w:rPr>
      </w:pPr>
      <w:r w:rsidRPr="00AC50FD">
        <w:rPr>
          <w:rFonts w:ascii="Arial" w:eastAsia="Times New Roman" w:hAnsi="Arial" w:cs="Arial"/>
          <w:lang w:val="en-US" w:eastAsia="es-ES"/>
        </w:rPr>
        <w:t xml:space="preserve">2. If the patient had obvious gastrointestinal symptoms, the dosage of </w:t>
      </w:r>
      <w:r w:rsidR="00F6112C" w:rsidRPr="00AC50FD">
        <w:rPr>
          <w:rFonts w:ascii="Arial" w:eastAsia="Times New Roman" w:hAnsi="Arial" w:cs="Arial"/>
          <w:lang w:val="en-US" w:eastAsia="es-ES"/>
        </w:rPr>
        <w:t>EC-MPS</w:t>
      </w:r>
      <w:r w:rsidRPr="00AC50FD">
        <w:rPr>
          <w:rFonts w:ascii="Arial" w:eastAsia="Times New Roman" w:hAnsi="Arial" w:cs="Arial"/>
          <w:lang w:val="en-US" w:eastAsia="es-ES"/>
        </w:rPr>
        <w:t xml:space="preserve"> could be decreased or </w:t>
      </w:r>
      <w:r w:rsidR="00F6112C" w:rsidRPr="00AC50FD">
        <w:rPr>
          <w:rFonts w:ascii="Arial" w:eastAsia="Times New Roman" w:hAnsi="Arial" w:cs="Arial"/>
          <w:lang w:val="en-US" w:eastAsia="es-ES"/>
        </w:rPr>
        <w:t>EC-MPS</w:t>
      </w:r>
      <w:r w:rsidRPr="00AC50FD">
        <w:rPr>
          <w:rFonts w:ascii="Arial" w:eastAsia="Times New Roman" w:hAnsi="Arial" w:cs="Arial"/>
          <w:lang w:val="en-US" w:eastAsia="es-ES"/>
        </w:rPr>
        <w:t xml:space="preserve"> could be taken after meals.</w:t>
      </w:r>
    </w:p>
    <w:p w:rsidR="008C1D0B" w:rsidRPr="00AC50FD" w:rsidRDefault="008C1D0B"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eastAsia="es-ES"/>
        </w:rPr>
      </w:pPr>
      <w:r w:rsidRPr="00AC50FD">
        <w:rPr>
          <w:rFonts w:ascii="Arial" w:eastAsia="Times New Roman" w:hAnsi="Arial" w:cs="Arial"/>
          <w:lang w:val="en-US" w:eastAsia="es-ES"/>
        </w:rPr>
        <w:t xml:space="preserve">3. </w:t>
      </w:r>
      <w:r w:rsidRPr="00AC50FD">
        <w:rPr>
          <w:rFonts w:ascii="Arial" w:hAnsi="Arial" w:cs="Arial"/>
          <w:color w:val="231F20"/>
          <w:lang w:val="en-US"/>
        </w:rPr>
        <w:t xml:space="preserve">If patient suffered from severe infections, </w:t>
      </w:r>
      <w:r w:rsidR="00F6112C" w:rsidRPr="00AC50FD">
        <w:rPr>
          <w:rFonts w:ascii="Arial" w:hAnsi="Arial" w:cs="Arial"/>
          <w:color w:val="231F20"/>
          <w:lang w:val="en-US"/>
        </w:rPr>
        <w:t>EC-MPS</w:t>
      </w:r>
      <w:r w:rsidRPr="00AC50FD">
        <w:rPr>
          <w:rFonts w:ascii="Arial" w:hAnsi="Arial" w:cs="Arial"/>
          <w:color w:val="231F20"/>
          <w:lang w:val="en-US"/>
        </w:rPr>
        <w:t xml:space="preserve"> was to be discontinued, the continuation of </w:t>
      </w:r>
      <w:r w:rsidR="00F6112C" w:rsidRPr="00AC50FD">
        <w:rPr>
          <w:rFonts w:ascii="Arial" w:hAnsi="Arial" w:cs="Arial"/>
          <w:color w:val="231F20"/>
          <w:lang w:val="en-US"/>
        </w:rPr>
        <w:t>EC-MPS</w:t>
      </w:r>
      <w:r w:rsidRPr="00AC50FD">
        <w:rPr>
          <w:rFonts w:ascii="Arial" w:hAnsi="Arial" w:cs="Arial"/>
          <w:color w:val="231F20"/>
          <w:lang w:val="en-US"/>
        </w:rPr>
        <w:t xml:space="preserve"> therapy was determined by the physician. </w:t>
      </w:r>
    </w:p>
    <w:p w:rsidR="008C1D0B" w:rsidRPr="00AC50FD" w:rsidRDefault="008C1D0B" w:rsidP="00411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lang w:val="en-US" w:eastAsia="es-ES"/>
        </w:rPr>
      </w:pPr>
    </w:p>
    <w:p w:rsidR="007C2E31" w:rsidRPr="00AC50FD" w:rsidRDefault="00E91EDE" w:rsidP="00411F8A">
      <w:pPr>
        <w:spacing w:line="360" w:lineRule="auto"/>
        <w:jc w:val="both"/>
        <w:rPr>
          <w:rFonts w:ascii="Arial" w:hAnsi="Arial" w:cs="Arial"/>
          <w:b/>
          <w:i/>
          <w:lang w:val="en-US"/>
        </w:rPr>
      </w:pPr>
      <w:r w:rsidRPr="00AC50FD">
        <w:rPr>
          <w:rFonts w:ascii="Arial" w:hAnsi="Arial" w:cs="Arial"/>
          <w:b/>
          <w:i/>
          <w:lang w:val="en-US"/>
        </w:rPr>
        <w:t>4</w:t>
      </w:r>
      <w:r w:rsidR="007C2E31" w:rsidRPr="00AC50FD">
        <w:rPr>
          <w:rFonts w:ascii="Arial" w:hAnsi="Arial" w:cs="Arial"/>
          <w:b/>
          <w:i/>
          <w:lang w:val="en-US"/>
        </w:rPr>
        <w:t>. Concomitant medications</w:t>
      </w:r>
    </w:p>
    <w:p w:rsidR="005C4BDC" w:rsidRPr="00AC50FD" w:rsidRDefault="002558B1" w:rsidP="00411F8A">
      <w:pPr>
        <w:pStyle w:val="HTMLconformatoprevio"/>
        <w:spacing w:line="360" w:lineRule="auto"/>
        <w:jc w:val="both"/>
        <w:rPr>
          <w:rFonts w:ascii="Arial" w:hAnsi="Arial" w:cs="Arial"/>
          <w:sz w:val="22"/>
          <w:szCs w:val="22"/>
          <w:lang w:val="en-US"/>
        </w:rPr>
      </w:pPr>
      <w:r w:rsidRPr="00AC50FD">
        <w:rPr>
          <w:rFonts w:ascii="Arial" w:hAnsi="Arial" w:cs="Arial"/>
          <w:sz w:val="22"/>
          <w:szCs w:val="22"/>
          <w:lang w:val="en-US"/>
        </w:rPr>
        <w:t>Unnecessary changes were discouraged during the study</w:t>
      </w:r>
      <w:r w:rsidR="0008353D">
        <w:rPr>
          <w:rFonts w:ascii="Arial" w:hAnsi="Arial" w:cs="Arial"/>
          <w:sz w:val="22"/>
          <w:szCs w:val="22"/>
          <w:lang w:val="en-US"/>
        </w:rPr>
        <w:t>.</w:t>
      </w:r>
    </w:p>
    <w:p w:rsidR="005C4BDC" w:rsidRPr="00AC50FD" w:rsidRDefault="005C4BDC" w:rsidP="00411F8A">
      <w:pPr>
        <w:autoSpaceDE w:val="0"/>
        <w:autoSpaceDN w:val="0"/>
        <w:adjustRightInd w:val="0"/>
        <w:spacing w:after="0" w:line="360" w:lineRule="auto"/>
        <w:jc w:val="both"/>
        <w:rPr>
          <w:rFonts w:ascii="Arial" w:hAnsi="Arial" w:cs="Arial"/>
          <w:b/>
          <w:lang w:val="en-US"/>
        </w:rPr>
      </w:pPr>
    </w:p>
    <w:p w:rsidR="002558B1" w:rsidRPr="00AC50FD" w:rsidRDefault="000B2BE8" w:rsidP="00411F8A">
      <w:pPr>
        <w:autoSpaceDE w:val="0"/>
        <w:autoSpaceDN w:val="0"/>
        <w:adjustRightInd w:val="0"/>
        <w:spacing w:after="0" w:line="360" w:lineRule="auto"/>
        <w:jc w:val="both"/>
        <w:rPr>
          <w:rFonts w:ascii="Arial" w:hAnsi="Arial" w:cs="Arial"/>
          <w:lang w:val="en-US"/>
        </w:rPr>
      </w:pPr>
      <w:r w:rsidRPr="00AC50FD">
        <w:rPr>
          <w:rFonts w:ascii="Arial" w:hAnsi="Arial" w:cs="Arial"/>
          <w:b/>
          <w:lang w:val="en-US"/>
        </w:rPr>
        <w:t>1. Corticosteroids</w:t>
      </w:r>
      <w:r w:rsidR="00710180" w:rsidRPr="00AC50FD">
        <w:rPr>
          <w:rFonts w:ascii="Arial" w:hAnsi="Arial" w:cs="Arial"/>
          <w:b/>
          <w:lang w:val="en-US"/>
        </w:rPr>
        <w:t>:</w:t>
      </w:r>
      <w:r w:rsidR="00710180" w:rsidRPr="00AC50FD">
        <w:rPr>
          <w:rFonts w:ascii="Arial" w:hAnsi="Arial" w:cs="Arial"/>
          <w:lang w:val="en-US"/>
        </w:rPr>
        <w:t xml:space="preserve"> </w:t>
      </w:r>
    </w:p>
    <w:p w:rsidR="007C0154" w:rsidRPr="00AC50FD" w:rsidRDefault="002558B1" w:rsidP="00411F8A">
      <w:pPr>
        <w:autoSpaceDE w:val="0"/>
        <w:autoSpaceDN w:val="0"/>
        <w:adjustRightInd w:val="0"/>
        <w:spacing w:after="0" w:line="360" w:lineRule="auto"/>
        <w:jc w:val="both"/>
        <w:rPr>
          <w:rFonts w:ascii="Arial" w:hAnsi="Arial" w:cs="Arial"/>
          <w:lang w:val="en-US"/>
        </w:rPr>
      </w:pPr>
      <w:r w:rsidRPr="00AC50FD">
        <w:rPr>
          <w:rFonts w:ascii="Arial" w:hAnsi="Arial" w:cs="Arial"/>
          <w:lang w:val="en-US"/>
        </w:rPr>
        <w:t xml:space="preserve">Changes were allowed according to the medical judgment. </w:t>
      </w:r>
    </w:p>
    <w:p w:rsidR="007C0154" w:rsidRPr="00AC50FD" w:rsidRDefault="007C0154" w:rsidP="00411F8A">
      <w:pPr>
        <w:autoSpaceDE w:val="0"/>
        <w:autoSpaceDN w:val="0"/>
        <w:adjustRightInd w:val="0"/>
        <w:spacing w:after="0" w:line="360" w:lineRule="auto"/>
        <w:jc w:val="both"/>
        <w:rPr>
          <w:rFonts w:ascii="Arial" w:hAnsi="Arial" w:cs="Arial"/>
          <w:lang w:val="en-US"/>
        </w:rPr>
      </w:pPr>
    </w:p>
    <w:p w:rsidR="00710180" w:rsidRPr="00AC50FD" w:rsidRDefault="007C0154" w:rsidP="00411F8A">
      <w:pPr>
        <w:autoSpaceDE w:val="0"/>
        <w:autoSpaceDN w:val="0"/>
        <w:adjustRightInd w:val="0"/>
        <w:spacing w:after="0" w:line="360" w:lineRule="auto"/>
        <w:jc w:val="both"/>
        <w:rPr>
          <w:rFonts w:ascii="Arial" w:hAnsi="Arial" w:cs="Arial"/>
          <w:lang w:val="en-US"/>
        </w:rPr>
      </w:pPr>
      <w:r w:rsidRPr="00AC50FD">
        <w:rPr>
          <w:rFonts w:ascii="Arial" w:hAnsi="Arial" w:cs="Arial"/>
          <w:lang w:val="en-US"/>
        </w:rPr>
        <w:t xml:space="preserve">If using oral corticosteroids, must be receiving this medication on a stable dose </w:t>
      </w:r>
      <w:r w:rsidR="002558B1" w:rsidRPr="00AC50FD">
        <w:rPr>
          <w:rFonts w:ascii="Arial" w:hAnsi="Arial" w:cs="Arial"/>
          <w:lang w:val="en-US"/>
        </w:rPr>
        <w:t xml:space="preserve">Prednisone dose from baseline </w:t>
      </w:r>
      <w:r w:rsidR="008D7E0E" w:rsidRPr="00AC50FD">
        <w:rPr>
          <w:rFonts w:ascii="Arial" w:hAnsi="Arial" w:cs="Arial"/>
          <w:lang w:val="en-US"/>
        </w:rPr>
        <w:t xml:space="preserve">is advised to be </w:t>
      </w:r>
      <w:r w:rsidR="002558B1" w:rsidRPr="00AC50FD">
        <w:rPr>
          <w:rFonts w:ascii="Arial" w:hAnsi="Arial" w:cs="Arial"/>
          <w:lang w:val="en-US"/>
        </w:rPr>
        <w:t xml:space="preserve">reduced progressively </w:t>
      </w:r>
      <w:r w:rsidR="008D7E0E" w:rsidRPr="00AC50FD">
        <w:rPr>
          <w:rFonts w:ascii="Arial" w:hAnsi="Arial" w:cs="Arial"/>
          <w:lang w:val="en-US"/>
        </w:rPr>
        <w:t xml:space="preserve">within the first 3 months after </w:t>
      </w:r>
      <w:r w:rsidRPr="00AC50FD">
        <w:rPr>
          <w:rFonts w:ascii="Arial" w:hAnsi="Arial" w:cs="Arial"/>
          <w:lang w:val="en-US"/>
        </w:rPr>
        <w:t>the first administration of the study agent</w:t>
      </w:r>
      <w:r w:rsidR="008D7E0E" w:rsidRPr="00AC50FD">
        <w:rPr>
          <w:rFonts w:ascii="Arial" w:hAnsi="Arial" w:cs="Arial"/>
          <w:lang w:val="en-US"/>
        </w:rPr>
        <w:t xml:space="preserve"> according to clinical judgment</w:t>
      </w:r>
      <w:r w:rsidRPr="00AC50FD">
        <w:rPr>
          <w:rFonts w:ascii="Arial" w:hAnsi="Arial" w:cs="Arial"/>
          <w:lang w:val="en-US"/>
        </w:rPr>
        <w:t xml:space="preserve">. </w:t>
      </w:r>
    </w:p>
    <w:p w:rsidR="008D7E0E" w:rsidRPr="00AC50FD" w:rsidRDefault="008D7E0E" w:rsidP="00411F8A">
      <w:pPr>
        <w:autoSpaceDE w:val="0"/>
        <w:autoSpaceDN w:val="0"/>
        <w:adjustRightInd w:val="0"/>
        <w:spacing w:after="0" w:line="360" w:lineRule="auto"/>
        <w:jc w:val="both"/>
        <w:rPr>
          <w:rFonts w:ascii="Arial" w:hAnsi="Arial" w:cs="Arial"/>
          <w:lang w:val="en-US"/>
        </w:rPr>
      </w:pPr>
    </w:p>
    <w:p w:rsidR="007C0154" w:rsidRPr="00AC50FD" w:rsidRDefault="007C0154" w:rsidP="00411F8A">
      <w:pPr>
        <w:autoSpaceDE w:val="0"/>
        <w:autoSpaceDN w:val="0"/>
        <w:adjustRightInd w:val="0"/>
        <w:spacing w:after="0" w:line="360" w:lineRule="auto"/>
        <w:jc w:val="both"/>
        <w:rPr>
          <w:rFonts w:ascii="Arial" w:hAnsi="Arial" w:cs="Arial"/>
          <w:lang w:val="en-US"/>
        </w:rPr>
      </w:pPr>
      <w:r w:rsidRPr="00AC50FD">
        <w:rPr>
          <w:rFonts w:ascii="Arial" w:hAnsi="Arial" w:cs="Arial"/>
          <w:lang w:val="en-US"/>
        </w:rPr>
        <w:t>Corticosteroid increments in the</w:t>
      </w:r>
      <w:r w:rsidR="0008353D">
        <w:rPr>
          <w:rFonts w:ascii="Arial" w:hAnsi="Arial" w:cs="Arial"/>
          <w:lang w:val="en-US"/>
        </w:rPr>
        <w:t xml:space="preserve"> event of flare </w:t>
      </w:r>
      <w:r w:rsidR="0008353D" w:rsidRPr="0008353D">
        <w:rPr>
          <w:rFonts w:ascii="Arial" w:hAnsi="Arial" w:cs="Arial"/>
          <w:highlight w:val="yellow"/>
          <w:lang w:val="en-US"/>
        </w:rPr>
        <w:t>were as follow</w:t>
      </w:r>
      <w:r w:rsidR="0008353D">
        <w:rPr>
          <w:rFonts w:ascii="Arial" w:hAnsi="Arial" w:cs="Arial"/>
          <w:lang w:val="en-US"/>
        </w:rPr>
        <w:t>:</w:t>
      </w:r>
      <w:r w:rsidRPr="00AC50FD">
        <w:rPr>
          <w:rFonts w:ascii="Arial" w:hAnsi="Arial" w:cs="Arial"/>
          <w:lang w:val="en-US"/>
        </w:rPr>
        <w:t xml:space="preserve"> </w:t>
      </w:r>
    </w:p>
    <w:p w:rsidR="00710180" w:rsidRPr="00AC50FD" w:rsidRDefault="00710180" w:rsidP="00411F8A">
      <w:pPr>
        <w:pStyle w:val="Prrafodelista"/>
        <w:numPr>
          <w:ilvl w:val="0"/>
          <w:numId w:val="4"/>
        </w:numPr>
        <w:autoSpaceDE w:val="0"/>
        <w:autoSpaceDN w:val="0"/>
        <w:adjustRightInd w:val="0"/>
        <w:spacing w:after="0" w:line="360" w:lineRule="auto"/>
        <w:jc w:val="both"/>
        <w:rPr>
          <w:rFonts w:ascii="Arial" w:hAnsi="Arial" w:cs="Arial"/>
          <w:lang w:val="en-US"/>
        </w:rPr>
      </w:pPr>
      <w:r w:rsidRPr="00AC50FD">
        <w:rPr>
          <w:rFonts w:ascii="Arial" w:hAnsi="Arial" w:cs="Arial"/>
          <w:lang w:val="en-US"/>
        </w:rPr>
        <w:t xml:space="preserve">Mild/moderate flare: oral prednisone was to be increased up to a maxim dose </w:t>
      </w:r>
      <w:r w:rsidR="007C0154" w:rsidRPr="00AC50FD">
        <w:rPr>
          <w:rFonts w:ascii="Arial" w:hAnsi="Arial" w:cs="Arial"/>
          <w:lang w:val="en-US"/>
        </w:rPr>
        <w:t xml:space="preserve">of </w:t>
      </w:r>
      <w:r w:rsidRPr="00AC50FD">
        <w:rPr>
          <w:rFonts w:ascii="Arial" w:hAnsi="Arial" w:cs="Arial"/>
          <w:lang w:val="en-US"/>
        </w:rPr>
        <w:t>0.5mg/kg and reduction was performed 5 mg/day every week to a maintenance dose of ≤7.5 mg/day</w:t>
      </w:r>
      <w:r w:rsidR="0008353D">
        <w:rPr>
          <w:rFonts w:ascii="Arial" w:hAnsi="Arial" w:cs="Arial"/>
          <w:lang w:val="en-US"/>
        </w:rPr>
        <w:t>.</w:t>
      </w:r>
    </w:p>
    <w:p w:rsidR="00710180" w:rsidRPr="00AC50FD" w:rsidRDefault="00710180" w:rsidP="00411F8A">
      <w:pPr>
        <w:pStyle w:val="Prrafodelista"/>
        <w:numPr>
          <w:ilvl w:val="0"/>
          <w:numId w:val="4"/>
        </w:numPr>
        <w:autoSpaceDE w:val="0"/>
        <w:autoSpaceDN w:val="0"/>
        <w:adjustRightInd w:val="0"/>
        <w:spacing w:after="0" w:line="360" w:lineRule="auto"/>
        <w:jc w:val="both"/>
        <w:rPr>
          <w:rFonts w:ascii="Arial" w:hAnsi="Arial" w:cs="Arial"/>
          <w:lang w:val="en-US"/>
        </w:rPr>
      </w:pPr>
      <w:r w:rsidRPr="00AC50FD">
        <w:rPr>
          <w:rFonts w:ascii="Arial" w:hAnsi="Arial" w:cs="Arial"/>
          <w:lang w:val="en-US"/>
        </w:rPr>
        <w:t>Severe flare: Methylprednisolone pulses were allowed (1 gr/day x 3 days) followed by oral prednisone (1 mg/kg) tapering 10 mg weekly until a maintenance dose of ≤7.5 mg/day</w:t>
      </w:r>
      <w:r w:rsidR="0008353D">
        <w:rPr>
          <w:rFonts w:ascii="Arial" w:hAnsi="Arial" w:cs="Arial"/>
          <w:lang w:val="en-US"/>
        </w:rPr>
        <w:t>.</w:t>
      </w:r>
    </w:p>
    <w:p w:rsidR="00710180" w:rsidRPr="00AC50FD" w:rsidRDefault="00710180" w:rsidP="00411F8A">
      <w:pPr>
        <w:autoSpaceDE w:val="0"/>
        <w:autoSpaceDN w:val="0"/>
        <w:adjustRightInd w:val="0"/>
        <w:spacing w:after="0" w:line="360" w:lineRule="auto"/>
        <w:ind w:left="45"/>
        <w:jc w:val="both"/>
        <w:rPr>
          <w:rFonts w:ascii="Arial" w:hAnsi="Arial" w:cs="Arial"/>
          <w:lang w:val="en-US"/>
        </w:rPr>
      </w:pPr>
    </w:p>
    <w:p w:rsidR="00710180" w:rsidRPr="00AC50FD" w:rsidRDefault="00710180" w:rsidP="00411F8A">
      <w:pPr>
        <w:autoSpaceDE w:val="0"/>
        <w:autoSpaceDN w:val="0"/>
        <w:adjustRightInd w:val="0"/>
        <w:spacing w:after="0" w:line="360" w:lineRule="auto"/>
        <w:ind w:left="45"/>
        <w:jc w:val="both"/>
        <w:rPr>
          <w:rFonts w:ascii="Arial" w:hAnsi="Arial" w:cs="Arial"/>
          <w:lang w:val="en-US"/>
        </w:rPr>
      </w:pPr>
      <w:r w:rsidRPr="00AC50FD">
        <w:rPr>
          <w:rFonts w:ascii="Arial" w:hAnsi="Arial" w:cs="Arial"/>
          <w:b/>
          <w:lang w:val="en-US"/>
        </w:rPr>
        <w:t>2.</w:t>
      </w:r>
      <w:r w:rsidR="00E0051E" w:rsidRPr="00AC50FD">
        <w:rPr>
          <w:rFonts w:ascii="Arial" w:hAnsi="Arial" w:cs="Arial"/>
          <w:b/>
          <w:lang w:val="en-US"/>
        </w:rPr>
        <w:t xml:space="preserve"> </w:t>
      </w:r>
      <w:r w:rsidRPr="00AC50FD">
        <w:rPr>
          <w:rFonts w:ascii="Arial" w:hAnsi="Arial" w:cs="Arial"/>
          <w:b/>
          <w:lang w:val="en-US"/>
        </w:rPr>
        <w:t>Antimalarials</w:t>
      </w:r>
      <w:r w:rsidRPr="00AC50FD">
        <w:rPr>
          <w:rFonts w:ascii="Arial" w:hAnsi="Arial" w:cs="Arial"/>
          <w:lang w:val="en-US"/>
        </w:rPr>
        <w:t xml:space="preserve">: </w:t>
      </w:r>
      <w:r w:rsidR="007C0154" w:rsidRPr="00AC50FD">
        <w:rPr>
          <w:rFonts w:ascii="Arial" w:hAnsi="Arial" w:cs="Arial"/>
          <w:lang w:val="en-US"/>
        </w:rPr>
        <w:t>It was recommended stable treatment dose through the study. According to medical judgment beyond week 24 it was permitted to adjust dosing of antimalarials.</w:t>
      </w:r>
    </w:p>
    <w:p w:rsidR="000A76FE" w:rsidRPr="00AC50FD" w:rsidRDefault="000A76FE" w:rsidP="00411F8A">
      <w:pPr>
        <w:autoSpaceDE w:val="0"/>
        <w:autoSpaceDN w:val="0"/>
        <w:adjustRightInd w:val="0"/>
        <w:spacing w:after="0" w:line="360" w:lineRule="auto"/>
        <w:ind w:left="45"/>
        <w:jc w:val="both"/>
        <w:rPr>
          <w:rFonts w:ascii="Arial" w:hAnsi="Arial" w:cs="Arial"/>
          <w:lang w:val="en-US"/>
        </w:rPr>
      </w:pPr>
    </w:p>
    <w:p w:rsidR="00AC50FD" w:rsidRDefault="0023113E" w:rsidP="00411F8A">
      <w:pPr>
        <w:autoSpaceDE w:val="0"/>
        <w:autoSpaceDN w:val="0"/>
        <w:adjustRightInd w:val="0"/>
        <w:spacing w:after="0" w:line="360" w:lineRule="auto"/>
        <w:ind w:left="45"/>
        <w:jc w:val="both"/>
        <w:rPr>
          <w:rFonts w:ascii="Arial" w:hAnsi="Arial" w:cs="Arial"/>
          <w:lang w:val="en-US"/>
        </w:rPr>
      </w:pPr>
      <w:r w:rsidRPr="00AC50FD">
        <w:rPr>
          <w:rFonts w:ascii="Arial" w:hAnsi="Arial" w:cs="Arial"/>
          <w:b/>
          <w:lang w:val="en-US"/>
        </w:rPr>
        <w:t>3</w:t>
      </w:r>
      <w:r w:rsidRPr="00AC50FD">
        <w:rPr>
          <w:rFonts w:ascii="Arial" w:hAnsi="Arial" w:cs="Arial"/>
          <w:lang w:val="en-US"/>
        </w:rPr>
        <w:t xml:space="preserve">. </w:t>
      </w:r>
      <w:r w:rsidRPr="00AC50FD">
        <w:rPr>
          <w:rFonts w:ascii="Arial" w:hAnsi="Arial" w:cs="Arial"/>
          <w:b/>
          <w:lang w:val="en-US"/>
        </w:rPr>
        <w:t>No</w:t>
      </w:r>
      <w:r w:rsidR="0008353D">
        <w:rPr>
          <w:rFonts w:ascii="Arial" w:hAnsi="Arial" w:cs="Arial"/>
          <w:b/>
          <w:lang w:val="en-US"/>
        </w:rPr>
        <w:t>n</w:t>
      </w:r>
      <w:r w:rsidRPr="00AC50FD">
        <w:rPr>
          <w:rFonts w:ascii="Arial" w:hAnsi="Arial" w:cs="Arial"/>
          <w:b/>
          <w:lang w:val="en-US"/>
        </w:rPr>
        <w:t xml:space="preserve">steroidal </w:t>
      </w:r>
      <w:r w:rsidR="00043E0D" w:rsidRPr="00AC50FD">
        <w:rPr>
          <w:rFonts w:ascii="Arial" w:hAnsi="Arial" w:cs="Arial"/>
          <w:b/>
          <w:lang w:val="en-US"/>
        </w:rPr>
        <w:t>a</w:t>
      </w:r>
      <w:r w:rsidRPr="00AC50FD">
        <w:rPr>
          <w:rFonts w:ascii="Arial" w:hAnsi="Arial" w:cs="Arial"/>
          <w:b/>
          <w:lang w:val="en-US"/>
        </w:rPr>
        <w:t xml:space="preserve">nti-inflammatory </w:t>
      </w:r>
      <w:r w:rsidR="00F179F1" w:rsidRPr="00AC50FD">
        <w:rPr>
          <w:rFonts w:ascii="Arial" w:hAnsi="Arial" w:cs="Arial"/>
          <w:b/>
          <w:lang w:val="en-US"/>
        </w:rPr>
        <w:t>drugs</w:t>
      </w:r>
      <w:r w:rsidR="0008353D">
        <w:rPr>
          <w:rFonts w:ascii="Arial" w:hAnsi="Arial" w:cs="Arial"/>
          <w:b/>
          <w:lang w:val="en-US"/>
        </w:rPr>
        <w:t xml:space="preserve"> (NSAIDS)</w:t>
      </w:r>
      <w:r w:rsidRPr="00AC50FD">
        <w:rPr>
          <w:rFonts w:ascii="Arial" w:hAnsi="Arial" w:cs="Arial"/>
          <w:b/>
          <w:lang w:val="en-US"/>
        </w:rPr>
        <w:t xml:space="preserve">: </w:t>
      </w:r>
      <w:r w:rsidRPr="00AC50FD">
        <w:rPr>
          <w:rFonts w:ascii="Arial" w:hAnsi="Arial" w:cs="Arial"/>
          <w:lang w:val="en-US"/>
        </w:rPr>
        <w:t xml:space="preserve">NSAIDS and other analgesics were prescribed at the marketed approved doses and had to remained stable at least 2 weeks prior to the first study agent dose and though week 12. Addition of new NSAIDS was not permitted for the treatment of lupus-related disease. After week 12 adjustments in NSAIDs therapy were allowed. </w:t>
      </w:r>
    </w:p>
    <w:p w:rsidR="00AC50FD" w:rsidRPr="00AC50FD" w:rsidRDefault="00AC50FD" w:rsidP="00411F8A">
      <w:pPr>
        <w:autoSpaceDE w:val="0"/>
        <w:autoSpaceDN w:val="0"/>
        <w:adjustRightInd w:val="0"/>
        <w:spacing w:after="0" w:line="360" w:lineRule="auto"/>
        <w:ind w:left="45"/>
        <w:jc w:val="both"/>
        <w:rPr>
          <w:rFonts w:ascii="Arial" w:hAnsi="Arial" w:cs="Arial"/>
          <w:lang w:val="en-US"/>
        </w:rPr>
      </w:pPr>
    </w:p>
    <w:p w:rsidR="005628D7" w:rsidRPr="00AC50FD" w:rsidRDefault="0023113E" w:rsidP="00411F8A">
      <w:pPr>
        <w:autoSpaceDE w:val="0"/>
        <w:autoSpaceDN w:val="0"/>
        <w:adjustRightInd w:val="0"/>
        <w:spacing w:after="0" w:line="360" w:lineRule="auto"/>
        <w:ind w:left="45"/>
        <w:jc w:val="both"/>
        <w:rPr>
          <w:rFonts w:ascii="Arial" w:hAnsi="Arial" w:cs="Arial"/>
          <w:lang w:val="en-US"/>
        </w:rPr>
      </w:pPr>
      <w:r w:rsidRPr="00AC50FD">
        <w:rPr>
          <w:rFonts w:ascii="Arial" w:hAnsi="Arial" w:cs="Arial"/>
          <w:b/>
          <w:lang w:val="en-US"/>
        </w:rPr>
        <w:t>4</w:t>
      </w:r>
      <w:r w:rsidR="00710180" w:rsidRPr="00AC50FD">
        <w:rPr>
          <w:rFonts w:ascii="Arial" w:hAnsi="Arial" w:cs="Arial"/>
          <w:b/>
          <w:lang w:val="en-US"/>
        </w:rPr>
        <w:t xml:space="preserve">. </w:t>
      </w:r>
      <w:r w:rsidR="00F179F1" w:rsidRPr="00AC50FD">
        <w:rPr>
          <w:rFonts w:ascii="Arial" w:hAnsi="Arial" w:cs="Arial"/>
          <w:lang w:val="en-US"/>
        </w:rPr>
        <w:t xml:space="preserve">Drugs </w:t>
      </w:r>
      <w:r w:rsidR="005C4BDC" w:rsidRPr="00AC50FD">
        <w:rPr>
          <w:rFonts w:ascii="Arial" w:hAnsi="Arial" w:cs="Arial"/>
          <w:lang w:val="en-US"/>
        </w:rPr>
        <w:t>which can affect the azathioprin</w:t>
      </w:r>
      <w:r w:rsidR="0008353D">
        <w:rPr>
          <w:rFonts w:ascii="Arial" w:hAnsi="Arial" w:cs="Arial"/>
          <w:lang w:val="en-US"/>
        </w:rPr>
        <w:t>e metabolism were forbidden (</w:t>
      </w:r>
      <w:proofErr w:type="spellStart"/>
      <w:r w:rsidR="0008353D">
        <w:rPr>
          <w:rFonts w:ascii="Arial" w:hAnsi="Arial" w:cs="Arial"/>
          <w:lang w:val="en-US"/>
        </w:rPr>
        <w:t>eg</w:t>
      </w:r>
      <w:proofErr w:type="spellEnd"/>
      <w:r w:rsidR="0008353D">
        <w:rPr>
          <w:rFonts w:ascii="Arial" w:hAnsi="Arial" w:cs="Arial"/>
          <w:lang w:val="en-US"/>
        </w:rPr>
        <w:t>,</w:t>
      </w:r>
      <w:r w:rsidR="005C4BDC" w:rsidRPr="00AC50FD">
        <w:rPr>
          <w:rFonts w:ascii="Arial" w:hAnsi="Arial" w:cs="Arial"/>
          <w:lang w:val="en-US"/>
        </w:rPr>
        <w:t xml:space="preserve"> </w:t>
      </w:r>
      <w:proofErr w:type="spellStart"/>
      <w:r w:rsidR="005C4BDC" w:rsidRPr="00AC50FD">
        <w:rPr>
          <w:rFonts w:ascii="Arial" w:hAnsi="Arial" w:cs="Arial"/>
          <w:lang w:val="en-US"/>
        </w:rPr>
        <w:t>Allopurinol</w:t>
      </w:r>
      <w:proofErr w:type="spellEnd"/>
      <w:r w:rsidR="005C4BDC" w:rsidRPr="00AC50FD">
        <w:rPr>
          <w:rFonts w:ascii="Arial" w:hAnsi="Arial" w:cs="Arial"/>
          <w:lang w:val="en-US"/>
        </w:rPr>
        <w:t>)</w:t>
      </w:r>
    </w:p>
    <w:p w:rsidR="00E87F34" w:rsidRPr="00AC50FD" w:rsidRDefault="00E87F34" w:rsidP="00411F8A">
      <w:pPr>
        <w:autoSpaceDE w:val="0"/>
        <w:autoSpaceDN w:val="0"/>
        <w:adjustRightInd w:val="0"/>
        <w:spacing w:after="0" w:line="360" w:lineRule="auto"/>
        <w:ind w:left="45"/>
        <w:jc w:val="both"/>
        <w:rPr>
          <w:rFonts w:ascii="Arial" w:hAnsi="Arial" w:cs="Arial"/>
          <w:b/>
          <w:lang w:val="en-US"/>
        </w:rPr>
      </w:pPr>
    </w:p>
    <w:p w:rsidR="00E87F34" w:rsidRPr="00AC50FD" w:rsidRDefault="00583482" w:rsidP="00E87F34">
      <w:pPr>
        <w:autoSpaceDE w:val="0"/>
        <w:autoSpaceDN w:val="0"/>
        <w:adjustRightInd w:val="0"/>
        <w:spacing w:after="0" w:line="360" w:lineRule="auto"/>
        <w:jc w:val="both"/>
        <w:rPr>
          <w:rFonts w:ascii="Arial" w:hAnsi="Arial" w:cs="Arial"/>
          <w:b/>
          <w:lang w:val="en-US"/>
        </w:rPr>
      </w:pPr>
      <w:r w:rsidRPr="00AC50FD">
        <w:rPr>
          <w:rFonts w:ascii="Arial" w:hAnsi="Arial" w:cs="Arial"/>
          <w:b/>
          <w:lang w:val="en-US"/>
        </w:rPr>
        <w:t>5. Prohibited rescue therapies</w:t>
      </w:r>
    </w:p>
    <w:p w:rsidR="00DA67BF" w:rsidRPr="00AC50FD" w:rsidRDefault="00DA67BF" w:rsidP="00E87F34">
      <w:pPr>
        <w:autoSpaceDE w:val="0"/>
        <w:autoSpaceDN w:val="0"/>
        <w:adjustRightInd w:val="0"/>
        <w:spacing w:after="0" w:line="360" w:lineRule="auto"/>
        <w:jc w:val="both"/>
        <w:rPr>
          <w:rFonts w:ascii="Arial" w:hAnsi="Arial" w:cs="Arial"/>
          <w:lang w:val="en-US"/>
        </w:rPr>
      </w:pPr>
      <w:r w:rsidRPr="00AC50FD">
        <w:rPr>
          <w:rFonts w:ascii="Arial" w:hAnsi="Arial" w:cs="Arial"/>
          <w:lang w:val="en-US"/>
        </w:rPr>
        <w:t>1. Biologic agents targeted at reducing TNFα (including but not limited to infliximab, golimumab, etanercept and adalimumab)</w:t>
      </w:r>
    </w:p>
    <w:p w:rsidR="00DA67BF" w:rsidRPr="00AC50FD" w:rsidRDefault="00DA67BF" w:rsidP="00E87F34">
      <w:pPr>
        <w:autoSpaceDE w:val="0"/>
        <w:autoSpaceDN w:val="0"/>
        <w:adjustRightInd w:val="0"/>
        <w:spacing w:after="0" w:line="360" w:lineRule="auto"/>
        <w:jc w:val="both"/>
        <w:rPr>
          <w:rFonts w:ascii="Arial" w:hAnsi="Arial" w:cs="Arial"/>
          <w:lang w:val="en-US"/>
        </w:rPr>
      </w:pPr>
      <w:r w:rsidRPr="00AC50FD">
        <w:rPr>
          <w:rFonts w:ascii="Arial" w:hAnsi="Arial" w:cs="Arial"/>
          <w:lang w:val="en-US"/>
        </w:rPr>
        <w:t xml:space="preserve">2. B-cell depleting agents (anti-CD20 </w:t>
      </w:r>
      <w:r w:rsidR="00FE07A5" w:rsidRPr="00AC50FD">
        <w:rPr>
          <w:rFonts w:ascii="Arial" w:hAnsi="Arial" w:cs="Arial"/>
          <w:lang w:val="en-US"/>
        </w:rPr>
        <w:t>[</w:t>
      </w:r>
      <w:proofErr w:type="spellStart"/>
      <w:r w:rsidRPr="00AC50FD">
        <w:rPr>
          <w:rFonts w:ascii="Arial" w:hAnsi="Arial" w:cs="Arial"/>
          <w:lang w:val="en-US"/>
        </w:rPr>
        <w:t>eg</w:t>
      </w:r>
      <w:proofErr w:type="spellEnd"/>
      <w:r w:rsidR="0008353D">
        <w:rPr>
          <w:rFonts w:ascii="Arial" w:hAnsi="Arial" w:cs="Arial"/>
          <w:lang w:val="en-US"/>
        </w:rPr>
        <w:t>,</w:t>
      </w:r>
      <w:r w:rsidR="00FE07A5" w:rsidRPr="00AC50FD">
        <w:rPr>
          <w:rFonts w:ascii="Arial" w:hAnsi="Arial" w:cs="Arial"/>
          <w:lang w:val="en-US"/>
        </w:rPr>
        <w:t xml:space="preserve"> Rituximab]</w:t>
      </w:r>
    </w:p>
    <w:p w:rsidR="00FE07A5" w:rsidRPr="00AC50FD" w:rsidRDefault="0008353D" w:rsidP="00E87F34">
      <w:pPr>
        <w:autoSpaceDE w:val="0"/>
        <w:autoSpaceDN w:val="0"/>
        <w:adjustRightInd w:val="0"/>
        <w:spacing w:after="0" w:line="360" w:lineRule="auto"/>
        <w:jc w:val="both"/>
        <w:rPr>
          <w:rFonts w:ascii="Arial" w:hAnsi="Arial" w:cs="Arial"/>
          <w:lang w:val="en-US"/>
        </w:rPr>
      </w:pPr>
      <w:r>
        <w:rPr>
          <w:rFonts w:ascii="Arial" w:hAnsi="Arial" w:cs="Arial"/>
          <w:lang w:val="en-US"/>
        </w:rPr>
        <w:t>3. Interleukin-1 inhibitors (</w:t>
      </w:r>
      <w:proofErr w:type="spellStart"/>
      <w:r>
        <w:rPr>
          <w:rFonts w:ascii="Arial" w:hAnsi="Arial" w:cs="Arial"/>
          <w:lang w:val="en-US"/>
        </w:rPr>
        <w:t>eg</w:t>
      </w:r>
      <w:proofErr w:type="spellEnd"/>
      <w:r>
        <w:rPr>
          <w:rFonts w:ascii="Arial" w:hAnsi="Arial" w:cs="Arial"/>
          <w:lang w:val="en-US"/>
        </w:rPr>
        <w:t>,</w:t>
      </w:r>
      <w:r w:rsidR="00FE07A5" w:rsidRPr="00AC50FD">
        <w:rPr>
          <w:rFonts w:ascii="Arial" w:hAnsi="Arial" w:cs="Arial"/>
          <w:lang w:val="en-US"/>
        </w:rPr>
        <w:t xml:space="preserve"> </w:t>
      </w:r>
      <w:proofErr w:type="spellStart"/>
      <w:r w:rsidR="00FE07A5" w:rsidRPr="00AC50FD">
        <w:rPr>
          <w:rFonts w:ascii="Arial" w:hAnsi="Arial" w:cs="Arial"/>
          <w:lang w:val="en-US"/>
        </w:rPr>
        <w:t>Anakinra</w:t>
      </w:r>
      <w:proofErr w:type="spellEnd"/>
      <w:r w:rsidR="00FE07A5" w:rsidRPr="00AC50FD">
        <w:rPr>
          <w:rFonts w:ascii="Arial" w:hAnsi="Arial" w:cs="Arial"/>
          <w:lang w:val="en-US"/>
        </w:rPr>
        <w:t>)</w:t>
      </w:r>
    </w:p>
    <w:p w:rsidR="00FE07A5" w:rsidRPr="00AC50FD" w:rsidRDefault="0008353D" w:rsidP="00E87F34">
      <w:pPr>
        <w:autoSpaceDE w:val="0"/>
        <w:autoSpaceDN w:val="0"/>
        <w:adjustRightInd w:val="0"/>
        <w:spacing w:after="0" w:line="360" w:lineRule="auto"/>
        <w:jc w:val="both"/>
        <w:rPr>
          <w:rFonts w:ascii="Arial" w:hAnsi="Arial" w:cs="Arial"/>
          <w:lang w:val="en-US"/>
        </w:rPr>
      </w:pPr>
      <w:r>
        <w:rPr>
          <w:rFonts w:ascii="Arial" w:hAnsi="Arial" w:cs="Arial"/>
          <w:lang w:val="en-US"/>
        </w:rPr>
        <w:t>4. Calcineurin agents (</w:t>
      </w:r>
      <w:proofErr w:type="spellStart"/>
      <w:r>
        <w:rPr>
          <w:rFonts w:ascii="Arial" w:hAnsi="Arial" w:cs="Arial"/>
          <w:lang w:val="en-US"/>
        </w:rPr>
        <w:t>eg</w:t>
      </w:r>
      <w:proofErr w:type="spellEnd"/>
      <w:r>
        <w:rPr>
          <w:rFonts w:ascii="Arial" w:hAnsi="Arial" w:cs="Arial"/>
          <w:lang w:val="en-US"/>
        </w:rPr>
        <w:t>,</w:t>
      </w:r>
      <w:r w:rsidR="00FE07A5" w:rsidRPr="00AC50FD">
        <w:rPr>
          <w:rFonts w:ascii="Arial" w:hAnsi="Arial" w:cs="Arial"/>
          <w:lang w:val="en-US"/>
        </w:rPr>
        <w:t xml:space="preserve"> Tacrolimus, cyclosporine A)</w:t>
      </w:r>
    </w:p>
    <w:p w:rsidR="00FE07A5" w:rsidRPr="00AC50FD" w:rsidRDefault="00FE07A5" w:rsidP="00E87F34">
      <w:pPr>
        <w:autoSpaceDE w:val="0"/>
        <w:autoSpaceDN w:val="0"/>
        <w:adjustRightInd w:val="0"/>
        <w:spacing w:after="0" w:line="360" w:lineRule="auto"/>
        <w:jc w:val="both"/>
        <w:rPr>
          <w:rFonts w:ascii="Arial" w:hAnsi="Arial" w:cs="Arial"/>
          <w:lang w:val="en-US"/>
        </w:rPr>
      </w:pPr>
      <w:r w:rsidRPr="00AC50FD">
        <w:rPr>
          <w:rFonts w:ascii="Arial" w:hAnsi="Arial" w:cs="Arial"/>
          <w:lang w:val="en-US"/>
        </w:rPr>
        <w:t>5. Cytotoxic drugs such as cyclophosphamide</w:t>
      </w:r>
    </w:p>
    <w:p w:rsidR="00FE07A5" w:rsidRPr="00AC50FD" w:rsidRDefault="00FE07A5" w:rsidP="00E87F34">
      <w:pPr>
        <w:autoSpaceDE w:val="0"/>
        <w:autoSpaceDN w:val="0"/>
        <w:adjustRightInd w:val="0"/>
        <w:spacing w:after="0" w:line="360" w:lineRule="auto"/>
        <w:jc w:val="both"/>
        <w:rPr>
          <w:rFonts w:ascii="Arial" w:hAnsi="Arial" w:cs="Arial"/>
          <w:lang w:val="en-US"/>
        </w:rPr>
      </w:pPr>
      <w:r w:rsidRPr="00AC50FD">
        <w:rPr>
          <w:rFonts w:ascii="Arial" w:hAnsi="Arial" w:cs="Arial"/>
          <w:lang w:val="en-US"/>
        </w:rPr>
        <w:t>6. Thalidomide/ Lenalidomide</w:t>
      </w:r>
    </w:p>
    <w:p w:rsidR="00FE07A5" w:rsidRPr="00AC50FD" w:rsidRDefault="00FE07A5" w:rsidP="00E87F34">
      <w:pPr>
        <w:autoSpaceDE w:val="0"/>
        <w:autoSpaceDN w:val="0"/>
        <w:adjustRightInd w:val="0"/>
        <w:spacing w:after="0" w:line="360" w:lineRule="auto"/>
        <w:jc w:val="both"/>
        <w:rPr>
          <w:rFonts w:ascii="Arial" w:hAnsi="Arial" w:cs="Arial"/>
          <w:lang w:val="en-US"/>
        </w:rPr>
      </w:pPr>
      <w:r w:rsidRPr="00AC50FD">
        <w:rPr>
          <w:rFonts w:ascii="Arial" w:hAnsi="Arial" w:cs="Arial"/>
          <w:lang w:val="en-US"/>
        </w:rPr>
        <w:t xml:space="preserve">7. Pulses of Methylprednisolone (1000 mg </w:t>
      </w:r>
      <w:proofErr w:type="gramStart"/>
      <w:r w:rsidRPr="00AC50FD">
        <w:rPr>
          <w:rFonts w:ascii="Arial" w:hAnsi="Arial" w:cs="Arial"/>
          <w:lang w:val="en-US"/>
        </w:rPr>
        <w:t>iv</w:t>
      </w:r>
      <w:proofErr w:type="gramEnd"/>
      <w:r w:rsidRPr="00AC50FD">
        <w:rPr>
          <w:rFonts w:ascii="Arial" w:hAnsi="Arial" w:cs="Arial"/>
          <w:lang w:val="en-US"/>
        </w:rPr>
        <w:t xml:space="preserve"> x 3 days)</w:t>
      </w:r>
      <w:bookmarkStart w:id="0" w:name="_GoBack"/>
      <w:bookmarkEnd w:id="0"/>
    </w:p>
    <w:p w:rsidR="00411F8A" w:rsidRPr="00AC50FD" w:rsidRDefault="00411F8A" w:rsidP="00411F8A">
      <w:pPr>
        <w:autoSpaceDE w:val="0"/>
        <w:autoSpaceDN w:val="0"/>
        <w:adjustRightInd w:val="0"/>
        <w:spacing w:after="0" w:line="360" w:lineRule="auto"/>
        <w:ind w:left="45"/>
        <w:jc w:val="both"/>
        <w:rPr>
          <w:rFonts w:ascii="Arial" w:hAnsi="Arial" w:cs="Arial"/>
          <w:lang w:val="en-US"/>
        </w:rPr>
      </w:pPr>
    </w:p>
    <w:p w:rsidR="007C2E31" w:rsidRPr="00AC50FD" w:rsidRDefault="007C2E31" w:rsidP="00411F8A">
      <w:pPr>
        <w:spacing w:line="360" w:lineRule="auto"/>
        <w:jc w:val="both"/>
        <w:rPr>
          <w:rFonts w:ascii="Arial" w:hAnsi="Arial" w:cs="Arial"/>
          <w:b/>
          <w:i/>
          <w:lang w:val="en-US"/>
        </w:rPr>
      </w:pPr>
      <w:r w:rsidRPr="00AC50FD">
        <w:rPr>
          <w:rFonts w:ascii="Arial" w:hAnsi="Arial" w:cs="Arial"/>
          <w:b/>
          <w:i/>
          <w:lang w:val="en-US"/>
        </w:rPr>
        <w:t>6. Patient with</w:t>
      </w:r>
      <w:r w:rsidR="00F179F1" w:rsidRPr="00AC50FD">
        <w:rPr>
          <w:rFonts w:ascii="Arial" w:hAnsi="Arial" w:cs="Arial"/>
          <w:b/>
          <w:i/>
          <w:lang w:val="en-US"/>
        </w:rPr>
        <w:t>dr</w:t>
      </w:r>
      <w:r w:rsidRPr="00AC50FD">
        <w:rPr>
          <w:rFonts w:ascii="Arial" w:hAnsi="Arial" w:cs="Arial"/>
          <w:b/>
          <w:i/>
          <w:lang w:val="en-US"/>
        </w:rPr>
        <w:t>awal</w:t>
      </w:r>
    </w:p>
    <w:p w:rsidR="005C4BDC" w:rsidRPr="00AC50FD" w:rsidRDefault="007054A9" w:rsidP="00411F8A">
      <w:pPr>
        <w:spacing w:line="360" w:lineRule="auto"/>
        <w:jc w:val="both"/>
        <w:rPr>
          <w:rFonts w:ascii="Arial" w:hAnsi="Arial" w:cs="Arial"/>
          <w:lang w:val="en-US"/>
        </w:rPr>
      </w:pPr>
      <w:r w:rsidRPr="00AC50FD">
        <w:rPr>
          <w:rFonts w:ascii="Arial" w:hAnsi="Arial" w:cs="Arial"/>
          <w:lang w:val="en-US"/>
        </w:rPr>
        <w:t>Subjects may with</w:t>
      </w:r>
      <w:r w:rsidR="00F179F1" w:rsidRPr="00AC50FD">
        <w:rPr>
          <w:rFonts w:ascii="Arial" w:hAnsi="Arial" w:cs="Arial"/>
          <w:lang w:val="en-US"/>
        </w:rPr>
        <w:t>draw</w:t>
      </w:r>
      <w:r w:rsidRPr="00AC50FD">
        <w:rPr>
          <w:rFonts w:ascii="Arial" w:hAnsi="Arial" w:cs="Arial"/>
          <w:lang w:val="en-US"/>
        </w:rPr>
        <w:t xml:space="preserve"> from the protocol at any time without any reason. In addition, patients would be with</w:t>
      </w:r>
      <w:r w:rsidR="00F179F1" w:rsidRPr="00AC50FD">
        <w:rPr>
          <w:rFonts w:ascii="Arial" w:hAnsi="Arial" w:cs="Arial"/>
          <w:lang w:val="en-US"/>
        </w:rPr>
        <w:t xml:space="preserve">drawn </w:t>
      </w:r>
      <w:r w:rsidR="00E0051E" w:rsidRPr="00AC50FD">
        <w:rPr>
          <w:rFonts w:ascii="Arial" w:hAnsi="Arial" w:cs="Arial"/>
          <w:lang w:val="en-US"/>
        </w:rPr>
        <w:t xml:space="preserve">for any of the following reasons: </w:t>
      </w:r>
    </w:p>
    <w:p w:rsidR="007054A9" w:rsidRPr="00AC50FD" w:rsidRDefault="00E0051E" w:rsidP="00411F8A">
      <w:pPr>
        <w:pStyle w:val="Prrafodelista"/>
        <w:numPr>
          <w:ilvl w:val="0"/>
          <w:numId w:val="5"/>
        </w:numPr>
        <w:spacing w:line="360" w:lineRule="auto"/>
        <w:jc w:val="both"/>
        <w:rPr>
          <w:rFonts w:ascii="Arial" w:hAnsi="Arial" w:cs="Arial"/>
          <w:lang w:val="en-US"/>
        </w:rPr>
      </w:pPr>
      <w:proofErr w:type="spellStart"/>
      <w:r w:rsidRPr="00AC50FD">
        <w:rPr>
          <w:rFonts w:ascii="Arial" w:hAnsi="Arial" w:cs="Arial"/>
          <w:lang w:val="en-US"/>
        </w:rPr>
        <w:t>Lost</w:t>
      </w:r>
      <w:proofErr w:type="spellEnd"/>
      <w:r w:rsidRPr="00AC50FD">
        <w:rPr>
          <w:rFonts w:ascii="Arial" w:hAnsi="Arial" w:cs="Arial"/>
          <w:lang w:val="en-US"/>
        </w:rPr>
        <w:t xml:space="preserve"> of follow up or death</w:t>
      </w:r>
    </w:p>
    <w:p w:rsidR="007C0154" w:rsidRPr="00AC50FD" w:rsidRDefault="00E0051E" w:rsidP="00411F8A">
      <w:pPr>
        <w:pStyle w:val="Prrafodelista"/>
        <w:numPr>
          <w:ilvl w:val="0"/>
          <w:numId w:val="5"/>
        </w:numPr>
        <w:spacing w:line="360" w:lineRule="auto"/>
        <w:jc w:val="both"/>
        <w:rPr>
          <w:rFonts w:ascii="Arial" w:hAnsi="Arial" w:cs="Arial"/>
          <w:lang w:val="en-US"/>
        </w:rPr>
      </w:pPr>
      <w:r w:rsidRPr="00AC50FD">
        <w:rPr>
          <w:rFonts w:ascii="Arial" w:hAnsi="Arial" w:cs="Arial"/>
          <w:lang w:val="en-US"/>
        </w:rPr>
        <w:t>With</w:t>
      </w:r>
      <w:r w:rsidR="00F179F1" w:rsidRPr="00AC50FD">
        <w:rPr>
          <w:rFonts w:ascii="Arial" w:hAnsi="Arial" w:cs="Arial"/>
          <w:lang w:val="en-US"/>
        </w:rPr>
        <w:t>drawa</w:t>
      </w:r>
      <w:r w:rsidRPr="00AC50FD">
        <w:rPr>
          <w:rFonts w:ascii="Arial" w:hAnsi="Arial" w:cs="Arial"/>
          <w:lang w:val="en-US"/>
        </w:rPr>
        <w:t>l of informed consent</w:t>
      </w:r>
    </w:p>
    <w:p w:rsidR="00E0051E" w:rsidRPr="00AC50FD" w:rsidRDefault="00E0051E" w:rsidP="00411F8A">
      <w:pPr>
        <w:pStyle w:val="Prrafodelista"/>
        <w:numPr>
          <w:ilvl w:val="0"/>
          <w:numId w:val="5"/>
        </w:numPr>
        <w:spacing w:line="360" w:lineRule="auto"/>
        <w:jc w:val="both"/>
        <w:rPr>
          <w:rFonts w:ascii="Arial" w:hAnsi="Arial" w:cs="Arial"/>
          <w:lang w:val="en-US"/>
        </w:rPr>
      </w:pPr>
      <w:r w:rsidRPr="00AC50FD">
        <w:rPr>
          <w:rFonts w:ascii="Arial" w:hAnsi="Arial" w:cs="Arial"/>
          <w:lang w:val="en-US"/>
        </w:rPr>
        <w:t>Lack of adherence with the protocol</w:t>
      </w:r>
    </w:p>
    <w:p w:rsidR="00E0051E" w:rsidRPr="00AC50FD" w:rsidRDefault="00E0051E" w:rsidP="00411F8A">
      <w:pPr>
        <w:pStyle w:val="Prrafodelista"/>
        <w:numPr>
          <w:ilvl w:val="0"/>
          <w:numId w:val="5"/>
        </w:numPr>
        <w:spacing w:line="360" w:lineRule="auto"/>
        <w:jc w:val="both"/>
        <w:rPr>
          <w:rFonts w:ascii="Arial" w:hAnsi="Arial" w:cs="Arial"/>
          <w:lang w:val="en-US"/>
        </w:rPr>
      </w:pPr>
      <w:r w:rsidRPr="00AC50FD">
        <w:rPr>
          <w:rFonts w:ascii="Arial" w:hAnsi="Arial" w:cs="Arial"/>
          <w:lang w:val="en-US"/>
        </w:rPr>
        <w:t>Development of a renal flare</w:t>
      </w:r>
    </w:p>
    <w:p w:rsidR="00E0051E" w:rsidRPr="00AC50FD" w:rsidRDefault="00E0051E" w:rsidP="00411F8A">
      <w:pPr>
        <w:pStyle w:val="Prrafodelista"/>
        <w:numPr>
          <w:ilvl w:val="0"/>
          <w:numId w:val="5"/>
        </w:numPr>
        <w:spacing w:line="360" w:lineRule="auto"/>
        <w:jc w:val="both"/>
        <w:rPr>
          <w:rFonts w:ascii="Arial" w:hAnsi="Arial" w:cs="Arial"/>
          <w:lang w:val="en-US"/>
        </w:rPr>
      </w:pPr>
      <w:r w:rsidRPr="00AC50FD">
        <w:rPr>
          <w:rFonts w:ascii="Arial" w:hAnsi="Arial" w:cs="Arial"/>
          <w:lang w:val="en-US"/>
        </w:rPr>
        <w:t>Lack of efficacy after at least 3 months of therapy</w:t>
      </w:r>
    </w:p>
    <w:p w:rsidR="002C5757" w:rsidRPr="00AC50FD" w:rsidRDefault="00E0051E" w:rsidP="009055B5">
      <w:pPr>
        <w:pStyle w:val="Prrafodelista"/>
        <w:numPr>
          <w:ilvl w:val="0"/>
          <w:numId w:val="5"/>
        </w:numPr>
        <w:spacing w:line="360" w:lineRule="auto"/>
        <w:jc w:val="both"/>
        <w:rPr>
          <w:rFonts w:ascii="Arial" w:hAnsi="Arial" w:cs="Arial"/>
          <w:lang w:val="en-US"/>
        </w:rPr>
      </w:pPr>
      <w:r w:rsidRPr="00AC50FD">
        <w:rPr>
          <w:rFonts w:ascii="Arial" w:hAnsi="Arial" w:cs="Arial"/>
          <w:lang w:val="en-US"/>
        </w:rPr>
        <w:t>Aggravation of SLE or the need for any forbidden immunosuppressant such as cyclophosphamide, IV immunoglobulins or anti-CD20</w:t>
      </w:r>
      <w:r w:rsidRPr="00043E0D">
        <w:rPr>
          <w:sz w:val="24"/>
          <w:szCs w:val="24"/>
          <w:lang w:val="en-US"/>
        </w:rPr>
        <w:t xml:space="preserve"> </w:t>
      </w:r>
      <w:r w:rsidRPr="00AC50FD">
        <w:rPr>
          <w:rFonts w:ascii="Arial" w:hAnsi="Arial" w:cs="Arial"/>
          <w:lang w:val="en-US"/>
        </w:rPr>
        <w:t>therapy</w:t>
      </w:r>
      <w:r w:rsidR="009055B5" w:rsidRPr="00AC50FD">
        <w:rPr>
          <w:rFonts w:ascii="Arial" w:hAnsi="Arial" w:cs="Arial"/>
          <w:lang w:val="en-US"/>
        </w:rPr>
        <w:t>.</w:t>
      </w:r>
    </w:p>
    <w:sectPr w:rsidR="002C5757" w:rsidRPr="00AC50FD" w:rsidSect="0008353D">
      <w:footerReference w:type="default" r:id="rId8"/>
      <w:pgSz w:w="11906" w:h="16838"/>
      <w:pgMar w:top="568" w:right="2408"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DF" w:rsidRDefault="00D50ADF" w:rsidP="00112A89">
      <w:pPr>
        <w:spacing w:after="0" w:line="240" w:lineRule="auto"/>
      </w:pPr>
      <w:r>
        <w:separator/>
      </w:r>
    </w:p>
  </w:endnote>
  <w:endnote w:type="continuationSeparator" w:id="0">
    <w:p w:rsidR="00D50ADF" w:rsidRDefault="00D50ADF" w:rsidP="00112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9829"/>
      <w:docPartObj>
        <w:docPartGallery w:val="Page Numbers (Bottom of Page)"/>
        <w:docPartUnique/>
      </w:docPartObj>
    </w:sdtPr>
    <w:sdtContent>
      <w:p w:rsidR="00710180" w:rsidRDefault="006F7ABB">
        <w:pPr>
          <w:pStyle w:val="Piedepgina"/>
          <w:jc w:val="center"/>
        </w:pPr>
        <w:r>
          <w:fldChar w:fldCharType="begin"/>
        </w:r>
        <w:r w:rsidR="00076B91">
          <w:instrText xml:space="preserve"> PAGE   \* MERGEFORMAT </w:instrText>
        </w:r>
        <w:r>
          <w:fldChar w:fldCharType="separate"/>
        </w:r>
        <w:r w:rsidR="0008353D">
          <w:rPr>
            <w:noProof/>
          </w:rPr>
          <w:t>5</w:t>
        </w:r>
        <w:r>
          <w:rPr>
            <w:noProof/>
          </w:rPr>
          <w:fldChar w:fldCharType="end"/>
        </w:r>
      </w:p>
    </w:sdtContent>
  </w:sdt>
  <w:p w:rsidR="00710180" w:rsidRDefault="007101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DF" w:rsidRDefault="00D50ADF" w:rsidP="00112A89">
      <w:pPr>
        <w:spacing w:after="0" w:line="240" w:lineRule="auto"/>
      </w:pPr>
      <w:r>
        <w:separator/>
      </w:r>
    </w:p>
  </w:footnote>
  <w:footnote w:type="continuationSeparator" w:id="0">
    <w:p w:rsidR="00D50ADF" w:rsidRDefault="00D50ADF" w:rsidP="00112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6D1D"/>
    <w:multiLevelType w:val="hybridMultilevel"/>
    <w:tmpl w:val="D3A60714"/>
    <w:lvl w:ilvl="0" w:tplc="3C6A2384">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56827D15"/>
    <w:multiLevelType w:val="hybridMultilevel"/>
    <w:tmpl w:val="A89601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00319C6"/>
    <w:multiLevelType w:val="hybridMultilevel"/>
    <w:tmpl w:val="404E728A"/>
    <w:lvl w:ilvl="0" w:tplc="9C808808">
      <w:start w:val="1"/>
      <w:numFmt w:val="decimal"/>
      <w:lvlText w:val="%1."/>
      <w:lvlJc w:val="left"/>
      <w:pPr>
        <w:tabs>
          <w:tab w:val="num" w:pos="786"/>
        </w:tabs>
        <w:ind w:left="786" w:hanging="360"/>
      </w:pPr>
      <w:rPr>
        <w:rFonts w:asciiTheme="minorHAnsi" w:hAnsiTheme="minorHAnsi"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6A591FF4"/>
    <w:multiLevelType w:val="hybridMultilevel"/>
    <w:tmpl w:val="3D7E5C1C"/>
    <w:lvl w:ilvl="0" w:tplc="0728CB06">
      <w:start w:val="1"/>
      <w:numFmt w:val="decimal"/>
      <w:lvlText w:val="%1."/>
      <w:lvlJc w:val="left"/>
      <w:pPr>
        <w:tabs>
          <w:tab w:val="num" w:pos="720"/>
        </w:tabs>
        <w:ind w:left="720" w:hanging="360"/>
      </w:pPr>
      <w:rPr>
        <w:rFonts w:cs="Times New Roman"/>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7E7A67FE"/>
    <w:multiLevelType w:val="hybridMultilevel"/>
    <w:tmpl w:val="AFAC01C6"/>
    <w:lvl w:ilvl="0" w:tplc="7D90850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fina Cortes Hernandez">
    <w15:presenceInfo w15:providerId="Windows Live" w15:userId="5cfb462d8a8be7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5782"/>
    <w:rsid w:val="00000EC8"/>
    <w:rsid w:val="00043E0D"/>
    <w:rsid w:val="00046805"/>
    <w:rsid w:val="000624C4"/>
    <w:rsid w:val="00072CDA"/>
    <w:rsid w:val="00076B91"/>
    <w:rsid w:val="00081B45"/>
    <w:rsid w:val="0008353D"/>
    <w:rsid w:val="0009142B"/>
    <w:rsid w:val="00096520"/>
    <w:rsid w:val="000A5383"/>
    <w:rsid w:val="000A76FE"/>
    <w:rsid w:val="000B2BE8"/>
    <w:rsid w:val="000B34B6"/>
    <w:rsid w:val="000D418B"/>
    <w:rsid w:val="000F1ABA"/>
    <w:rsid w:val="000F3FD4"/>
    <w:rsid w:val="000F535B"/>
    <w:rsid w:val="00101DCB"/>
    <w:rsid w:val="00103484"/>
    <w:rsid w:val="001074D5"/>
    <w:rsid w:val="0011237C"/>
    <w:rsid w:val="00112A89"/>
    <w:rsid w:val="0013255B"/>
    <w:rsid w:val="0016025C"/>
    <w:rsid w:val="00182F4D"/>
    <w:rsid w:val="00197F14"/>
    <w:rsid w:val="001A2672"/>
    <w:rsid w:val="001B2E8C"/>
    <w:rsid w:val="001E5CF9"/>
    <w:rsid w:val="001F0EBE"/>
    <w:rsid w:val="001F7189"/>
    <w:rsid w:val="0020531E"/>
    <w:rsid w:val="002124DD"/>
    <w:rsid w:val="0023113E"/>
    <w:rsid w:val="00244301"/>
    <w:rsid w:val="002558B1"/>
    <w:rsid w:val="0026286D"/>
    <w:rsid w:val="00286BA8"/>
    <w:rsid w:val="00290D23"/>
    <w:rsid w:val="002C5757"/>
    <w:rsid w:val="002D228C"/>
    <w:rsid w:val="002D2612"/>
    <w:rsid w:val="002F2441"/>
    <w:rsid w:val="002F2E93"/>
    <w:rsid w:val="002F2F47"/>
    <w:rsid w:val="002F7185"/>
    <w:rsid w:val="003705D2"/>
    <w:rsid w:val="00372FB9"/>
    <w:rsid w:val="003A21FB"/>
    <w:rsid w:val="003D5723"/>
    <w:rsid w:val="003F1A8C"/>
    <w:rsid w:val="00404DED"/>
    <w:rsid w:val="00405DAB"/>
    <w:rsid w:val="00406C84"/>
    <w:rsid w:val="00411F8A"/>
    <w:rsid w:val="0041732E"/>
    <w:rsid w:val="00430C51"/>
    <w:rsid w:val="0043170E"/>
    <w:rsid w:val="004410C5"/>
    <w:rsid w:val="004F7A6E"/>
    <w:rsid w:val="00502B58"/>
    <w:rsid w:val="0050733D"/>
    <w:rsid w:val="0053018D"/>
    <w:rsid w:val="00530D8F"/>
    <w:rsid w:val="005423CD"/>
    <w:rsid w:val="0054346A"/>
    <w:rsid w:val="0054766A"/>
    <w:rsid w:val="00554353"/>
    <w:rsid w:val="005628D7"/>
    <w:rsid w:val="005724A7"/>
    <w:rsid w:val="00583482"/>
    <w:rsid w:val="00591172"/>
    <w:rsid w:val="005A5DFE"/>
    <w:rsid w:val="005A6261"/>
    <w:rsid w:val="005B1EB6"/>
    <w:rsid w:val="005B4218"/>
    <w:rsid w:val="005C4BDC"/>
    <w:rsid w:val="005D735F"/>
    <w:rsid w:val="005E4451"/>
    <w:rsid w:val="005E65C7"/>
    <w:rsid w:val="005F700D"/>
    <w:rsid w:val="0061664B"/>
    <w:rsid w:val="006300EB"/>
    <w:rsid w:val="00641548"/>
    <w:rsid w:val="00650AA3"/>
    <w:rsid w:val="0066020B"/>
    <w:rsid w:val="00681B55"/>
    <w:rsid w:val="0069068B"/>
    <w:rsid w:val="006A3E42"/>
    <w:rsid w:val="006A45C8"/>
    <w:rsid w:val="006C6C97"/>
    <w:rsid w:val="006D5C4D"/>
    <w:rsid w:val="006E7AFE"/>
    <w:rsid w:val="006F7ABB"/>
    <w:rsid w:val="007054A9"/>
    <w:rsid w:val="00710180"/>
    <w:rsid w:val="00745782"/>
    <w:rsid w:val="00755836"/>
    <w:rsid w:val="00787AFF"/>
    <w:rsid w:val="007A1C15"/>
    <w:rsid w:val="007B0603"/>
    <w:rsid w:val="007B595D"/>
    <w:rsid w:val="007C0154"/>
    <w:rsid w:val="007C1E7E"/>
    <w:rsid w:val="007C2E31"/>
    <w:rsid w:val="007F0E2E"/>
    <w:rsid w:val="008211BE"/>
    <w:rsid w:val="008239CE"/>
    <w:rsid w:val="0085560D"/>
    <w:rsid w:val="008603B0"/>
    <w:rsid w:val="0086145E"/>
    <w:rsid w:val="00864C39"/>
    <w:rsid w:val="00873975"/>
    <w:rsid w:val="008B3EA4"/>
    <w:rsid w:val="008C1029"/>
    <w:rsid w:val="008C1D0B"/>
    <w:rsid w:val="008D33C0"/>
    <w:rsid w:val="008D7E0E"/>
    <w:rsid w:val="00900CC3"/>
    <w:rsid w:val="009055B5"/>
    <w:rsid w:val="00917ED8"/>
    <w:rsid w:val="00930A73"/>
    <w:rsid w:val="009477D8"/>
    <w:rsid w:val="00961664"/>
    <w:rsid w:val="00970362"/>
    <w:rsid w:val="00980838"/>
    <w:rsid w:val="009976ED"/>
    <w:rsid w:val="009A4F3A"/>
    <w:rsid w:val="009B25F9"/>
    <w:rsid w:val="009C6A7C"/>
    <w:rsid w:val="009D0704"/>
    <w:rsid w:val="009D7798"/>
    <w:rsid w:val="009E72ED"/>
    <w:rsid w:val="009E748D"/>
    <w:rsid w:val="009F6B31"/>
    <w:rsid w:val="00A03E5A"/>
    <w:rsid w:val="00A20D01"/>
    <w:rsid w:val="00A254A5"/>
    <w:rsid w:val="00A26EFF"/>
    <w:rsid w:val="00A3177A"/>
    <w:rsid w:val="00A4468B"/>
    <w:rsid w:val="00A63C86"/>
    <w:rsid w:val="00A6776E"/>
    <w:rsid w:val="00A772A0"/>
    <w:rsid w:val="00A82F90"/>
    <w:rsid w:val="00AA760F"/>
    <w:rsid w:val="00AC3624"/>
    <w:rsid w:val="00AC37BB"/>
    <w:rsid w:val="00AC3EE8"/>
    <w:rsid w:val="00AC50FD"/>
    <w:rsid w:val="00AD02B9"/>
    <w:rsid w:val="00AE3A86"/>
    <w:rsid w:val="00B043E6"/>
    <w:rsid w:val="00B2796D"/>
    <w:rsid w:val="00B40B1C"/>
    <w:rsid w:val="00B44302"/>
    <w:rsid w:val="00B457BF"/>
    <w:rsid w:val="00B62937"/>
    <w:rsid w:val="00B64F10"/>
    <w:rsid w:val="00B73748"/>
    <w:rsid w:val="00BB255F"/>
    <w:rsid w:val="00BD5804"/>
    <w:rsid w:val="00C019F4"/>
    <w:rsid w:val="00C309D6"/>
    <w:rsid w:val="00C36ED8"/>
    <w:rsid w:val="00C5104A"/>
    <w:rsid w:val="00C60289"/>
    <w:rsid w:val="00C614AA"/>
    <w:rsid w:val="00C80010"/>
    <w:rsid w:val="00C831B2"/>
    <w:rsid w:val="00C91A12"/>
    <w:rsid w:val="00C91BC5"/>
    <w:rsid w:val="00C93410"/>
    <w:rsid w:val="00D31B8A"/>
    <w:rsid w:val="00D34B45"/>
    <w:rsid w:val="00D504C0"/>
    <w:rsid w:val="00D50ADF"/>
    <w:rsid w:val="00D528DC"/>
    <w:rsid w:val="00D66B92"/>
    <w:rsid w:val="00D66C1C"/>
    <w:rsid w:val="00D924F1"/>
    <w:rsid w:val="00DA67BF"/>
    <w:rsid w:val="00DA767D"/>
    <w:rsid w:val="00DB7315"/>
    <w:rsid w:val="00DC36FB"/>
    <w:rsid w:val="00DC64A6"/>
    <w:rsid w:val="00DE598C"/>
    <w:rsid w:val="00E0051E"/>
    <w:rsid w:val="00E361FC"/>
    <w:rsid w:val="00E36975"/>
    <w:rsid w:val="00E446E0"/>
    <w:rsid w:val="00E56A8E"/>
    <w:rsid w:val="00E66DDF"/>
    <w:rsid w:val="00E70002"/>
    <w:rsid w:val="00E70E1C"/>
    <w:rsid w:val="00E71CC4"/>
    <w:rsid w:val="00E77341"/>
    <w:rsid w:val="00E83439"/>
    <w:rsid w:val="00E86B76"/>
    <w:rsid w:val="00E87F34"/>
    <w:rsid w:val="00E90BF3"/>
    <w:rsid w:val="00E91EDE"/>
    <w:rsid w:val="00EA1CF7"/>
    <w:rsid w:val="00ED6570"/>
    <w:rsid w:val="00EE0015"/>
    <w:rsid w:val="00EE74A3"/>
    <w:rsid w:val="00EE78B3"/>
    <w:rsid w:val="00EF021E"/>
    <w:rsid w:val="00EF7C4C"/>
    <w:rsid w:val="00F06219"/>
    <w:rsid w:val="00F07572"/>
    <w:rsid w:val="00F179F1"/>
    <w:rsid w:val="00F269F3"/>
    <w:rsid w:val="00F377D9"/>
    <w:rsid w:val="00F52CBD"/>
    <w:rsid w:val="00F6112C"/>
    <w:rsid w:val="00F95EAF"/>
    <w:rsid w:val="00FA009C"/>
    <w:rsid w:val="00FE07A5"/>
    <w:rsid w:val="00FF0412"/>
    <w:rsid w:val="00FF47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2"/>
  </w:style>
  <w:style w:type="paragraph" w:styleId="Ttulo3">
    <w:name w:val="heading 3"/>
    <w:basedOn w:val="Normal"/>
    <w:next w:val="Normal"/>
    <w:link w:val="Ttulo3Car"/>
    <w:uiPriority w:val="9"/>
    <w:semiHidden/>
    <w:unhideWhenUsed/>
    <w:qFormat/>
    <w:rsid w:val="00AA76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A677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scriptbodytext">
    <w:name w:val="Manuscript body text"/>
    <w:basedOn w:val="Normal"/>
    <w:link w:val="ManuscriptbodytextChar"/>
    <w:rsid w:val="00745782"/>
    <w:pPr>
      <w:spacing w:after="0" w:line="480" w:lineRule="auto"/>
    </w:pPr>
    <w:rPr>
      <w:rFonts w:ascii="Arial" w:eastAsia="Times New Roman" w:hAnsi="Arial" w:cs="Times New Roman"/>
      <w:szCs w:val="24"/>
      <w:lang w:val="en-GB"/>
    </w:rPr>
  </w:style>
  <w:style w:type="character" w:customStyle="1" w:styleId="ManuscriptbodytextChar">
    <w:name w:val="Manuscript body text Char"/>
    <w:basedOn w:val="Fuentedeprrafopredeter"/>
    <w:link w:val="Manuscriptbodytext"/>
    <w:locked/>
    <w:rsid w:val="00745782"/>
    <w:rPr>
      <w:rFonts w:ascii="Arial" w:eastAsia="Times New Roman" w:hAnsi="Arial" w:cs="Times New Roman"/>
      <w:szCs w:val="24"/>
      <w:lang w:val="en-GB"/>
    </w:rPr>
  </w:style>
  <w:style w:type="paragraph" w:styleId="Textodeglobo">
    <w:name w:val="Balloon Text"/>
    <w:basedOn w:val="Normal"/>
    <w:link w:val="TextodegloboCar"/>
    <w:uiPriority w:val="99"/>
    <w:semiHidden/>
    <w:unhideWhenUsed/>
    <w:rsid w:val="00C614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4AA"/>
    <w:rPr>
      <w:rFonts w:ascii="Tahoma" w:hAnsi="Tahoma" w:cs="Tahoma"/>
      <w:sz w:val="16"/>
      <w:szCs w:val="16"/>
    </w:rPr>
  </w:style>
  <w:style w:type="paragraph" w:styleId="Encabezado">
    <w:name w:val="header"/>
    <w:basedOn w:val="Normal"/>
    <w:link w:val="EncabezadoCar"/>
    <w:uiPriority w:val="99"/>
    <w:semiHidden/>
    <w:unhideWhenUsed/>
    <w:rsid w:val="00112A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2A89"/>
  </w:style>
  <w:style w:type="paragraph" w:styleId="Piedepgina">
    <w:name w:val="footer"/>
    <w:basedOn w:val="Normal"/>
    <w:link w:val="PiedepginaCar"/>
    <w:uiPriority w:val="99"/>
    <w:unhideWhenUsed/>
    <w:rsid w:val="00112A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A89"/>
  </w:style>
  <w:style w:type="character" w:styleId="Textoennegrita">
    <w:name w:val="Strong"/>
    <w:basedOn w:val="Fuentedeprrafopredeter"/>
    <w:uiPriority w:val="22"/>
    <w:qFormat/>
    <w:rsid w:val="00C60289"/>
    <w:rPr>
      <w:b/>
      <w:bCs/>
    </w:rPr>
  </w:style>
  <w:style w:type="paragraph" w:styleId="HTMLconformatoprevio">
    <w:name w:val="HTML Preformatted"/>
    <w:basedOn w:val="Normal"/>
    <w:link w:val="HTMLconformatoprevioCar"/>
    <w:uiPriority w:val="99"/>
    <w:semiHidden/>
    <w:unhideWhenUsed/>
    <w:rsid w:val="00F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95EAF"/>
    <w:rPr>
      <w:rFonts w:ascii="Courier New" w:eastAsia="Times New Roman" w:hAnsi="Courier New" w:cs="Courier New"/>
      <w:sz w:val="20"/>
      <w:szCs w:val="20"/>
      <w:lang w:eastAsia="es-ES"/>
    </w:rPr>
  </w:style>
  <w:style w:type="paragraph" w:styleId="Prrafodelista">
    <w:name w:val="List Paragraph"/>
    <w:basedOn w:val="Normal"/>
    <w:uiPriority w:val="34"/>
    <w:qFormat/>
    <w:rsid w:val="00900CC3"/>
    <w:pPr>
      <w:ind w:left="720"/>
      <w:contextualSpacing/>
    </w:pPr>
  </w:style>
  <w:style w:type="table" w:styleId="Sombreadoclaro">
    <w:name w:val="Light Shading"/>
    <w:basedOn w:val="Tablanormal"/>
    <w:uiPriority w:val="60"/>
    <w:rsid w:val="0061664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semiHidden/>
    <w:rsid w:val="00AA760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A6776E"/>
    <w:rPr>
      <w:rFonts w:asciiTheme="majorHAnsi" w:eastAsiaTheme="majorEastAsia" w:hAnsiTheme="majorHAnsi" w:cstheme="majorBidi"/>
      <w:i/>
      <w:iCs/>
      <w:color w:val="365F91" w:themeColor="accent1" w:themeShade="BF"/>
    </w:rPr>
  </w:style>
  <w:style w:type="character" w:styleId="Nmerodelnea">
    <w:name w:val="line number"/>
    <w:basedOn w:val="Fuentedeprrafopredeter"/>
    <w:uiPriority w:val="99"/>
    <w:semiHidden/>
    <w:unhideWhenUsed/>
    <w:rsid w:val="0085560D"/>
  </w:style>
</w:styles>
</file>

<file path=word/webSettings.xml><?xml version="1.0" encoding="utf-8"?>
<w:webSettings xmlns:r="http://schemas.openxmlformats.org/officeDocument/2006/relationships" xmlns:w="http://schemas.openxmlformats.org/wordprocessingml/2006/main">
  <w:divs>
    <w:div w:id="156844406">
      <w:bodyDiv w:val="1"/>
      <w:marLeft w:val="0"/>
      <w:marRight w:val="0"/>
      <w:marTop w:val="0"/>
      <w:marBottom w:val="0"/>
      <w:divBdr>
        <w:top w:val="none" w:sz="0" w:space="0" w:color="auto"/>
        <w:left w:val="none" w:sz="0" w:space="0" w:color="auto"/>
        <w:bottom w:val="none" w:sz="0" w:space="0" w:color="auto"/>
        <w:right w:val="none" w:sz="0" w:space="0" w:color="auto"/>
      </w:divBdr>
    </w:div>
    <w:div w:id="473523072">
      <w:bodyDiv w:val="1"/>
      <w:marLeft w:val="0"/>
      <w:marRight w:val="0"/>
      <w:marTop w:val="0"/>
      <w:marBottom w:val="0"/>
      <w:divBdr>
        <w:top w:val="none" w:sz="0" w:space="0" w:color="auto"/>
        <w:left w:val="none" w:sz="0" w:space="0" w:color="auto"/>
        <w:bottom w:val="none" w:sz="0" w:space="0" w:color="auto"/>
        <w:right w:val="none" w:sz="0" w:space="0" w:color="auto"/>
      </w:divBdr>
    </w:div>
    <w:div w:id="950355122">
      <w:bodyDiv w:val="1"/>
      <w:marLeft w:val="0"/>
      <w:marRight w:val="0"/>
      <w:marTop w:val="0"/>
      <w:marBottom w:val="0"/>
      <w:divBdr>
        <w:top w:val="none" w:sz="0" w:space="0" w:color="auto"/>
        <w:left w:val="none" w:sz="0" w:space="0" w:color="auto"/>
        <w:bottom w:val="none" w:sz="0" w:space="0" w:color="auto"/>
        <w:right w:val="none" w:sz="0" w:space="0" w:color="auto"/>
      </w:divBdr>
      <w:divsChild>
        <w:div w:id="2115320641">
          <w:marLeft w:val="0"/>
          <w:marRight w:val="0"/>
          <w:marTop w:val="0"/>
          <w:marBottom w:val="0"/>
          <w:divBdr>
            <w:top w:val="none" w:sz="0" w:space="0" w:color="auto"/>
            <w:left w:val="none" w:sz="0" w:space="0" w:color="auto"/>
            <w:bottom w:val="none" w:sz="0" w:space="0" w:color="auto"/>
            <w:right w:val="none" w:sz="0" w:space="0" w:color="auto"/>
          </w:divBdr>
          <w:divsChild>
            <w:div w:id="54161679">
              <w:marLeft w:val="0"/>
              <w:marRight w:val="0"/>
              <w:marTop w:val="0"/>
              <w:marBottom w:val="0"/>
              <w:divBdr>
                <w:top w:val="none" w:sz="0" w:space="0" w:color="auto"/>
                <w:left w:val="none" w:sz="0" w:space="0" w:color="auto"/>
                <w:bottom w:val="none" w:sz="0" w:space="0" w:color="auto"/>
                <w:right w:val="none" w:sz="0" w:space="0" w:color="auto"/>
              </w:divBdr>
              <w:divsChild>
                <w:div w:id="18115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277">
      <w:bodyDiv w:val="1"/>
      <w:marLeft w:val="0"/>
      <w:marRight w:val="0"/>
      <w:marTop w:val="0"/>
      <w:marBottom w:val="0"/>
      <w:divBdr>
        <w:top w:val="none" w:sz="0" w:space="0" w:color="auto"/>
        <w:left w:val="none" w:sz="0" w:space="0" w:color="auto"/>
        <w:bottom w:val="none" w:sz="0" w:space="0" w:color="auto"/>
        <w:right w:val="none" w:sz="0" w:space="0" w:color="auto"/>
      </w:divBdr>
    </w:div>
    <w:div w:id="1779637465">
      <w:bodyDiv w:val="1"/>
      <w:marLeft w:val="0"/>
      <w:marRight w:val="0"/>
      <w:marTop w:val="0"/>
      <w:marBottom w:val="0"/>
      <w:divBdr>
        <w:top w:val="none" w:sz="0" w:space="0" w:color="auto"/>
        <w:left w:val="none" w:sz="0" w:space="0" w:color="auto"/>
        <w:bottom w:val="none" w:sz="0" w:space="0" w:color="auto"/>
        <w:right w:val="none" w:sz="0" w:space="0" w:color="auto"/>
      </w:divBdr>
    </w:div>
    <w:div w:id="1837838312">
      <w:bodyDiv w:val="1"/>
      <w:marLeft w:val="0"/>
      <w:marRight w:val="0"/>
      <w:marTop w:val="0"/>
      <w:marBottom w:val="0"/>
      <w:divBdr>
        <w:top w:val="none" w:sz="0" w:space="0" w:color="auto"/>
        <w:left w:val="none" w:sz="0" w:space="0" w:color="auto"/>
        <w:bottom w:val="none" w:sz="0" w:space="0" w:color="auto"/>
        <w:right w:val="none" w:sz="0" w:space="0" w:color="auto"/>
      </w:divBdr>
      <w:divsChild>
        <w:div w:id="554052937">
          <w:marLeft w:val="0"/>
          <w:marRight w:val="0"/>
          <w:marTop w:val="0"/>
          <w:marBottom w:val="0"/>
          <w:divBdr>
            <w:top w:val="none" w:sz="0" w:space="0" w:color="auto"/>
            <w:left w:val="none" w:sz="0" w:space="0" w:color="auto"/>
            <w:bottom w:val="none" w:sz="0" w:space="0" w:color="auto"/>
            <w:right w:val="none" w:sz="0" w:space="0" w:color="auto"/>
          </w:divBdr>
        </w:div>
        <w:div w:id="1410271814">
          <w:marLeft w:val="0"/>
          <w:marRight w:val="0"/>
          <w:marTop w:val="0"/>
          <w:marBottom w:val="0"/>
          <w:divBdr>
            <w:top w:val="none" w:sz="0" w:space="0" w:color="auto"/>
            <w:left w:val="none" w:sz="0" w:space="0" w:color="auto"/>
            <w:bottom w:val="none" w:sz="0" w:space="0" w:color="auto"/>
            <w:right w:val="none" w:sz="0" w:space="0" w:color="auto"/>
          </w:divBdr>
        </w:div>
        <w:div w:id="772433294">
          <w:marLeft w:val="0"/>
          <w:marRight w:val="0"/>
          <w:marTop w:val="0"/>
          <w:marBottom w:val="0"/>
          <w:divBdr>
            <w:top w:val="none" w:sz="0" w:space="0" w:color="auto"/>
            <w:left w:val="none" w:sz="0" w:space="0" w:color="auto"/>
            <w:bottom w:val="none" w:sz="0" w:space="0" w:color="auto"/>
            <w:right w:val="none" w:sz="0" w:space="0" w:color="auto"/>
          </w:divBdr>
        </w:div>
        <w:div w:id="309478890">
          <w:marLeft w:val="0"/>
          <w:marRight w:val="0"/>
          <w:marTop w:val="0"/>
          <w:marBottom w:val="0"/>
          <w:divBdr>
            <w:top w:val="none" w:sz="0" w:space="0" w:color="auto"/>
            <w:left w:val="none" w:sz="0" w:space="0" w:color="auto"/>
            <w:bottom w:val="none" w:sz="0" w:space="0" w:color="auto"/>
            <w:right w:val="none" w:sz="0" w:space="0" w:color="auto"/>
          </w:divBdr>
        </w:div>
        <w:div w:id="1202203346">
          <w:marLeft w:val="0"/>
          <w:marRight w:val="0"/>
          <w:marTop w:val="0"/>
          <w:marBottom w:val="0"/>
          <w:divBdr>
            <w:top w:val="none" w:sz="0" w:space="0" w:color="auto"/>
            <w:left w:val="none" w:sz="0" w:space="0" w:color="auto"/>
            <w:bottom w:val="none" w:sz="0" w:space="0" w:color="auto"/>
            <w:right w:val="none" w:sz="0" w:space="0" w:color="auto"/>
          </w:divBdr>
        </w:div>
        <w:div w:id="1058240556">
          <w:marLeft w:val="0"/>
          <w:marRight w:val="0"/>
          <w:marTop w:val="0"/>
          <w:marBottom w:val="0"/>
          <w:divBdr>
            <w:top w:val="none" w:sz="0" w:space="0" w:color="auto"/>
            <w:left w:val="none" w:sz="0" w:space="0" w:color="auto"/>
            <w:bottom w:val="none" w:sz="0" w:space="0" w:color="auto"/>
            <w:right w:val="none" w:sz="0" w:space="0" w:color="auto"/>
          </w:divBdr>
        </w:div>
        <w:div w:id="1607351727">
          <w:marLeft w:val="0"/>
          <w:marRight w:val="0"/>
          <w:marTop w:val="0"/>
          <w:marBottom w:val="0"/>
          <w:divBdr>
            <w:top w:val="none" w:sz="0" w:space="0" w:color="auto"/>
            <w:left w:val="none" w:sz="0" w:space="0" w:color="auto"/>
            <w:bottom w:val="none" w:sz="0" w:space="0" w:color="auto"/>
            <w:right w:val="none" w:sz="0" w:space="0" w:color="auto"/>
          </w:divBdr>
        </w:div>
      </w:divsChild>
    </w:div>
    <w:div w:id="2051109329">
      <w:bodyDiv w:val="1"/>
      <w:marLeft w:val="0"/>
      <w:marRight w:val="0"/>
      <w:marTop w:val="0"/>
      <w:marBottom w:val="0"/>
      <w:divBdr>
        <w:top w:val="none" w:sz="0" w:space="0" w:color="auto"/>
        <w:left w:val="none" w:sz="0" w:space="0" w:color="auto"/>
        <w:bottom w:val="none" w:sz="0" w:space="0" w:color="auto"/>
        <w:right w:val="none" w:sz="0" w:space="0" w:color="auto"/>
      </w:divBdr>
    </w:div>
    <w:div w:id="21081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BC8C-A7D9-475C-B137-ABACC703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1396</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HUVH</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38810952Q</dc:creator>
  <cp:keywords/>
  <dc:description/>
  <cp:lastModifiedBy>38810952Q</cp:lastModifiedBy>
  <cp:revision>31</cp:revision>
  <cp:lastPrinted>2016-09-19T11:48:00Z</cp:lastPrinted>
  <dcterms:created xsi:type="dcterms:W3CDTF">2016-10-05T09:50:00Z</dcterms:created>
  <dcterms:modified xsi:type="dcterms:W3CDTF">2017-03-09T16:13:00Z</dcterms:modified>
</cp:coreProperties>
</file>