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03A" w:rsidRDefault="00FB703A" w:rsidP="00FB703A">
      <w:pPr>
        <w:spacing w:after="200" w:line="276" w:lineRule="auto"/>
        <w:rPr>
          <w:rFonts w:asciiTheme="minorHAnsi" w:hAnsiTheme="minorHAnsi" w:cs="Arial"/>
          <w:b/>
          <w:sz w:val="28"/>
          <w:szCs w:val="28"/>
        </w:rPr>
      </w:pPr>
      <w:r w:rsidRPr="00FB703A">
        <w:rPr>
          <w:rFonts w:asciiTheme="minorHAnsi" w:hAnsiTheme="minorHAnsi" w:cs="Arial"/>
          <w:b/>
          <w:sz w:val="28"/>
          <w:szCs w:val="28"/>
        </w:rPr>
        <w:t>Supplementary Materials</w:t>
      </w:r>
    </w:p>
    <w:p w:rsidR="00E12322" w:rsidRPr="00FB703A" w:rsidRDefault="00E12322" w:rsidP="00FB703A">
      <w:pPr>
        <w:spacing w:after="200" w:line="276" w:lineRule="auto"/>
        <w:rPr>
          <w:rFonts w:asciiTheme="minorHAnsi" w:hAnsiTheme="minorHAnsi" w:cs="Arial"/>
          <w:b/>
          <w:sz w:val="28"/>
          <w:szCs w:val="28"/>
        </w:rPr>
      </w:pPr>
    </w:p>
    <w:p w:rsidR="00FB703A" w:rsidRPr="00E12322" w:rsidRDefault="00FB703A">
      <w:pPr>
        <w:spacing w:after="200" w:line="276" w:lineRule="auto"/>
        <w:rPr>
          <w:rFonts w:asciiTheme="minorHAnsi" w:hAnsiTheme="minorHAnsi" w:cs="Arial"/>
          <w:b/>
          <w:sz w:val="28"/>
          <w:szCs w:val="28"/>
        </w:rPr>
      </w:pPr>
      <w:r w:rsidRPr="00E12322">
        <w:rPr>
          <w:rFonts w:asciiTheme="minorHAnsi" w:hAnsiTheme="minorHAnsi" w:cs="Arial"/>
          <w:b/>
          <w:sz w:val="28"/>
          <w:szCs w:val="28"/>
        </w:rPr>
        <w:t>Text:</w:t>
      </w:r>
    </w:p>
    <w:p w:rsidR="00FB703A" w:rsidRPr="00FB703A" w:rsidRDefault="00FB703A">
      <w:pPr>
        <w:spacing w:after="200" w:line="276" w:lineRule="auto"/>
        <w:rPr>
          <w:rFonts w:asciiTheme="minorHAnsi" w:hAnsiTheme="minorHAnsi" w:cs="Arial"/>
          <w:b/>
          <w:sz w:val="20"/>
          <w:szCs w:val="16"/>
        </w:rPr>
      </w:pPr>
      <w:r w:rsidRPr="00FB703A">
        <w:rPr>
          <w:rFonts w:asciiTheme="minorHAnsi" w:hAnsiTheme="minorHAnsi" w:cs="Arial"/>
          <w:b/>
          <w:sz w:val="20"/>
          <w:szCs w:val="16"/>
        </w:rPr>
        <w:t>Supplementary Text S1</w:t>
      </w:r>
      <w:r w:rsidR="00276C1B">
        <w:rPr>
          <w:rFonts w:asciiTheme="minorHAnsi" w:hAnsiTheme="minorHAnsi" w:cs="Arial"/>
          <w:b/>
          <w:sz w:val="20"/>
          <w:szCs w:val="16"/>
        </w:rPr>
        <w:t xml:space="preserve"> </w:t>
      </w:r>
      <w:r w:rsidR="00276C1B" w:rsidRPr="00276C1B">
        <w:rPr>
          <w:rFonts w:asciiTheme="minorHAnsi" w:hAnsiTheme="minorHAnsi" w:cs="Arial"/>
          <w:b/>
          <w:sz w:val="20"/>
          <w:szCs w:val="16"/>
        </w:rPr>
        <w:t xml:space="preserve">Detailed </w:t>
      </w:r>
      <w:r w:rsidR="00D0516A">
        <w:rPr>
          <w:rFonts w:asciiTheme="minorHAnsi" w:hAnsiTheme="minorHAnsi" w:cs="Arial"/>
          <w:b/>
          <w:sz w:val="20"/>
          <w:szCs w:val="16"/>
        </w:rPr>
        <w:t>d</w:t>
      </w:r>
      <w:r w:rsidR="00276C1B" w:rsidRPr="00276C1B">
        <w:rPr>
          <w:rFonts w:asciiTheme="minorHAnsi" w:hAnsiTheme="minorHAnsi" w:cs="Arial"/>
          <w:b/>
          <w:sz w:val="20"/>
          <w:szCs w:val="16"/>
        </w:rPr>
        <w:t>escription of</w:t>
      </w:r>
      <w:r w:rsidR="00D0516A">
        <w:rPr>
          <w:rFonts w:asciiTheme="minorHAnsi" w:hAnsiTheme="minorHAnsi" w:cs="Arial"/>
          <w:b/>
          <w:sz w:val="20"/>
          <w:szCs w:val="16"/>
        </w:rPr>
        <w:t xml:space="preserve"> GWAS, replication, meta-analysis and</w:t>
      </w:r>
      <w:r w:rsidR="00276C1B" w:rsidRPr="00276C1B">
        <w:rPr>
          <w:rFonts w:asciiTheme="minorHAnsi" w:hAnsiTheme="minorHAnsi" w:cs="Arial"/>
          <w:b/>
          <w:sz w:val="20"/>
          <w:szCs w:val="16"/>
        </w:rPr>
        <w:t xml:space="preserve"> </w:t>
      </w:r>
      <w:r w:rsidR="00D0516A">
        <w:rPr>
          <w:rFonts w:asciiTheme="minorHAnsi" w:hAnsiTheme="minorHAnsi" w:cs="Arial"/>
          <w:b/>
          <w:sz w:val="20"/>
          <w:szCs w:val="16"/>
        </w:rPr>
        <w:t>s</w:t>
      </w:r>
      <w:r w:rsidR="00276C1B" w:rsidRPr="00276C1B">
        <w:rPr>
          <w:rFonts w:asciiTheme="minorHAnsi" w:hAnsiTheme="minorHAnsi" w:cs="Arial"/>
          <w:b/>
          <w:sz w:val="20"/>
          <w:szCs w:val="16"/>
        </w:rPr>
        <w:t xml:space="preserve">tudy </w:t>
      </w:r>
      <w:r w:rsidR="00D0516A">
        <w:rPr>
          <w:rFonts w:asciiTheme="minorHAnsi" w:hAnsiTheme="minorHAnsi" w:cs="Arial"/>
          <w:b/>
          <w:sz w:val="20"/>
          <w:szCs w:val="16"/>
        </w:rPr>
        <w:t>c</w:t>
      </w:r>
      <w:r w:rsidR="00276C1B" w:rsidRPr="00276C1B">
        <w:rPr>
          <w:rFonts w:asciiTheme="minorHAnsi" w:hAnsiTheme="minorHAnsi" w:cs="Arial"/>
          <w:b/>
          <w:sz w:val="20"/>
          <w:szCs w:val="16"/>
        </w:rPr>
        <w:t>ohorts</w:t>
      </w:r>
    </w:p>
    <w:p w:rsidR="002A0E56" w:rsidRPr="00FB703A" w:rsidRDefault="002A0E56" w:rsidP="002A0E56">
      <w:pPr>
        <w:spacing w:after="200" w:line="276" w:lineRule="auto"/>
        <w:rPr>
          <w:rFonts w:asciiTheme="minorHAnsi" w:hAnsiTheme="minorHAnsi" w:cs="Arial"/>
          <w:b/>
          <w:sz w:val="20"/>
          <w:szCs w:val="16"/>
        </w:rPr>
      </w:pPr>
    </w:p>
    <w:p w:rsidR="00FB703A" w:rsidRPr="00E12322" w:rsidRDefault="00FB703A">
      <w:pPr>
        <w:spacing w:after="200" w:line="276" w:lineRule="auto"/>
        <w:rPr>
          <w:rFonts w:asciiTheme="minorHAnsi" w:hAnsiTheme="minorHAnsi" w:cs="Arial"/>
          <w:b/>
          <w:sz w:val="28"/>
          <w:szCs w:val="28"/>
        </w:rPr>
      </w:pPr>
      <w:r w:rsidRPr="00E12322">
        <w:rPr>
          <w:rFonts w:asciiTheme="minorHAnsi" w:hAnsiTheme="minorHAnsi" w:cs="Arial"/>
          <w:b/>
          <w:sz w:val="28"/>
          <w:szCs w:val="28"/>
        </w:rPr>
        <w:t>Figures:</w:t>
      </w:r>
    </w:p>
    <w:p w:rsidR="00FB703A" w:rsidRPr="00FB703A" w:rsidRDefault="00FB703A">
      <w:pPr>
        <w:spacing w:after="200" w:line="276" w:lineRule="auto"/>
        <w:rPr>
          <w:rFonts w:asciiTheme="minorHAnsi" w:hAnsiTheme="minorHAnsi" w:cs="Arial"/>
          <w:b/>
          <w:sz w:val="20"/>
          <w:szCs w:val="16"/>
        </w:rPr>
      </w:pPr>
      <w:r w:rsidRPr="00FB703A">
        <w:rPr>
          <w:rFonts w:asciiTheme="minorHAnsi" w:hAnsiTheme="minorHAnsi" w:cs="Arial"/>
          <w:b/>
          <w:sz w:val="20"/>
          <w:szCs w:val="16"/>
        </w:rPr>
        <w:t>Supplementary Figure S1</w:t>
      </w:r>
      <w:r w:rsidR="00276C1B">
        <w:rPr>
          <w:rFonts w:asciiTheme="minorHAnsi" w:hAnsiTheme="minorHAnsi" w:cs="Arial"/>
          <w:b/>
          <w:sz w:val="20"/>
          <w:szCs w:val="16"/>
        </w:rPr>
        <w:t xml:space="preserve"> </w:t>
      </w:r>
      <w:r w:rsidR="00276C1B" w:rsidRPr="00276C1B">
        <w:rPr>
          <w:rFonts w:asciiTheme="minorHAnsi" w:hAnsiTheme="minorHAnsi" w:cs="Arial"/>
          <w:b/>
          <w:sz w:val="20"/>
          <w:szCs w:val="16"/>
        </w:rPr>
        <w:t xml:space="preserve">Forrest plot for </w:t>
      </w:r>
      <w:proofErr w:type="spellStart"/>
      <w:r w:rsidR="00276C1B" w:rsidRPr="00276C1B">
        <w:rPr>
          <w:rFonts w:asciiTheme="minorHAnsi" w:hAnsiTheme="minorHAnsi" w:cs="Arial"/>
          <w:b/>
          <w:sz w:val="20"/>
          <w:szCs w:val="16"/>
        </w:rPr>
        <w:t>KLsum</w:t>
      </w:r>
      <w:proofErr w:type="spellEnd"/>
      <w:r w:rsidR="00276C1B" w:rsidRPr="00276C1B">
        <w:rPr>
          <w:rFonts w:asciiTheme="minorHAnsi" w:hAnsiTheme="minorHAnsi" w:cs="Arial"/>
          <w:b/>
          <w:sz w:val="20"/>
          <w:szCs w:val="16"/>
        </w:rPr>
        <w:t xml:space="preserve">-score GWAS </w:t>
      </w:r>
      <w:proofErr w:type="spellStart"/>
      <w:r w:rsidR="00276C1B" w:rsidRPr="00276C1B">
        <w:rPr>
          <w:rFonts w:asciiTheme="minorHAnsi" w:hAnsiTheme="minorHAnsi" w:cs="Arial"/>
          <w:b/>
          <w:sz w:val="20"/>
          <w:szCs w:val="16"/>
        </w:rPr>
        <w:t>tophit</w:t>
      </w:r>
      <w:proofErr w:type="spellEnd"/>
      <w:r w:rsidR="00276C1B" w:rsidRPr="00276C1B">
        <w:rPr>
          <w:rFonts w:asciiTheme="minorHAnsi" w:hAnsiTheme="minorHAnsi" w:cs="Arial"/>
          <w:b/>
          <w:sz w:val="20"/>
          <w:szCs w:val="16"/>
        </w:rPr>
        <w:t xml:space="preserve"> rs4764133.</w:t>
      </w:r>
    </w:p>
    <w:p w:rsidR="00FB703A" w:rsidRPr="00FB703A" w:rsidRDefault="00FB703A">
      <w:pPr>
        <w:spacing w:after="200" w:line="276" w:lineRule="auto"/>
        <w:rPr>
          <w:rFonts w:asciiTheme="minorHAnsi" w:hAnsiTheme="minorHAnsi" w:cs="Arial"/>
          <w:b/>
          <w:sz w:val="20"/>
          <w:szCs w:val="16"/>
        </w:rPr>
      </w:pPr>
      <w:r w:rsidRPr="00FB703A">
        <w:rPr>
          <w:rFonts w:asciiTheme="minorHAnsi" w:hAnsiTheme="minorHAnsi" w:cs="Arial"/>
          <w:b/>
          <w:sz w:val="20"/>
          <w:szCs w:val="16"/>
        </w:rPr>
        <w:t>Supplementary Figure S2</w:t>
      </w:r>
      <w:r w:rsidR="00276C1B">
        <w:rPr>
          <w:rFonts w:asciiTheme="minorHAnsi" w:hAnsiTheme="minorHAnsi" w:cs="Arial"/>
          <w:b/>
          <w:sz w:val="20"/>
          <w:szCs w:val="16"/>
        </w:rPr>
        <w:t xml:space="preserve"> </w:t>
      </w:r>
      <w:r w:rsidR="00276C1B" w:rsidRPr="00276C1B">
        <w:rPr>
          <w:rFonts w:asciiTheme="minorHAnsi" w:hAnsiTheme="minorHAnsi" w:cs="Arial"/>
          <w:b/>
          <w:sz w:val="20"/>
          <w:szCs w:val="16"/>
        </w:rPr>
        <w:t>Expression</w:t>
      </w:r>
      <w:r w:rsidR="00A7496C">
        <w:rPr>
          <w:rFonts w:asciiTheme="minorHAnsi" w:hAnsiTheme="minorHAnsi" w:cs="Arial"/>
          <w:b/>
          <w:sz w:val="20"/>
          <w:szCs w:val="16"/>
        </w:rPr>
        <w:t xml:space="preserve"> and </w:t>
      </w:r>
      <w:proofErr w:type="spellStart"/>
      <w:r w:rsidR="00A7496C">
        <w:rPr>
          <w:rFonts w:asciiTheme="minorHAnsi" w:hAnsiTheme="minorHAnsi" w:cs="Arial"/>
          <w:b/>
          <w:sz w:val="20"/>
          <w:szCs w:val="16"/>
        </w:rPr>
        <w:t>eQTL</w:t>
      </w:r>
      <w:proofErr w:type="spellEnd"/>
      <w:r w:rsidR="00276C1B" w:rsidRPr="00276C1B">
        <w:rPr>
          <w:rFonts w:asciiTheme="minorHAnsi" w:hAnsiTheme="minorHAnsi" w:cs="Arial"/>
          <w:b/>
          <w:sz w:val="20"/>
          <w:szCs w:val="16"/>
        </w:rPr>
        <w:t xml:space="preserve"> MGP, ERP27</w:t>
      </w:r>
      <w:r w:rsidR="00A7496C">
        <w:rPr>
          <w:rFonts w:asciiTheme="minorHAnsi" w:hAnsiTheme="minorHAnsi" w:cs="Arial"/>
          <w:b/>
          <w:sz w:val="20"/>
          <w:szCs w:val="16"/>
        </w:rPr>
        <w:t>,</w:t>
      </w:r>
      <w:r w:rsidR="00276C1B" w:rsidRPr="00276C1B">
        <w:rPr>
          <w:rFonts w:asciiTheme="minorHAnsi" w:hAnsiTheme="minorHAnsi" w:cs="Arial"/>
          <w:b/>
          <w:sz w:val="20"/>
          <w:szCs w:val="16"/>
        </w:rPr>
        <w:t>C12orf60</w:t>
      </w:r>
      <w:r w:rsidR="00A7496C">
        <w:rPr>
          <w:rFonts w:asciiTheme="minorHAnsi" w:hAnsiTheme="minorHAnsi" w:cs="Arial"/>
          <w:b/>
          <w:sz w:val="20"/>
          <w:szCs w:val="16"/>
        </w:rPr>
        <w:t>, ART4 and C12orf69</w:t>
      </w:r>
      <w:r w:rsidR="00276C1B" w:rsidRPr="00276C1B">
        <w:rPr>
          <w:rFonts w:asciiTheme="minorHAnsi" w:hAnsiTheme="minorHAnsi" w:cs="Arial"/>
          <w:b/>
          <w:sz w:val="20"/>
          <w:szCs w:val="16"/>
        </w:rPr>
        <w:t xml:space="preserve"> in articular cartilage</w:t>
      </w:r>
    </w:p>
    <w:p w:rsidR="00B04D8E" w:rsidRPr="00FB703A" w:rsidRDefault="00B04D8E" w:rsidP="00B04D8E">
      <w:pPr>
        <w:spacing w:after="200" w:line="276" w:lineRule="auto"/>
        <w:rPr>
          <w:rFonts w:asciiTheme="minorHAnsi" w:hAnsiTheme="minorHAnsi" w:cs="Arial"/>
          <w:b/>
          <w:sz w:val="20"/>
          <w:szCs w:val="16"/>
        </w:rPr>
      </w:pPr>
      <w:r w:rsidRPr="00FB703A">
        <w:rPr>
          <w:rFonts w:asciiTheme="minorHAnsi" w:hAnsiTheme="minorHAnsi" w:cs="Arial"/>
          <w:b/>
          <w:sz w:val="20"/>
          <w:szCs w:val="16"/>
        </w:rPr>
        <w:t>Supplementary Figure S</w:t>
      </w:r>
      <w:r>
        <w:rPr>
          <w:rFonts w:asciiTheme="minorHAnsi" w:hAnsiTheme="minorHAnsi" w:cs="Arial"/>
          <w:b/>
          <w:sz w:val="20"/>
          <w:szCs w:val="16"/>
        </w:rPr>
        <w:t>3</w:t>
      </w:r>
      <w:r w:rsidR="00276C1B">
        <w:rPr>
          <w:rFonts w:asciiTheme="minorHAnsi" w:hAnsiTheme="minorHAnsi" w:cs="Arial"/>
          <w:b/>
          <w:sz w:val="20"/>
          <w:szCs w:val="16"/>
        </w:rPr>
        <w:t xml:space="preserve"> </w:t>
      </w:r>
      <w:r w:rsidR="00A7496C">
        <w:rPr>
          <w:rFonts w:asciiTheme="minorHAnsi" w:hAnsiTheme="minorHAnsi" w:cs="Arial"/>
          <w:b/>
          <w:sz w:val="20"/>
          <w:szCs w:val="16"/>
        </w:rPr>
        <w:t>ASE</w:t>
      </w:r>
      <w:r w:rsidR="00276C1B" w:rsidRPr="00276C1B">
        <w:rPr>
          <w:rFonts w:asciiTheme="minorHAnsi" w:hAnsiTheme="minorHAnsi" w:cs="Arial"/>
          <w:b/>
          <w:sz w:val="20"/>
          <w:szCs w:val="16"/>
        </w:rPr>
        <w:t xml:space="preserve"> </w:t>
      </w:r>
      <w:r w:rsidR="00A7496C">
        <w:rPr>
          <w:rFonts w:asciiTheme="minorHAnsi" w:hAnsiTheme="minorHAnsi" w:cs="Arial"/>
          <w:b/>
          <w:sz w:val="20"/>
          <w:szCs w:val="16"/>
        </w:rPr>
        <w:t xml:space="preserve">results MGP </w:t>
      </w:r>
    </w:p>
    <w:p w:rsidR="00E31585" w:rsidRPr="00FB703A" w:rsidRDefault="00E31585" w:rsidP="00E31585">
      <w:pPr>
        <w:spacing w:after="200" w:line="276" w:lineRule="auto"/>
        <w:rPr>
          <w:rFonts w:asciiTheme="minorHAnsi" w:hAnsiTheme="minorHAnsi" w:cs="Arial"/>
          <w:b/>
          <w:sz w:val="20"/>
          <w:szCs w:val="16"/>
        </w:rPr>
      </w:pPr>
      <w:r w:rsidRPr="00FB703A">
        <w:rPr>
          <w:rFonts w:asciiTheme="minorHAnsi" w:hAnsiTheme="minorHAnsi" w:cs="Arial"/>
          <w:b/>
          <w:sz w:val="20"/>
          <w:szCs w:val="16"/>
        </w:rPr>
        <w:t>Supplementary Figure S</w:t>
      </w:r>
      <w:r>
        <w:rPr>
          <w:rFonts w:asciiTheme="minorHAnsi" w:hAnsiTheme="minorHAnsi" w:cs="Arial"/>
          <w:b/>
          <w:sz w:val="20"/>
          <w:szCs w:val="16"/>
        </w:rPr>
        <w:t>4</w:t>
      </w:r>
      <w:r w:rsidR="00276C1B">
        <w:rPr>
          <w:rFonts w:asciiTheme="minorHAnsi" w:hAnsiTheme="minorHAnsi" w:cs="Arial"/>
          <w:b/>
          <w:sz w:val="20"/>
          <w:szCs w:val="16"/>
        </w:rPr>
        <w:t xml:space="preserve"> </w:t>
      </w:r>
      <w:r w:rsidR="00276C1B" w:rsidRPr="00276C1B">
        <w:rPr>
          <w:rFonts w:asciiTheme="minorHAnsi" w:hAnsiTheme="minorHAnsi" w:cs="Arial"/>
          <w:b/>
          <w:sz w:val="20"/>
          <w:szCs w:val="16"/>
        </w:rPr>
        <w:t xml:space="preserve">: </w:t>
      </w:r>
      <w:proofErr w:type="spellStart"/>
      <w:r w:rsidR="00276C1B" w:rsidRPr="00276C1B">
        <w:rPr>
          <w:rFonts w:asciiTheme="minorHAnsi" w:hAnsiTheme="minorHAnsi" w:cs="Arial"/>
          <w:b/>
          <w:sz w:val="20"/>
          <w:szCs w:val="16"/>
        </w:rPr>
        <w:t>QQplot</w:t>
      </w:r>
      <w:proofErr w:type="spellEnd"/>
      <w:r w:rsidR="00276C1B" w:rsidRPr="00276C1B">
        <w:rPr>
          <w:rFonts w:asciiTheme="minorHAnsi" w:hAnsiTheme="minorHAnsi" w:cs="Arial"/>
          <w:b/>
          <w:sz w:val="20"/>
          <w:szCs w:val="16"/>
        </w:rPr>
        <w:t xml:space="preserve"> of GWAS P-values of the discovery cohorts</w:t>
      </w:r>
    </w:p>
    <w:p w:rsidR="00FB703A" w:rsidRPr="00E12322" w:rsidRDefault="00FB703A">
      <w:pPr>
        <w:spacing w:after="200" w:line="276" w:lineRule="auto"/>
        <w:rPr>
          <w:rFonts w:asciiTheme="minorHAnsi" w:hAnsiTheme="minorHAnsi" w:cs="Arial"/>
          <w:b/>
          <w:sz w:val="28"/>
          <w:szCs w:val="28"/>
        </w:rPr>
      </w:pPr>
    </w:p>
    <w:p w:rsidR="00FB703A" w:rsidRPr="00E12322" w:rsidRDefault="00FB703A">
      <w:pPr>
        <w:spacing w:after="200" w:line="276" w:lineRule="auto"/>
        <w:rPr>
          <w:rFonts w:asciiTheme="minorHAnsi" w:hAnsiTheme="minorHAnsi" w:cs="Arial"/>
          <w:b/>
          <w:sz w:val="28"/>
          <w:szCs w:val="28"/>
        </w:rPr>
      </w:pPr>
      <w:r w:rsidRPr="00E12322">
        <w:rPr>
          <w:rFonts w:asciiTheme="minorHAnsi" w:hAnsiTheme="minorHAnsi" w:cs="Arial"/>
          <w:b/>
          <w:sz w:val="28"/>
          <w:szCs w:val="28"/>
        </w:rPr>
        <w:t>Tables:</w:t>
      </w:r>
    </w:p>
    <w:p w:rsidR="00A7496C" w:rsidRPr="00FB703A" w:rsidRDefault="00A7496C" w:rsidP="00A7496C">
      <w:pPr>
        <w:spacing w:after="200" w:line="276" w:lineRule="auto"/>
        <w:rPr>
          <w:rFonts w:asciiTheme="minorHAnsi" w:hAnsiTheme="minorHAnsi" w:cs="Arial"/>
          <w:b/>
          <w:sz w:val="20"/>
          <w:szCs w:val="16"/>
        </w:rPr>
      </w:pPr>
      <w:r w:rsidRPr="00FB703A">
        <w:rPr>
          <w:rFonts w:asciiTheme="minorHAnsi" w:hAnsiTheme="minorHAnsi" w:cs="Arial"/>
          <w:b/>
          <w:sz w:val="20"/>
          <w:szCs w:val="16"/>
        </w:rPr>
        <w:t>Supplementary Table S</w:t>
      </w:r>
      <w:r>
        <w:rPr>
          <w:rFonts w:asciiTheme="minorHAnsi" w:hAnsiTheme="minorHAnsi" w:cs="Arial"/>
          <w:b/>
          <w:sz w:val="20"/>
          <w:szCs w:val="16"/>
        </w:rPr>
        <w:t xml:space="preserve">1 </w:t>
      </w:r>
      <w:r w:rsidRPr="00CA437C">
        <w:rPr>
          <w:rFonts w:asciiTheme="minorHAnsi" w:hAnsiTheme="minorHAnsi" w:cs="Arial"/>
          <w:b/>
          <w:sz w:val="20"/>
          <w:szCs w:val="16"/>
        </w:rPr>
        <w:t>Quality control and inclusion criteria</w:t>
      </w:r>
      <w:r>
        <w:rPr>
          <w:rFonts w:asciiTheme="minorHAnsi" w:hAnsiTheme="minorHAnsi" w:cs="Arial"/>
          <w:b/>
          <w:sz w:val="20"/>
          <w:szCs w:val="16"/>
        </w:rPr>
        <w:t xml:space="preserve">: </w:t>
      </w:r>
      <w:r w:rsidRPr="00FB703A">
        <w:rPr>
          <w:rFonts w:asciiTheme="minorHAnsi" w:hAnsiTheme="minorHAnsi" w:cs="Arial"/>
          <w:sz w:val="20"/>
          <w:szCs w:val="16"/>
        </w:rPr>
        <w:t>See E</w:t>
      </w:r>
      <w:r>
        <w:rPr>
          <w:rFonts w:asciiTheme="minorHAnsi" w:hAnsiTheme="minorHAnsi" w:cs="Arial"/>
          <w:sz w:val="20"/>
          <w:szCs w:val="16"/>
        </w:rPr>
        <w:t>xcel file Supplementary Table S1</w:t>
      </w:r>
    </w:p>
    <w:p w:rsidR="00A7496C" w:rsidRDefault="00A7496C">
      <w:pPr>
        <w:spacing w:after="200" w:line="276" w:lineRule="auto"/>
        <w:rPr>
          <w:rFonts w:asciiTheme="minorHAnsi" w:hAnsiTheme="minorHAnsi" w:cs="Arial"/>
          <w:b/>
          <w:sz w:val="20"/>
          <w:szCs w:val="16"/>
        </w:rPr>
      </w:pPr>
      <w:r w:rsidRPr="00FB703A">
        <w:rPr>
          <w:rFonts w:asciiTheme="minorHAnsi" w:hAnsiTheme="minorHAnsi" w:cs="Arial"/>
          <w:b/>
          <w:sz w:val="20"/>
          <w:szCs w:val="16"/>
        </w:rPr>
        <w:t>Supplementary Table S</w:t>
      </w:r>
      <w:r>
        <w:rPr>
          <w:rFonts w:asciiTheme="minorHAnsi" w:hAnsiTheme="minorHAnsi" w:cs="Arial"/>
          <w:b/>
          <w:sz w:val="20"/>
          <w:szCs w:val="16"/>
        </w:rPr>
        <w:t xml:space="preserve">2 </w:t>
      </w:r>
      <w:r w:rsidRPr="007468B8">
        <w:rPr>
          <w:rFonts w:asciiTheme="minorHAnsi" w:hAnsiTheme="minorHAnsi" w:cs="Arial"/>
          <w:b/>
          <w:sz w:val="20"/>
          <w:szCs w:val="16"/>
        </w:rPr>
        <w:t>General characteristics of RAAK cartilage samples</w:t>
      </w:r>
    </w:p>
    <w:p w:rsidR="00FB703A" w:rsidRPr="00FB703A" w:rsidRDefault="00FB703A">
      <w:pPr>
        <w:spacing w:after="200" w:line="276" w:lineRule="auto"/>
        <w:rPr>
          <w:rFonts w:asciiTheme="minorHAnsi" w:hAnsiTheme="minorHAnsi" w:cs="Arial"/>
          <w:b/>
          <w:sz w:val="20"/>
          <w:szCs w:val="16"/>
        </w:rPr>
      </w:pPr>
      <w:r w:rsidRPr="00FB703A">
        <w:rPr>
          <w:rFonts w:asciiTheme="minorHAnsi" w:hAnsiTheme="minorHAnsi" w:cs="Arial"/>
          <w:b/>
          <w:sz w:val="20"/>
          <w:szCs w:val="16"/>
        </w:rPr>
        <w:t>Supplementary Table S</w:t>
      </w:r>
      <w:r w:rsidR="00A7496C">
        <w:rPr>
          <w:rFonts w:asciiTheme="minorHAnsi" w:hAnsiTheme="minorHAnsi" w:cs="Arial"/>
          <w:b/>
          <w:sz w:val="20"/>
          <w:szCs w:val="16"/>
        </w:rPr>
        <w:t>3</w:t>
      </w:r>
      <w:r w:rsidR="00E12322">
        <w:rPr>
          <w:rFonts w:asciiTheme="minorHAnsi" w:hAnsiTheme="minorHAnsi" w:cs="Arial"/>
          <w:b/>
          <w:sz w:val="20"/>
          <w:szCs w:val="16"/>
        </w:rPr>
        <w:t xml:space="preserve"> </w:t>
      </w:r>
      <w:r w:rsidR="00E12322" w:rsidRPr="00E12322">
        <w:rPr>
          <w:rFonts w:asciiTheme="minorHAnsi" w:hAnsiTheme="minorHAnsi" w:cs="Arial"/>
          <w:b/>
          <w:sz w:val="20"/>
          <w:szCs w:val="16"/>
        </w:rPr>
        <w:t>Baseline characteristics of the studies included in the analyses of osteoarthritis of the hand</w:t>
      </w:r>
    </w:p>
    <w:p w:rsidR="00FB703A" w:rsidRPr="00FB703A" w:rsidRDefault="00D0516A">
      <w:pPr>
        <w:spacing w:after="200" w:line="276" w:lineRule="auto"/>
        <w:rPr>
          <w:rFonts w:asciiTheme="minorHAnsi" w:hAnsiTheme="minorHAnsi" w:cs="Arial"/>
          <w:b/>
          <w:sz w:val="20"/>
          <w:szCs w:val="16"/>
        </w:rPr>
      </w:pPr>
      <w:r w:rsidRPr="00D0516A">
        <w:rPr>
          <w:rFonts w:ascii="Calibri" w:eastAsia="Times New Roman" w:hAnsi="Calibri"/>
          <w:b/>
          <w:bCs/>
          <w:color w:val="000000"/>
          <w:sz w:val="20"/>
          <w:szCs w:val="20"/>
        </w:rPr>
        <w:t>Supplementary Table S</w:t>
      </w:r>
      <w:r w:rsidR="00A7496C">
        <w:rPr>
          <w:rFonts w:ascii="Calibri" w:eastAsia="Times New Roman" w:hAnsi="Calibri"/>
          <w:b/>
          <w:bCs/>
          <w:color w:val="000000"/>
          <w:sz w:val="20"/>
          <w:szCs w:val="20"/>
        </w:rPr>
        <w:t xml:space="preserve">4 Association of rs4764133 </w:t>
      </w:r>
      <w:r w:rsidR="00514741">
        <w:rPr>
          <w:rFonts w:ascii="Calibri" w:eastAsia="Times New Roman" w:hAnsi="Calibri"/>
          <w:b/>
          <w:bCs/>
          <w:color w:val="000000"/>
          <w:sz w:val="20"/>
          <w:szCs w:val="20"/>
        </w:rPr>
        <w:t>and</w:t>
      </w:r>
      <w:r w:rsidR="00A7496C">
        <w:rPr>
          <w:rFonts w:ascii="Calibri" w:eastAsia="Times New Roman" w:hAnsi="Calibri"/>
          <w:b/>
          <w:bCs/>
          <w:color w:val="000000"/>
          <w:sz w:val="20"/>
          <w:szCs w:val="20"/>
        </w:rPr>
        <w:t xml:space="preserve"> other OA phenotypes</w:t>
      </w:r>
      <w:r w:rsidR="00514741">
        <w:rPr>
          <w:rFonts w:ascii="Calibri" w:eastAsia="Times New Roman" w:hAnsi="Calibri"/>
          <w:b/>
          <w:bCs/>
          <w:color w:val="000000"/>
          <w:sz w:val="20"/>
          <w:szCs w:val="20"/>
        </w:rPr>
        <w:t xml:space="preserve"> </w:t>
      </w:r>
      <w:r w:rsidR="00FB703A" w:rsidRPr="00FB703A">
        <w:rPr>
          <w:rFonts w:asciiTheme="minorHAnsi" w:hAnsiTheme="minorHAnsi" w:cs="Arial"/>
          <w:b/>
          <w:sz w:val="20"/>
          <w:szCs w:val="16"/>
        </w:rPr>
        <w:t>Supplementary Table S</w:t>
      </w:r>
      <w:bookmarkStart w:id="0" w:name="_GoBack"/>
      <w:bookmarkEnd w:id="0"/>
      <w:r w:rsidR="00A7496C">
        <w:rPr>
          <w:rFonts w:asciiTheme="minorHAnsi" w:hAnsiTheme="minorHAnsi" w:cs="Arial"/>
          <w:b/>
          <w:sz w:val="20"/>
          <w:szCs w:val="16"/>
        </w:rPr>
        <w:t>5</w:t>
      </w:r>
      <w:r>
        <w:rPr>
          <w:rFonts w:asciiTheme="minorHAnsi" w:hAnsiTheme="minorHAnsi" w:cs="Arial"/>
          <w:b/>
          <w:sz w:val="20"/>
          <w:szCs w:val="16"/>
        </w:rPr>
        <w:t>4</w:t>
      </w:r>
      <w:r w:rsidR="00E12322">
        <w:rPr>
          <w:rFonts w:asciiTheme="minorHAnsi" w:hAnsiTheme="minorHAnsi" w:cs="Arial"/>
          <w:b/>
          <w:sz w:val="20"/>
          <w:szCs w:val="16"/>
        </w:rPr>
        <w:t xml:space="preserve"> </w:t>
      </w:r>
      <w:r w:rsidR="00E12322" w:rsidRPr="00E12322">
        <w:rPr>
          <w:rFonts w:asciiTheme="minorHAnsi" w:hAnsiTheme="minorHAnsi" w:cs="Arial"/>
          <w:b/>
          <w:sz w:val="20"/>
          <w:szCs w:val="16"/>
        </w:rPr>
        <w:t xml:space="preserve">Variants in the ALDH1A2 gene and their association with the </w:t>
      </w:r>
      <w:proofErr w:type="spellStart"/>
      <w:r w:rsidR="00E12322" w:rsidRPr="00E12322">
        <w:rPr>
          <w:rFonts w:asciiTheme="minorHAnsi" w:hAnsiTheme="minorHAnsi" w:cs="Arial"/>
          <w:b/>
          <w:sz w:val="20"/>
          <w:szCs w:val="16"/>
        </w:rPr>
        <w:t>Klsum</w:t>
      </w:r>
      <w:proofErr w:type="spellEnd"/>
      <w:r w:rsidR="00E12322" w:rsidRPr="00E12322">
        <w:rPr>
          <w:rFonts w:asciiTheme="minorHAnsi" w:hAnsiTheme="minorHAnsi" w:cs="Arial"/>
          <w:b/>
          <w:sz w:val="20"/>
          <w:szCs w:val="16"/>
        </w:rPr>
        <w:t>-score measure.</w:t>
      </w:r>
    </w:p>
    <w:p w:rsidR="00FB703A" w:rsidRPr="008976F1" w:rsidRDefault="00FB703A">
      <w:pPr>
        <w:spacing w:after="200" w:line="276" w:lineRule="auto"/>
        <w:rPr>
          <w:rFonts w:asciiTheme="minorHAnsi" w:hAnsiTheme="minorHAnsi" w:cs="Arial"/>
          <w:sz w:val="20"/>
          <w:szCs w:val="16"/>
        </w:rPr>
      </w:pPr>
      <w:r w:rsidRPr="00FB703A">
        <w:rPr>
          <w:rFonts w:asciiTheme="minorHAnsi" w:hAnsiTheme="minorHAnsi" w:cs="Arial"/>
          <w:b/>
          <w:sz w:val="16"/>
          <w:szCs w:val="16"/>
        </w:rPr>
        <w:br w:type="page"/>
      </w:r>
    </w:p>
    <w:p w:rsidR="00D72F47" w:rsidRDefault="00D72F47" w:rsidP="00D72F47">
      <w:pPr>
        <w:spacing w:line="360" w:lineRule="auto"/>
        <w:rPr>
          <w:rFonts w:asciiTheme="minorHAnsi" w:hAnsiTheme="minorHAnsi"/>
          <w:b/>
          <w:lang w:val="en-GB"/>
        </w:rPr>
      </w:pPr>
      <w:r>
        <w:rPr>
          <w:rFonts w:asciiTheme="minorHAnsi" w:hAnsiTheme="minorHAnsi"/>
          <w:b/>
          <w:lang w:val="en-GB"/>
        </w:rPr>
        <w:lastRenderedPageBreak/>
        <w:t>Supplemental Material S1 Text</w:t>
      </w:r>
    </w:p>
    <w:p w:rsidR="00D869B4" w:rsidRDefault="00D72F47" w:rsidP="004F524E">
      <w:pPr>
        <w:spacing w:after="200" w:line="276" w:lineRule="auto"/>
        <w:rPr>
          <w:rFonts w:asciiTheme="minorHAnsi" w:hAnsiTheme="minorHAnsi"/>
          <w:b/>
          <w:sz w:val="20"/>
          <w:szCs w:val="20"/>
          <w:lang w:val="en-GB"/>
        </w:rPr>
      </w:pPr>
      <w:r w:rsidRPr="00D72F47">
        <w:rPr>
          <w:rFonts w:asciiTheme="minorHAnsi" w:hAnsiTheme="minorHAnsi"/>
          <w:b/>
          <w:sz w:val="20"/>
          <w:szCs w:val="20"/>
          <w:lang w:val="en-GB"/>
        </w:rPr>
        <w:t>Detail</w:t>
      </w:r>
      <w:r w:rsidR="004F524E">
        <w:rPr>
          <w:rFonts w:asciiTheme="minorHAnsi" w:hAnsiTheme="minorHAnsi"/>
          <w:b/>
          <w:sz w:val="20"/>
          <w:szCs w:val="20"/>
          <w:lang w:val="en-GB"/>
        </w:rPr>
        <w:t>ed Description of Study Cohorts</w:t>
      </w:r>
    </w:p>
    <w:p w:rsidR="004F524E" w:rsidRPr="008A2C3B" w:rsidRDefault="004F524E" w:rsidP="004F524E">
      <w:pPr>
        <w:spacing w:after="200" w:line="276" w:lineRule="auto"/>
        <w:rPr>
          <w:rFonts w:asciiTheme="minorHAnsi" w:hAnsiTheme="minorHAnsi"/>
          <w:b/>
          <w:sz w:val="20"/>
          <w:szCs w:val="20"/>
          <w:lang w:val="en-GB"/>
        </w:rPr>
      </w:pPr>
    </w:p>
    <w:p w:rsidR="00D869B4" w:rsidRPr="00D869B4" w:rsidRDefault="00D869B4" w:rsidP="00D869B4">
      <w:pPr>
        <w:spacing w:line="480" w:lineRule="auto"/>
        <w:rPr>
          <w:rFonts w:asciiTheme="minorHAnsi" w:hAnsiTheme="minorHAnsi"/>
          <w:b/>
          <w:sz w:val="20"/>
          <w:szCs w:val="20"/>
        </w:rPr>
      </w:pPr>
      <w:r w:rsidRPr="00D869B4">
        <w:rPr>
          <w:rFonts w:asciiTheme="minorHAnsi" w:hAnsiTheme="minorHAnsi"/>
          <w:b/>
          <w:sz w:val="20"/>
          <w:szCs w:val="20"/>
        </w:rPr>
        <w:t>Ethics Statement</w:t>
      </w:r>
    </w:p>
    <w:p w:rsidR="00D869B4" w:rsidRPr="00D869B4" w:rsidRDefault="00D869B4" w:rsidP="00D869B4">
      <w:pPr>
        <w:spacing w:line="480" w:lineRule="auto"/>
        <w:rPr>
          <w:rFonts w:asciiTheme="minorHAnsi" w:hAnsiTheme="minorHAnsi"/>
          <w:sz w:val="20"/>
          <w:szCs w:val="20"/>
        </w:rPr>
      </w:pPr>
      <w:r w:rsidRPr="00D869B4">
        <w:rPr>
          <w:rFonts w:asciiTheme="minorHAnsi" w:hAnsiTheme="minorHAnsi"/>
          <w:sz w:val="20"/>
          <w:szCs w:val="20"/>
        </w:rPr>
        <w:t>All of the participating studies were approved by medical ethics committees of the participating centers, and all participants gave their written informed consent before entering the participating study.</w:t>
      </w:r>
    </w:p>
    <w:p w:rsidR="00D869B4" w:rsidRDefault="00D869B4" w:rsidP="00D72F47">
      <w:pPr>
        <w:spacing w:line="480" w:lineRule="auto"/>
        <w:rPr>
          <w:rFonts w:asciiTheme="minorHAnsi" w:hAnsiTheme="minorHAnsi"/>
          <w:b/>
          <w:sz w:val="20"/>
          <w:szCs w:val="20"/>
          <w:lang w:val="en-GB"/>
        </w:rPr>
      </w:pPr>
    </w:p>
    <w:p w:rsidR="008A2C3B" w:rsidRDefault="008A2C3B" w:rsidP="008A2C3B">
      <w:pPr>
        <w:spacing w:line="480" w:lineRule="auto"/>
        <w:rPr>
          <w:rFonts w:asciiTheme="minorHAnsi" w:hAnsiTheme="minorHAnsi"/>
          <w:b/>
          <w:sz w:val="20"/>
          <w:szCs w:val="20"/>
          <w:lang w:val="en-GB"/>
        </w:rPr>
      </w:pPr>
      <w:r>
        <w:rPr>
          <w:rFonts w:asciiTheme="minorHAnsi" w:hAnsiTheme="minorHAnsi"/>
          <w:b/>
          <w:sz w:val="20"/>
          <w:szCs w:val="20"/>
          <w:lang w:val="en-GB"/>
        </w:rPr>
        <w:t>Genome-wide association study and meta-analysis</w:t>
      </w:r>
    </w:p>
    <w:p w:rsidR="008A2C3B" w:rsidRDefault="008A2C3B" w:rsidP="008A2C3B">
      <w:pPr>
        <w:spacing w:line="480" w:lineRule="auto"/>
        <w:rPr>
          <w:rFonts w:asciiTheme="minorHAnsi" w:hAnsiTheme="minorHAnsi"/>
          <w:b/>
          <w:sz w:val="20"/>
          <w:szCs w:val="20"/>
          <w:lang w:val="en-GB"/>
        </w:rPr>
      </w:pPr>
      <w:r>
        <w:rPr>
          <w:rFonts w:asciiTheme="minorHAnsi" w:hAnsiTheme="minorHAnsi"/>
          <w:sz w:val="20"/>
          <w:szCs w:val="20"/>
          <w:lang w:val="en-GB"/>
        </w:rPr>
        <w:t xml:space="preserve">We conducted genome-wide association studies to osteoarthritis of the hand, using a semi quantitative phenotype, the </w:t>
      </w:r>
      <w:proofErr w:type="spellStart"/>
      <w:r>
        <w:rPr>
          <w:rFonts w:asciiTheme="minorHAnsi" w:hAnsiTheme="minorHAnsi"/>
          <w:sz w:val="20"/>
          <w:szCs w:val="20"/>
          <w:lang w:val="en-GB"/>
        </w:rPr>
        <w:t>KLsum</w:t>
      </w:r>
      <w:proofErr w:type="spellEnd"/>
      <w:r>
        <w:rPr>
          <w:rFonts w:asciiTheme="minorHAnsi" w:hAnsiTheme="minorHAnsi"/>
          <w:sz w:val="20"/>
          <w:szCs w:val="20"/>
          <w:lang w:val="en-GB"/>
        </w:rPr>
        <w:t xml:space="preserve">-score. The discovery stage consisted of the Rotterdam Study I (RS-I), Rotterdam Study II (RS-II) and Rotterdam Study III (RS-III), we used linear regression models adjusted for age-, gender and population stratification. The discovery cohorts were quality checked using EASYQC </w:t>
      </w:r>
      <w:r w:rsidRPr="00205EBF">
        <w:rPr>
          <w:rFonts w:asciiTheme="minorHAnsi" w:hAnsiTheme="minorHAnsi"/>
          <w:sz w:val="20"/>
          <w:szCs w:val="20"/>
          <w:lang w:val="en-GB"/>
        </w:rPr>
        <w:t>and genomic control correction was applied to the standard errors and P-values</w:t>
      </w:r>
      <w:r>
        <w:rPr>
          <w:rFonts w:asciiTheme="minorHAnsi" w:hAnsiTheme="minorHAnsi"/>
          <w:sz w:val="20"/>
          <w:szCs w:val="20"/>
          <w:lang w:val="en-GB"/>
        </w:rPr>
        <w:t xml:space="preserve"> </w:t>
      </w:r>
      <w:r w:rsidRPr="00205EBF">
        <w:rPr>
          <w:rFonts w:asciiTheme="minorHAnsi" w:hAnsiTheme="minorHAnsi"/>
          <w:sz w:val="20"/>
          <w:szCs w:val="20"/>
          <w:lang w:val="en-GB"/>
        </w:rPr>
        <w:t>The genomic control inflation factors were low for all three RS groups (λ=1.003, 1.006 and, 1.011, respectively) and we generated a quantile-quantile plot (Supplementary Figure S4), both indicated no substantial population stratification due to cryptic relatedness, population substructure or other biases</w:t>
      </w:r>
      <w:r>
        <w:rPr>
          <w:rFonts w:asciiTheme="minorHAnsi" w:hAnsiTheme="minorHAnsi"/>
          <w:sz w:val="20"/>
          <w:szCs w:val="20"/>
          <w:lang w:val="en-GB"/>
        </w:rPr>
        <w:t xml:space="preserve">. We combined the discovery cohorts in a joined meta-analysis using inverse variance weighting with METAL. </w:t>
      </w:r>
      <w:r w:rsidRPr="00205EBF">
        <w:rPr>
          <w:rFonts w:asciiTheme="minorHAnsi" w:hAnsiTheme="minorHAnsi"/>
          <w:sz w:val="20"/>
          <w:szCs w:val="20"/>
          <w:lang w:val="en-GB"/>
        </w:rPr>
        <w:t xml:space="preserve">Manhattan plot and QQ-plot were generated using the joint-meta analysis data from the discovery phase using R and R package </w:t>
      </w:r>
      <w:proofErr w:type="spellStart"/>
      <w:r w:rsidRPr="00205EBF">
        <w:rPr>
          <w:rFonts w:asciiTheme="minorHAnsi" w:hAnsiTheme="minorHAnsi"/>
          <w:sz w:val="20"/>
          <w:szCs w:val="20"/>
          <w:lang w:val="en-GB"/>
        </w:rPr>
        <w:t>qqman</w:t>
      </w:r>
      <w:proofErr w:type="spellEnd"/>
      <w:r w:rsidRPr="00205EBF">
        <w:rPr>
          <w:rFonts w:asciiTheme="minorHAnsi" w:hAnsiTheme="minorHAnsi"/>
          <w:sz w:val="20"/>
          <w:szCs w:val="20"/>
          <w:lang w:val="en-GB"/>
        </w:rPr>
        <w:t xml:space="preserve">.  SNPs with a P-value≤5×10−6 were selected for replication. The top SNP for each independent locus was taken for replication in three studies (n =4,011): Leiden hand OA studies (Genetics </w:t>
      </w:r>
      <w:proofErr w:type="spellStart"/>
      <w:r w:rsidRPr="00205EBF">
        <w:rPr>
          <w:rFonts w:asciiTheme="minorHAnsi" w:hAnsiTheme="minorHAnsi"/>
          <w:sz w:val="20"/>
          <w:szCs w:val="20"/>
          <w:lang w:val="en-GB"/>
        </w:rPr>
        <w:t>osteoARthritis</w:t>
      </w:r>
      <w:proofErr w:type="spellEnd"/>
      <w:r w:rsidRPr="00205EBF">
        <w:rPr>
          <w:rFonts w:asciiTheme="minorHAnsi" w:hAnsiTheme="minorHAnsi"/>
          <w:sz w:val="20"/>
          <w:szCs w:val="20"/>
          <w:lang w:val="en-GB"/>
        </w:rPr>
        <w:t xml:space="preserve"> and progression (GARP) study &amp; the Leiden Longevity Study), the </w:t>
      </w:r>
      <w:proofErr w:type="spellStart"/>
      <w:r w:rsidRPr="00205EBF">
        <w:rPr>
          <w:rFonts w:asciiTheme="minorHAnsi" w:hAnsiTheme="minorHAnsi"/>
          <w:sz w:val="20"/>
          <w:szCs w:val="20"/>
          <w:lang w:val="en-GB"/>
        </w:rPr>
        <w:t>TwinsUK</w:t>
      </w:r>
      <w:proofErr w:type="spellEnd"/>
      <w:r w:rsidRPr="00205EBF">
        <w:rPr>
          <w:rFonts w:asciiTheme="minorHAnsi" w:hAnsiTheme="minorHAnsi"/>
          <w:sz w:val="20"/>
          <w:szCs w:val="20"/>
          <w:lang w:val="en-GB"/>
        </w:rPr>
        <w:t xml:space="preserve"> (TUK) study cohort, and the Framingham Heart Study (FHS) cohort.</w:t>
      </w:r>
      <w:r>
        <w:rPr>
          <w:rFonts w:asciiTheme="minorHAnsi" w:hAnsiTheme="minorHAnsi"/>
          <w:sz w:val="20"/>
          <w:szCs w:val="20"/>
          <w:lang w:val="en-GB"/>
        </w:rPr>
        <w:t xml:space="preserve"> </w:t>
      </w:r>
      <w:r w:rsidRPr="00205EBF">
        <w:rPr>
          <w:rFonts w:asciiTheme="minorHAnsi" w:hAnsiTheme="minorHAnsi"/>
          <w:sz w:val="20"/>
          <w:szCs w:val="20"/>
          <w:lang w:val="en-GB"/>
        </w:rPr>
        <w:t>Summary level data from the discovery and replication stage were combined in a joined meta-analysis using inverse</w:t>
      </w:r>
      <w:r>
        <w:rPr>
          <w:rFonts w:asciiTheme="minorHAnsi" w:hAnsiTheme="minorHAnsi"/>
          <w:sz w:val="20"/>
          <w:szCs w:val="20"/>
          <w:lang w:val="en-GB"/>
        </w:rPr>
        <w:t xml:space="preserve"> variance weighting with METAL</w:t>
      </w:r>
      <w:r w:rsidRPr="00205EBF">
        <w:rPr>
          <w:rFonts w:asciiTheme="minorHAnsi" w:hAnsiTheme="minorHAnsi"/>
          <w:sz w:val="20"/>
          <w:szCs w:val="20"/>
          <w:lang w:val="en-GB"/>
        </w:rPr>
        <w:t>. For the top SNPs associated with hand osteoarthritis we have plotted the regional ass</w:t>
      </w:r>
      <w:r>
        <w:rPr>
          <w:rFonts w:asciiTheme="minorHAnsi" w:hAnsiTheme="minorHAnsi"/>
          <w:sz w:val="20"/>
          <w:szCs w:val="20"/>
          <w:lang w:val="en-GB"/>
        </w:rPr>
        <w:t xml:space="preserve">ociation plot using </w:t>
      </w:r>
      <w:proofErr w:type="spellStart"/>
      <w:r>
        <w:rPr>
          <w:rFonts w:asciiTheme="minorHAnsi" w:hAnsiTheme="minorHAnsi"/>
          <w:sz w:val="20"/>
          <w:szCs w:val="20"/>
          <w:lang w:val="en-GB"/>
        </w:rPr>
        <w:t>LocusZoom</w:t>
      </w:r>
      <w:proofErr w:type="spellEnd"/>
      <w:r w:rsidR="00CA6AF5">
        <w:rPr>
          <w:rFonts w:asciiTheme="minorHAnsi" w:hAnsiTheme="minorHAnsi"/>
          <w:sz w:val="20"/>
          <w:szCs w:val="20"/>
          <w:lang w:val="en-GB"/>
        </w:rPr>
        <w:t>.</w:t>
      </w:r>
    </w:p>
    <w:p w:rsidR="008A2C3B" w:rsidRDefault="008A2C3B" w:rsidP="00D72F47">
      <w:pPr>
        <w:spacing w:line="480" w:lineRule="auto"/>
        <w:rPr>
          <w:rFonts w:asciiTheme="minorHAnsi" w:hAnsiTheme="minorHAnsi"/>
          <w:b/>
          <w:sz w:val="20"/>
          <w:szCs w:val="20"/>
          <w:lang w:val="en-GB"/>
        </w:rPr>
      </w:pPr>
    </w:p>
    <w:p w:rsidR="00D72F47" w:rsidRPr="00D72F47" w:rsidRDefault="00D72F47" w:rsidP="00D72F47">
      <w:pPr>
        <w:spacing w:line="480" w:lineRule="auto"/>
        <w:rPr>
          <w:rFonts w:asciiTheme="minorHAnsi" w:hAnsiTheme="minorHAnsi"/>
          <w:sz w:val="20"/>
          <w:szCs w:val="20"/>
          <w:lang w:val="en-GB"/>
        </w:rPr>
      </w:pPr>
      <w:r w:rsidRPr="00D72F47">
        <w:rPr>
          <w:rFonts w:asciiTheme="minorHAnsi" w:hAnsiTheme="minorHAnsi"/>
          <w:b/>
          <w:sz w:val="20"/>
          <w:szCs w:val="20"/>
          <w:lang w:val="en-GB"/>
        </w:rPr>
        <w:t xml:space="preserve">Rotterdam study. </w:t>
      </w:r>
      <w:r w:rsidRPr="00D72F47">
        <w:rPr>
          <w:rFonts w:asciiTheme="minorHAnsi" w:hAnsiTheme="minorHAnsi"/>
          <w:sz w:val="20"/>
          <w:szCs w:val="20"/>
          <w:lang w:val="en-GB"/>
        </w:rPr>
        <w:t>The Rotterdam Study is a population-based prospective cohort study ongoing since 1990 to study determines of chronic disabling diseases</w:t>
      </w:r>
      <w:r w:rsidRPr="00D72F47">
        <w:rPr>
          <w:rFonts w:asciiTheme="minorHAnsi" w:hAnsiTheme="minorHAnsi"/>
          <w:sz w:val="20"/>
          <w:szCs w:val="20"/>
          <w:lang w:val="en-GB"/>
        </w:rPr>
        <w:fldChar w:fldCharType="begin" w:fldLock="1"/>
      </w:r>
      <w:r w:rsidR="009E4AFA">
        <w:rPr>
          <w:rFonts w:asciiTheme="minorHAnsi" w:hAnsiTheme="minorHAnsi"/>
          <w:sz w:val="20"/>
          <w:szCs w:val="20"/>
          <w:lang w:val="en-GB"/>
        </w:rPr>
        <w:instrText>ADDIN CSL_CITATION { "citationItems" : [ { "id" : "ITEM-1", "itemData" : { "DOI" : "10.1007/s10654-015-0082-x", "ISSN" : "1573-7284", "PMID" : "26386597", "abstract" : "The Rotterdam Study is a prospective cohort study ongoing since 1990 in the city of Rotterdam in The Netherlands. The study targets cardiovascular, endocrine, hepatic, neurological, ophthalmic, psychiatric, dermatological, otolaryngological, locomotor, and respiratory diseases. As of 2008, 14,926 subjects aged 45 years or over comprise the Rotterdam Study cohort. The findings of the Rotterdam Study have been presented in over 1200 research articles and reports (see www.erasmus-epidemiology.nl/rotterdamstudy ). This article gives the rationale of the study and its design. It also presents a summary of the major findings and an update of the objectives and methods.", "author" : [ { "dropping-particle" : "", "family" : "Hofman", "given" : "Albert", "non-dropping-particle" : "", "parse-names" : false, "suffix" : "" }, { "dropping-particle" : "", "family" : "Brusselle", "given" : "Guy G O", "non-dropping-particle" : "", "parse-names" : false, "suffix" : "" }, { "dropping-particle" : "", "family" : "Darwish Murad", "given" : "Sarwa", "non-dropping-particle" : "", "parse-names" : false, "suffix" : "" }, { "dropping-particle" : "", "family" : "Duijn", "given" : "Cornelia M", "non-dropping-particle" : "van", "parse-names" : false, "suffix" : "" }, { "dropping-particle" : "", "family" : "Franco", "given" : "Oscar H", "non-dropping-particle" : "", "parse-names" : false, "suffix" : "" }, { "dropping-particle" : "", "family" : "Goedegebure", "given" : "Andr\u00e9", "non-dropping-particle" : "", "parse-names" : false, "suffix" : "" }, { "dropping-particle" : "", "family" : "Ikram", "given" : "M Arfan", "non-dropping-particle" : "", "parse-names" : false, "suffix" : "" }, { "dropping-particle" : "", "family" : "Klaver", "given" : "Caroline C W", "non-dropping-particle" : "", "parse-names" : false, "suffix" : "" }, { "dropping-particle" : "", "family" : "Nijsten", "given" : "Tamar E C", "non-dropping-particle" : "", "parse-names" : false, "suffix" : "" }, { "dropping-particle" : "", "family" : "Peeters", "given" : "Robin P", "non-dropping-particle" : "", "parse-names" : false, "suffix" : "" }, { "dropping-particle" : "", "family" : "Stricker", "given" : "Bruno H Ch", "non-dropping-particle" : "", "parse-names" : false, "suffix" : "" }, { "dropping-particle" : "", "family" : "Tiemeier", "given" : "Henning W", "non-dropping-particle" : "", "parse-names" : false, "suffix" : "" }, { "dropping-particle" : "", "family" : "Uitterlinden", "given" : "Andr\u00e9 G", "non-dropping-particle" : "", "parse-names" : false, "suffix" : "" }, { "dropping-particle" : "", "family" : "Vernooij", "given" : "Meike W", "non-dropping-particle" : "", "parse-names" : false, "suffix" : "" } ], "container-title" : "European journal of epidemiology", "id" : "ITEM-1", "issue" : "8", "issued" : { "date-parts" : [ [ "2015", "8" ] ] }, "page" : "661-708", "publisher" : "Springer", "title" : "The Rotterdam Study: 2016 objectives and design update.", "type" : "article-journal", "volume" : "30" }, "uris" : [ "http://www.mendeley.com/documents/?uuid=0cba6756-53d2-3b8d-b189-1ec9f0a9428b" ] } ], "mendeley" : { "formattedCitation" : "&lt;sup&gt;1&lt;/sup&gt;", "plainTextFormattedCitation" : "1", "previouslyFormattedCitation" : "&lt;sup&gt;1&lt;/sup&gt;" }, "properties" : { "noteIndex" : 0 }, "schema" : "https://github.com/citation-style-language/schema/raw/master/csl-citation.json" }</w:instrText>
      </w:r>
      <w:r w:rsidRPr="00D72F47">
        <w:rPr>
          <w:rFonts w:asciiTheme="minorHAnsi" w:hAnsiTheme="minorHAnsi"/>
          <w:sz w:val="20"/>
          <w:szCs w:val="20"/>
          <w:lang w:val="en-GB"/>
        </w:rPr>
        <w:fldChar w:fldCharType="separate"/>
      </w:r>
      <w:r w:rsidR="00B33450" w:rsidRPr="00B33450">
        <w:rPr>
          <w:rFonts w:asciiTheme="minorHAnsi" w:hAnsiTheme="minorHAnsi"/>
          <w:noProof/>
          <w:sz w:val="20"/>
          <w:szCs w:val="20"/>
          <w:vertAlign w:val="superscript"/>
          <w:lang w:val="en-GB"/>
        </w:rPr>
        <w:t>1</w:t>
      </w:r>
      <w:r w:rsidRPr="00D72F47">
        <w:rPr>
          <w:rFonts w:asciiTheme="minorHAnsi" w:hAnsiTheme="minorHAnsi"/>
          <w:sz w:val="20"/>
          <w:szCs w:val="20"/>
          <w:lang w:val="en-GB"/>
        </w:rPr>
        <w:fldChar w:fldCharType="end"/>
      </w:r>
      <w:r w:rsidRPr="00D72F47">
        <w:rPr>
          <w:rFonts w:asciiTheme="minorHAnsi" w:hAnsiTheme="minorHAnsi"/>
          <w:sz w:val="20"/>
          <w:szCs w:val="20"/>
          <w:lang w:val="en-GB"/>
        </w:rPr>
        <w:t xml:space="preserve">. The Rotterdam Study I (RS-I) is the first cohort of 7,983 persons living in the </w:t>
      </w:r>
      <w:proofErr w:type="spellStart"/>
      <w:r w:rsidRPr="00D72F47">
        <w:rPr>
          <w:rFonts w:asciiTheme="minorHAnsi" w:hAnsiTheme="minorHAnsi"/>
          <w:sz w:val="20"/>
          <w:szCs w:val="20"/>
          <w:lang w:val="en-GB"/>
        </w:rPr>
        <w:t>Ommoord</w:t>
      </w:r>
      <w:proofErr w:type="spellEnd"/>
      <w:r w:rsidRPr="00D72F47">
        <w:rPr>
          <w:rFonts w:asciiTheme="minorHAnsi" w:hAnsiTheme="minorHAnsi"/>
          <w:sz w:val="20"/>
          <w:szCs w:val="20"/>
          <w:lang w:val="en-GB"/>
        </w:rPr>
        <w:t xml:space="preserve"> district of Rotterdam in the Netherlands. All subjects were aged 55 years and older, </w:t>
      </w:r>
      <w:r w:rsidRPr="00D72F47">
        <w:rPr>
          <w:rFonts w:asciiTheme="minorHAnsi" w:hAnsiTheme="minorHAnsi"/>
          <w:sz w:val="20"/>
          <w:szCs w:val="20"/>
          <w:lang w:val="en-GB"/>
        </w:rPr>
        <w:lastRenderedPageBreak/>
        <w:t xml:space="preserve">recruitment of participants started in 1990. The Rotterdam Study II (RS-II) started in 1999 when 3,011 participants moved into the study since they became 55 years of age or moved into the study district. The Rotterdam Study III (RS-III) started in 2006 with all 3,932 participants aged 45 years and older from the study district not yet included in the study. </w:t>
      </w:r>
    </w:p>
    <w:p w:rsidR="00D72F47" w:rsidRPr="00D72F47" w:rsidRDefault="00D72F47" w:rsidP="00D72F47">
      <w:pPr>
        <w:spacing w:line="480" w:lineRule="auto"/>
        <w:ind w:firstLine="720"/>
        <w:rPr>
          <w:rFonts w:asciiTheme="minorHAnsi" w:hAnsiTheme="minorHAnsi"/>
          <w:sz w:val="20"/>
          <w:szCs w:val="20"/>
          <w:lang w:val="en-GB"/>
        </w:rPr>
      </w:pPr>
      <w:r w:rsidRPr="00D72F47">
        <w:rPr>
          <w:rFonts w:asciiTheme="minorHAnsi" w:hAnsiTheme="minorHAnsi"/>
          <w:sz w:val="20"/>
          <w:szCs w:val="20"/>
          <w:lang w:val="en-GB"/>
        </w:rPr>
        <w:t xml:space="preserve">Genotyping of the samples in RS-I and RS-II was carried out with the Illumina </w:t>
      </w:r>
      <w:proofErr w:type="spellStart"/>
      <w:r w:rsidRPr="00D72F47">
        <w:rPr>
          <w:rFonts w:asciiTheme="minorHAnsi" w:hAnsiTheme="minorHAnsi"/>
          <w:sz w:val="20"/>
          <w:szCs w:val="20"/>
          <w:lang w:val="en-GB"/>
        </w:rPr>
        <w:t>HumanHap</w:t>
      </w:r>
      <w:proofErr w:type="spellEnd"/>
      <w:r w:rsidRPr="00D72F47">
        <w:rPr>
          <w:rFonts w:asciiTheme="minorHAnsi" w:hAnsiTheme="minorHAnsi"/>
          <w:sz w:val="20"/>
          <w:szCs w:val="20"/>
          <w:lang w:val="en-GB"/>
        </w:rPr>
        <w:t xml:space="preserve"> 550v3 Genotyping </w:t>
      </w:r>
      <w:proofErr w:type="spellStart"/>
      <w:r w:rsidRPr="00D72F47">
        <w:rPr>
          <w:rFonts w:asciiTheme="minorHAnsi" w:hAnsiTheme="minorHAnsi"/>
          <w:sz w:val="20"/>
          <w:szCs w:val="20"/>
          <w:lang w:val="en-GB"/>
        </w:rPr>
        <w:t>BeadChip</w:t>
      </w:r>
      <w:proofErr w:type="spellEnd"/>
      <w:r w:rsidRPr="00D72F47">
        <w:rPr>
          <w:rFonts w:asciiTheme="minorHAnsi" w:hAnsiTheme="minorHAnsi"/>
          <w:sz w:val="20"/>
          <w:szCs w:val="20"/>
          <w:lang w:val="en-GB"/>
        </w:rPr>
        <w:t xml:space="preserve">, for RS-III the Illumina HumanHap610-Quad V1 was used. The </w:t>
      </w:r>
      <w:proofErr w:type="spellStart"/>
      <w:r w:rsidRPr="00D72F47">
        <w:rPr>
          <w:rFonts w:asciiTheme="minorHAnsi" w:hAnsiTheme="minorHAnsi"/>
          <w:sz w:val="20"/>
          <w:szCs w:val="20"/>
          <w:lang w:val="en-GB"/>
        </w:rPr>
        <w:t>Beadstudio</w:t>
      </w:r>
      <w:proofErr w:type="spellEnd"/>
      <w:r w:rsidRPr="00D72F47">
        <w:rPr>
          <w:rFonts w:asciiTheme="minorHAnsi" w:hAnsiTheme="minorHAnsi"/>
          <w:sz w:val="20"/>
          <w:szCs w:val="20"/>
          <w:lang w:val="en-GB"/>
        </w:rPr>
        <w:t xml:space="preserve"> </w:t>
      </w:r>
      <w:proofErr w:type="spellStart"/>
      <w:r w:rsidRPr="00D72F47">
        <w:rPr>
          <w:rFonts w:asciiTheme="minorHAnsi" w:hAnsiTheme="minorHAnsi"/>
          <w:sz w:val="20"/>
          <w:szCs w:val="20"/>
          <w:lang w:val="en-GB"/>
        </w:rPr>
        <w:t>GenCall</w:t>
      </w:r>
      <w:proofErr w:type="spellEnd"/>
      <w:r w:rsidRPr="00D72F47">
        <w:rPr>
          <w:rFonts w:asciiTheme="minorHAnsi" w:hAnsiTheme="minorHAnsi"/>
          <w:sz w:val="20"/>
          <w:szCs w:val="20"/>
          <w:lang w:val="en-GB"/>
        </w:rPr>
        <w:t xml:space="preserve"> algorithm was used for genotype calling and quality control procedures. The following quality control inclusion filters were applied: call rate ≥97,5%, MAF≥1%, </w:t>
      </w:r>
      <w:r w:rsidRPr="00D72F47">
        <w:rPr>
          <w:rFonts w:asciiTheme="minorHAnsi" w:hAnsiTheme="minorHAnsi"/>
          <w:i/>
          <w:sz w:val="20"/>
          <w:szCs w:val="20"/>
          <w:lang w:val="en-GB"/>
        </w:rPr>
        <w:t>P</w:t>
      </w:r>
      <w:r w:rsidRPr="00D72F47">
        <w:rPr>
          <w:rFonts w:asciiTheme="minorHAnsi" w:hAnsiTheme="minorHAnsi"/>
          <w:sz w:val="20"/>
          <w:szCs w:val="20"/>
          <w:lang w:val="en-GB"/>
        </w:rPr>
        <w:t xml:space="preserve"> for Hardy-Weinberg equilibrium &lt;1*10</w:t>
      </w:r>
      <w:r w:rsidRPr="00D72F47">
        <w:rPr>
          <w:rFonts w:asciiTheme="minorHAnsi" w:hAnsiTheme="minorHAnsi"/>
          <w:sz w:val="20"/>
          <w:szCs w:val="20"/>
          <w:vertAlign w:val="superscript"/>
          <w:lang w:val="en-GB"/>
        </w:rPr>
        <w:t>-6</w:t>
      </w:r>
      <w:r w:rsidRPr="00D72F47">
        <w:rPr>
          <w:rFonts w:asciiTheme="minorHAnsi" w:hAnsiTheme="minorHAnsi"/>
          <w:sz w:val="20"/>
          <w:szCs w:val="20"/>
          <w:lang w:val="en-GB"/>
        </w:rPr>
        <w:t xml:space="preserve"> (T</w:t>
      </w:r>
      <w:r w:rsidR="009E4AFA">
        <w:rPr>
          <w:rFonts w:asciiTheme="minorHAnsi" w:hAnsiTheme="minorHAnsi"/>
          <w:sz w:val="20"/>
          <w:szCs w:val="20"/>
          <w:lang w:val="en-GB"/>
        </w:rPr>
        <w:t>able S</w:t>
      </w:r>
      <w:r w:rsidR="00D526C0">
        <w:rPr>
          <w:rFonts w:asciiTheme="minorHAnsi" w:hAnsiTheme="minorHAnsi"/>
          <w:sz w:val="20"/>
          <w:szCs w:val="20"/>
          <w:lang w:val="en-GB"/>
        </w:rPr>
        <w:t>5</w:t>
      </w:r>
      <w:r w:rsidRPr="00D72F47">
        <w:rPr>
          <w:rFonts w:asciiTheme="minorHAnsi" w:hAnsiTheme="minorHAnsi"/>
          <w:sz w:val="20"/>
          <w:szCs w:val="20"/>
          <w:lang w:val="en-GB"/>
        </w:rPr>
        <w:t>). The total number of genotyped SNPs that passed these filters was; RS-I=512,349, RS-II=466,389 and RS-III=517,658. Imputation was done against the 1000G V.3 reference panel using the maximum likelihood method implemented in MACH</w:t>
      </w:r>
      <w:r w:rsidR="00C354AB">
        <w:rPr>
          <w:rFonts w:asciiTheme="minorHAnsi" w:hAnsiTheme="minorHAnsi"/>
          <w:sz w:val="20"/>
          <w:szCs w:val="20"/>
          <w:lang w:val="en-GB"/>
        </w:rPr>
        <w:t xml:space="preserve"> (</w:t>
      </w:r>
      <w:hyperlink r:id="rId6" w:tgtFrame="_blank" w:history="1">
        <w:r w:rsidRPr="00D72F47">
          <w:rPr>
            <w:rFonts w:asciiTheme="minorHAnsi" w:hAnsiTheme="minorHAnsi"/>
            <w:sz w:val="20"/>
            <w:szCs w:val="20"/>
            <w:lang w:val="en-GB"/>
          </w:rPr>
          <w:t>http://www.sph.umich.edu/csg/abecasis/MACH/download/1000G.2012-03-14.html</w:t>
        </w:r>
      </w:hyperlink>
      <w:r w:rsidRPr="00D72F47">
        <w:rPr>
          <w:rFonts w:asciiTheme="minorHAnsi" w:hAnsiTheme="minorHAnsi"/>
          <w:sz w:val="20"/>
          <w:szCs w:val="20"/>
          <w:lang w:val="en-GB"/>
        </w:rPr>
        <w:t>). Analysis of imputed genotype data accounted for uncertainty in each genotype prediction by using the dosage information from MACH. For this analysis we used MACH2QTL via GRIMP</w:t>
      </w:r>
      <w:r w:rsidRPr="00D72F47">
        <w:rPr>
          <w:rFonts w:asciiTheme="minorHAnsi" w:hAnsiTheme="minorHAnsi"/>
          <w:sz w:val="20"/>
          <w:szCs w:val="20"/>
          <w:lang w:val="en-GB"/>
        </w:rPr>
        <w:fldChar w:fldCharType="begin" w:fldLock="1"/>
      </w:r>
      <w:r w:rsidR="009E4AFA">
        <w:rPr>
          <w:rFonts w:asciiTheme="minorHAnsi" w:hAnsiTheme="minorHAnsi"/>
          <w:sz w:val="20"/>
          <w:szCs w:val="20"/>
          <w:lang w:val="en-GB"/>
        </w:rPr>
        <w:instrText>ADDIN CSL_CITATION { "citationItems" : [ { "id" : "ITEM-1", "itemData" : { "DOI" : "10.1093/bioinformatics/btp497", "ISBN" : "2200820186", "ISSN" : "13674803", "PMID" : "19700477", "abstract" : "The current fast growth of genome-wide association studies (GWAS) combined with now common computationally expensive imputation requires the online access of large user groups to high-performance computing resources capable of analyzing rapidly and efficiently millions of genetic markers for ten thousands of individuals. Here, we present a web-based interface--called GRIMP--to run publicly available genetic software for extremely large GWAS on scalable super-computing grid infrastructures. This is of major importance for the enlargement of GWAS with the availability of whole-genome sequence data from the 1000 Genomes Project and for future whole-population efforts.", "author" : [ { "dropping-particle" : "", "family" : "Estrada", "given" : "Karol", "non-dropping-particle" : "", "parse-names" : false, "suffix" : "" }, { "dropping-particle" : "", "family" : "Abuseiris", "given" : "Anis", "non-dropping-particle" : "", "parse-names" : false, "suffix" : "" }, { "dropping-particle" : "", "family" : "Grosveld", "given" : "Frank G.", "non-dropping-particle" : "", "parse-names" : false, "suffix" : "" }, { "dropping-particle" : "", "family" : "Uitterlinden", "given" : "Andr\u00e9 G.", "non-dropping-particle" : "", "parse-names" : false, "suffix" : "" }, { "dropping-particle" : "", "family" : "Knoch", "given" : "Tobias a.", "non-dropping-particle" : "", "parse-names" : false, "suffix" : "" }, { "dropping-particle" : "", "family" : "Rivadeneira", "given" : "Fernando", "non-dropping-particle" : "", "parse-names" : false, "suffix" : "" } ], "container-title" : "Bioinformatics", "id" : "ITEM-1", "issue" : "20", "issued" : { "date-parts" : [ [ "2009" ] ] }, "page" : "2750-2752", "title" : "GRIMP: A web- and grid-based tool for high-speed analysis of large-scale genome-wide association using imputed data", "type" : "article-journal", "volume" : "25" }, "uris" : [ "http://www.mendeley.com/documents/?uuid=481dacb0-6ef2-4457-94b9-c871fde98e43" ] } ], "mendeley" : { "formattedCitation" : "&lt;sup&gt;2&lt;/sup&gt;", "plainTextFormattedCitation" : "2", "previouslyFormattedCitation" : "&lt;sup&gt;2&lt;/sup&gt;" }, "properties" : { "noteIndex" : 0 }, "schema" : "https://github.com/citation-style-language/schema/raw/master/csl-citation.json" }</w:instrText>
      </w:r>
      <w:r w:rsidRPr="00D72F47">
        <w:rPr>
          <w:rFonts w:asciiTheme="minorHAnsi" w:hAnsiTheme="minorHAnsi"/>
          <w:sz w:val="20"/>
          <w:szCs w:val="20"/>
          <w:lang w:val="en-GB"/>
        </w:rPr>
        <w:fldChar w:fldCharType="separate"/>
      </w:r>
      <w:r w:rsidR="00B33450" w:rsidRPr="00B33450">
        <w:rPr>
          <w:rFonts w:asciiTheme="minorHAnsi" w:hAnsiTheme="minorHAnsi"/>
          <w:noProof/>
          <w:sz w:val="20"/>
          <w:szCs w:val="20"/>
          <w:vertAlign w:val="superscript"/>
          <w:lang w:val="en-GB"/>
        </w:rPr>
        <w:t>2</w:t>
      </w:r>
      <w:r w:rsidRPr="00D72F47">
        <w:rPr>
          <w:rFonts w:asciiTheme="minorHAnsi" w:hAnsiTheme="minorHAnsi"/>
          <w:sz w:val="20"/>
          <w:szCs w:val="20"/>
          <w:lang w:val="en-GB"/>
        </w:rPr>
        <w:fldChar w:fldCharType="end"/>
      </w:r>
      <w:r w:rsidRPr="00D72F47">
        <w:rPr>
          <w:rFonts w:asciiTheme="minorHAnsi" w:hAnsiTheme="minorHAnsi"/>
          <w:sz w:val="20"/>
          <w:szCs w:val="20"/>
          <w:lang w:val="en-GB"/>
        </w:rPr>
        <w:t xml:space="preserve">, which uses genotype dosage value (0-2, continuous) as a predictor in a linear regression framework and using </w:t>
      </w:r>
      <w:r w:rsidRPr="00D72F47">
        <w:rPr>
          <w:rFonts w:asciiTheme="minorHAnsi" w:hAnsiTheme="minorHAnsi"/>
          <w:sz w:val="20"/>
          <w:szCs w:val="20"/>
        </w:rPr>
        <w:t xml:space="preserve">standardized age-, gender and population stratification adjusted residuals from </w:t>
      </w:r>
      <w:r w:rsidRPr="00D72F47">
        <w:rPr>
          <w:rFonts w:asciiTheme="minorHAnsi" w:hAnsiTheme="minorHAnsi"/>
          <w:sz w:val="20"/>
          <w:szCs w:val="20"/>
          <w:lang w:val="en-GB"/>
        </w:rPr>
        <w:t xml:space="preserve">linear regression . The summary statistics of RS-I, RS-II and RS-III were meta-analysed using METAL applying inverse variance methodology assuming fixed effects with </w:t>
      </w:r>
      <w:proofErr w:type="spellStart"/>
      <w:r w:rsidRPr="00D72F47">
        <w:rPr>
          <w:rFonts w:asciiTheme="minorHAnsi" w:hAnsiTheme="minorHAnsi"/>
          <w:sz w:val="20"/>
          <w:szCs w:val="20"/>
          <w:lang w:val="en-GB"/>
        </w:rPr>
        <w:t>Cochrans’s</w:t>
      </w:r>
      <w:proofErr w:type="spellEnd"/>
      <w:r w:rsidRPr="00D72F47">
        <w:rPr>
          <w:rFonts w:asciiTheme="minorHAnsi" w:hAnsiTheme="minorHAnsi"/>
          <w:sz w:val="20"/>
          <w:szCs w:val="20"/>
          <w:lang w:val="en-GB"/>
        </w:rPr>
        <w:t xml:space="preserve"> Q and 12 metrics used to quantify between-study heterogeneity </w:t>
      </w:r>
      <w:r w:rsidRPr="00D72F47">
        <w:rPr>
          <w:rFonts w:asciiTheme="minorHAnsi" w:hAnsiTheme="minorHAnsi"/>
          <w:sz w:val="20"/>
          <w:szCs w:val="20"/>
          <w:lang w:val="en-GB"/>
        </w:rPr>
        <w:fldChar w:fldCharType="begin" w:fldLock="1"/>
      </w:r>
      <w:r w:rsidR="009E4AFA">
        <w:rPr>
          <w:rFonts w:asciiTheme="minorHAnsi" w:hAnsiTheme="minorHAnsi"/>
          <w:sz w:val="20"/>
          <w:szCs w:val="20"/>
          <w:lang w:val="en-GB"/>
        </w:rPr>
        <w:instrText>ADDIN CSL_CITATION { "citationItems" : [ { "id" : "ITEM-1", "itemData" : { "DOI" : "10.1093/bioinformatics/btq340", "ISBN" : "1367-4811 (Electronic)\\r1367-4803 (Linking)", "ISSN" : "13674803", "PMID" : "20616382", "abstract" : "SUMMARY: METAL provides a computationally efficient tool for meta-analysis of genome-wide association scans, which is a commonly used approach for improving power complex traits gene mapping studies. METAL provides a rich scripting interface and implements efficient memory management to allow analyses of very large data sets and to support a variety of input file formats. AVAILABILITY AND IMPLEMENTATION: METAL, including source code, documentation, examples, and executables, is available at http://www.sph.umich.edu/csg/abecasis/metal/.", "author" : [ { "dropping-particle" : "", "family" : "Willer", "given" : "Cristen J.", "non-dropping-particle" : "", "parse-names" : false, "suffix" : "" }, { "dropping-particle" : "", "family" : "Li", "given" : "Yun", "non-dropping-particle" : "", "parse-names" : false, "suffix" : "" }, { "dropping-particle" : "", "family" : "Abecasis", "given" : "Gon\u00e7alo R.", "non-dropping-particle" : "", "parse-names" : false, "suffix" : "" } ], "container-title" : "Bioinformatics", "id" : "ITEM-1", "issue" : "17", "issued" : { "date-parts" : [ [ "2010" ] ] }, "page" : "2190-2191", "title" : "METAL: Fast and efficient meta-analysis of genomewide association scans", "type" : "article-journal", "volume" : "26" }, "uris" : [ "http://www.mendeley.com/documents/?uuid=2ae6acb9-38e2-47a5-9011-ce24654b16a7" ] } ], "mendeley" : { "formattedCitation" : "&lt;sup&gt;3&lt;/sup&gt;", "plainTextFormattedCitation" : "3", "previouslyFormattedCitation" : "&lt;sup&gt;3&lt;/sup&gt;" }, "properties" : { "noteIndex" : 0 }, "schema" : "https://github.com/citation-style-language/schema/raw/master/csl-citation.json" }</w:instrText>
      </w:r>
      <w:r w:rsidRPr="00D72F47">
        <w:rPr>
          <w:rFonts w:asciiTheme="minorHAnsi" w:hAnsiTheme="minorHAnsi"/>
          <w:sz w:val="20"/>
          <w:szCs w:val="20"/>
          <w:lang w:val="en-GB"/>
        </w:rPr>
        <w:fldChar w:fldCharType="separate"/>
      </w:r>
      <w:r w:rsidR="00B33450" w:rsidRPr="00B33450">
        <w:rPr>
          <w:rFonts w:asciiTheme="minorHAnsi" w:hAnsiTheme="minorHAnsi"/>
          <w:noProof/>
          <w:sz w:val="20"/>
          <w:szCs w:val="20"/>
          <w:vertAlign w:val="superscript"/>
          <w:lang w:val="en-GB"/>
        </w:rPr>
        <w:t>3</w:t>
      </w:r>
      <w:r w:rsidRPr="00D72F47">
        <w:rPr>
          <w:rFonts w:asciiTheme="minorHAnsi" w:hAnsiTheme="minorHAnsi"/>
          <w:sz w:val="20"/>
          <w:szCs w:val="20"/>
          <w:lang w:val="en-GB"/>
        </w:rPr>
        <w:fldChar w:fldCharType="end"/>
      </w:r>
      <w:r w:rsidRPr="00D72F47">
        <w:rPr>
          <w:rFonts w:asciiTheme="minorHAnsi" w:hAnsiTheme="minorHAnsi"/>
          <w:sz w:val="20"/>
          <w:szCs w:val="20"/>
          <w:lang w:val="en-GB"/>
        </w:rPr>
        <w:t xml:space="preserve">. The medical ethics committee of Erasmus University Medical School approved the study and written informed consent was obtained from each participant. </w:t>
      </w:r>
    </w:p>
    <w:p w:rsidR="00D72F47" w:rsidRPr="00D72F47" w:rsidRDefault="00D72F47" w:rsidP="00D72F47">
      <w:pPr>
        <w:spacing w:line="360" w:lineRule="auto"/>
        <w:ind w:firstLine="720"/>
        <w:rPr>
          <w:rFonts w:asciiTheme="minorHAnsi" w:hAnsiTheme="minorHAnsi"/>
          <w:sz w:val="20"/>
          <w:szCs w:val="20"/>
          <w:lang w:val="en-GB"/>
        </w:rPr>
      </w:pPr>
    </w:p>
    <w:p w:rsidR="00D72F47" w:rsidRPr="00B33450" w:rsidRDefault="002B1F9F" w:rsidP="0093697B">
      <w:pPr>
        <w:spacing w:after="200" w:line="480" w:lineRule="auto"/>
        <w:rPr>
          <w:rFonts w:asciiTheme="minorHAnsi" w:hAnsiTheme="minorHAnsi"/>
          <w:sz w:val="20"/>
          <w:szCs w:val="22"/>
          <w:lang w:val="en-GB"/>
        </w:rPr>
      </w:pPr>
      <w:r>
        <w:rPr>
          <w:rFonts w:asciiTheme="minorHAnsi" w:hAnsiTheme="minorHAnsi"/>
          <w:b/>
          <w:sz w:val="20"/>
          <w:szCs w:val="22"/>
          <w:lang w:val="en-GB"/>
        </w:rPr>
        <w:t xml:space="preserve">Leiden </w:t>
      </w:r>
      <w:r w:rsidR="0093697B" w:rsidRPr="00B33450">
        <w:rPr>
          <w:rFonts w:asciiTheme="minorHAnsi" w:hAnsiTheme="minorHAnsi"/>
          <w:b/>
          <w:sz w:val="20"/>
          <w:szCs w:val="22"/>
          <w:lang w:val="en-GB"/>
        </w:rPr>
        <w:t xml:space="preserve">studies </w:t>
      </w:r>
      <w:r w:rsidR="0093697B" w:rsidRPr="00B33450">
        <w:rPr>
          <w:rFonts w:asciiTheme="minorHAnsi" w:hAnsiTheme="minorHAnsi"/>
          <w:sz w:val="20"/>
          <w:szCs w:val="22"/>
          <w:lang w:val="en-GB"/>
        </w:rPr>
        <w:t xml:space="preserve"> consists of the Genetics </w:t>
      </w:r>
      <w:proofErr w:type="spellStart"/>
      <w:r w:rsidR="0093697B" w:rsidRPr="00B33450">
        <w:rPr>
          <w:rFonts w:asciiTheme="minorHAnsi" w:hAnsiTheme="minorHAnsi"/>
          <w:sz w:val="20"/>
          <w:szCs w:val="22"/>
          <w:lang w:val="en-GB"/>
        </w:rPr>
        <w:t>ARthrosis</w:t>
      </w:r>
      <w:proofErr w:type="spellEnd"/>
      <w:r w:rsidR="0093697B" w:rsidRPr="00B33450">
        <w:rPr>
          <w:rFonts w:asciiTheme="minorHAnsi" w:hAnsiTheme="minorHAnsi"/>
          <w:sz w:val="20"/>
          <w:szCs w:val="22"/>
          <w:lang w:val="en-GB"/>
        </w:rPr>
        <w:t xml:space="preserve"> and Progression study (GARP) and the Leiden Longevity Study (LSS). </w:t>
      </w:r>
      <w:r w:rsidR="0093697B" w:rsidRPr="002B1F9F">
        <w:rPr>
          <w:rFonts w:asciiTheme="minorHAnsi" w:hAnsiTheme="minorHAnsi"/>
          <w:b/>
          <w:sz w:val="20"/>
          <w:szCs w:val="22"/>
          <w:lang w:val="en-GB"/>
        </w:rPr>
        <w:t>GARP</w:t>
      </w:r>
      <w:r w:rsidR="0093697B" w:rsidRPr="002B1F9F">
        <w:rPr>
          <w:rFonts w:asciiTheme="minorHAnsi" w:hAnsiTheme="minorHAnsi"/>
          <w:sz w:val="20"/>
          <w:szCs w:val="22"/>
          <w:lang w:val="en-GB"/>
        </w:rPr>
        <w:t>.</w:t>
      </w:r>
      <w:r w:rsidR="0093697B" w:rsidRPr="00B33450">
        <w:rPr>
          <w:rFonts w:asciiTheme="minorHAnsi" w:hAnsiTheme="minorHAnsi"/>
          <w:b/>
          <w:sz w:val="20"/>
          <w:szCs w:val="22"/>
          <w:lang w:val="en-GB"/>
        </w:rPr>
        <w:t xml:space="preserve"> </w:t>
      </w:r>
      <w:r w:rsidR="0093697B" w:rsidRPr="00B33450">
        <w:rPr>
          <w:rFonts w:asciiTheme="minorHAnsi" w:hAnsiTheme="minorHAnsi"/>
          <w:sz w:val="20"/>
          <w:szCs w:val="22"/>
          <w:lang w:val="en-GB"/>
        </w:rPr>
        <w:t xml:space="preserve">The Genetics </w:t>
      </w:r>
      <w:proofErr w:type="spellStart"/>
      <w:r w:rsidR="0093697B" w:rsidRPr="00B33450">
        <w:rPr>
          <w:rFonts w:asciiTheme="minorHAnsi" w:hAnsiTheme="minorHAnsi"/>
          <w:sz w:val="20"/>
          <w:szCs w:val="22"/>
          <w:lang w:val="en-GB"/>
        </w:rPr>
        <w:t>ARthrosis</w:t>
      </w:r>
      <w:proofErr w:type="spellEnd"/>
      <w:r w:rsidR="0093697B" w:rsidRPr="00B33450">
        <w:rPr>
          <w:rFonts w:asciiTheme="minorHAnsi" w:hAnsiTheme="minorHAnsi"/>
          <w:sz w:val="20"/>
          <w:szCs w:val="22"/>
          <w:lang w:val="en-GB"/>
        </w:rPr>
        <w:t xml:space="preserve"> and Progression study (GARP) study is aimed at identifying (genetic) determinants of osteoarthritis susceptibility and progression. The study consists of </w:t>
      </w:r>
      <w:r w:rsidRPr="00B33450">
        <w:rPr>
          <w:rFonts w:asciiTheme="minorHAnsi" w:hAnsiTheme="minorHAnsi"/>
          <w:sz w:val="20"/>
          <w:szCs w:val="22"/>
          <w:lang w:val="en-GB"/>
        </w:rPr>
        <w:t>sibling pairs</w:t>
      </w:r>
      <w:r w:rsidR="0093697B" w:rsidRPr="00B33450">
        <w:rPr>
          <w:rFonts w:asciiTheme="minorHAnsi" w:hAnsiTheme="minorHAnsi"/>
          <w:sz w:val="20"/>
          <w:szCs w:val="22"/>
          <w:lang w:val="en-GB"/>
        </w:rPr>
        <w:t xml:space="preserve"> with </w:t>
      </w:r>
      <w:r w:rsidRPr="00B33450">
        <w:rPr>
          <w:rFonts w:asciiTheme="minorHAnsi" w:hAnsiTheme="minorHAnsi"/>
          <w:sz w:val="20"/>
          <w:szCs w:val="22"/>
          <w:lang w:val="en-GB"/>
        </w:rPr>
        <w:t>symptomatic</w:t>
      </w:r>
      <w:r w:rsidR="0093697B" w:rsidRPr="00B33450">
        <w:rPr>
          <w:rFonts w:asciiTheme="minorHAnsi" w:hAnsiTheme="minorHAnsi"/>
          <w:sz w:val="20"/>
          <w:szCs w:val="22"/>
          <w:lang w:val="en-GB"/>
        </w:rPr>
        <w:t xml:space="preserve"> OA at multiple joint sites, as outlined in detail previously</w:t>
      </w:r>
      <w:r>
        <w:rPr>
          <w:rFonts w:asciiTheme="minorHAnsi" w:hAnsiTheme="minorHAnsi"/>
          <w:sz w:val="20"/>
          <w:szCs w:val="22"/>
          <w:lang w:val="en-GB"/>
        </w:rPr>
        <w:fldChar w:fldCharType="begin" w:fldLock="1"/>
      </w:r>
      <w:r>
        <w:rPr>
          <w:rFonts w:asciiTheme="minorHAnsi" w:hAnsiTheme="minorHAnsi"/>
          <w:sz w:val="20"/>
          <w:szCs w:val="22"/>
          <w:lang w:val="en-GB"/>
        </w:rPr>
        <w:instrText>ADDIN CSL_CITATION { "citationItems" : [ { "id" : "ITEM-1", "itemData" : { "DOI" : "10.1136/ard.2004.024661", "ISSN" : "0003-4967", "PMID" : "15458958", "abstract" : "OBJECTIVE: To evaluate whether familial aggregation of osteoarthritis differs by joint site in a sibling pair study (GARP) of patients with osteoarthritis at multiple sites.\n\nSUBJECTS: White Dutch probands aged 40 to 70 years and their siblings with primary osteoarthritis at multiple sites.\n\nMETHODS: The diagnosis of knee, hip, and spine osteoarthritis was based on a combination of pain or stiffness on most days of the previous month and osteophytes or joint space narrowing on x ray. Hand osteoarthritis was defined by ACR criteria. Odds ratios (OR) were calculated for siblings and probands sharing disease in the same joints.\n\nRESULTS: 191 sibling pairs were included (85% women; mean age 60 years). In the probands, osteoarthritis was present in spine (76%), hands (77%), knees (37%), and hips (26%). The most common combinations in probands were spine-hand (59%), spine-knee (27%), and hand-knee (25%). The OR adjusted for age, sex, and body mass index for siblings to be affected in the same joint sites as the proband were increased in osteoarthritis of the hand (OR = 4.4 (95% confidence interval, 2.0 to 9.5)), hip (OR = 3.9 (1.8 to 8.4)), spine (OR = 2.2 (1.0 to 5.1)), hip-spine (OR = 4.7 (2.1 to 10.4)), and hand-hip (OR = 3.4 (1.1 to 10.4)). Siblings of probands with osteoarthritis in the knee did not have an increased likelihood of knee osteoarthritis.\n\nCONCLUSIONS: In middle aged patients with familial osteoarthritis at multiple sites, familial aggregation of osteoarthritis was most striking for hand and hip but remarkably absent for the knee.", "author" : [ { "dropping-particle" : "", "family" : "Riyazi", "given" : "N", "non-dropping-particle" : "", "parse-names" : false, "suffix" : "" }, { "dropping-particle" : "", "family" : "Meulenbelt", "given" : "I", "non-dropping-particle" : "", "parse-names" : false, "suffix" : "" }, { "dropping-particle" : "", "family" : "Kroon", "given" : "H M", "non-dropping-particle" : "", "parse-names" : false, "suffix" : "" }, { "dropping-particle" : "", "family" : "Ronday", "given" : "K H", "non-dropping-particle" : "", "parse-names" : false, "suffix" : "" }, { "dropping-particle" : "", "family" : "Hellio le Graverand", "given" : "M-P", "non-dropping-particle" : "", "parse-names" : false, "suffix" : "" }, { "dropping-particle" : "", "family" : "Rosendaal", "given" : "F R", "non-dropping-particle" : "", "parse-names" : false, "suffix" : "" }, { "dropping-particle" : "", "family" : "Breedveld", "given" : "F C", "non-dropping-particle" : "", "parse-names" : false, "suffix" : "" }, { "dropping-particle" : "", "family" : "Slagboom", "given" : "P E", "non-dropping-particle" : "", "parse-names" : false, "suffix" : "" }, { "dropping-particle" : "", "family" : "Kloppenburg", "given" : "M", "non-dropping-particle" : "", "parse-names" : false, "suffix" : "" } ], "container-title" : "Annals of the rheumatic diseases", "id" : "ITEM-1", "issue" : "3", "issued" : { "date-parts" : [ [ "2005", "3" ] ] }, "page" : "438-43", "title" : "Evidence for familial aggregation of hand, hip, and spine but not knee osteoarthritis in siblings with multiple joint involvement: the GARP study.", "type" : "article-journal", "volume" : "64" }, "uris" : [ "http://www.mendeley.com/documents/?uuid=e9bb6174-ef4e-4353-8256-970ad4a4cb20" ] } ], "mendeley" : { "formattedCitation" : "&lt;sup&gt;4&lt;/sup&gt;", "plainTextFormattedCitation" : "4", "previouslyFormattedCitation" : "&lt;sup&gt;4&lt;/sup&gt;" }, "properties" : { "noteIndex" : 0 }, "schema" : "https://github.com/citation-style-language/schema/raw/master/csl-citation.json" }</w:instrText>
      </w:r>
      <w:r>
        <w:rPr>
          <w:rFonts w:asciiTheme="minorHAnsi" w:hAnsiTheme="minorHAnsi"/>
          <w:sz w:val="20"/>
          <w:szCs w:val="22"/>
          <w:lang w:val="en-GB"/>
        </w:rPr>
        <w:fldChar w:fldCharType="separate"/>
      </w:r>
      <w:r w:rsidRPr="00B33450">
        <w:rPr>
          <w:rFonts w:asciiTheme="minorHAnsi" w:hAnsiTheme="minorHAnsi"/>
          <w:noProof/>
          <w:sz w:val="20"/>
          <w:szCs w:val="22"/>
          <w:vertAlign w:val="superscript"/>
          <w:lang w:val="en-GB"/>
        </w:rPr>
        <w:t>4</w:t>
      </w:r>
      <w:r>
        <w:rPr>
          <w:rFonts w:asciiTheme="minorHAnsi" w:hAnsiTheme="minorHAnsi"/>
          <w:sz w:val="20"/>
          <w:szCs w:val="22"/>
          <w:lang w:val="en-GB"/>
        </w:rPr>
        <w:fldChar w:fldCharType="end"/>
      </w:r>
      <w:r w:rsidR="00B33450" w:rsidRPr="00B33450">
        <w:rPr>
          <w:rFonts w:asciiTheme="minorHAnsi" w:hAnsiTheme="minorHAnsi"/>
          <w:sz w:val="20"/>
          <w:szCs w:val="22"/>
          <w:lang w:val="en-GB"/>
        </w:rPr>
        <w:t xml:space="preserve"> </w:t>
      </w:r>
      <w:r w:rsidR="0093697B" w:rsidRPr="00B33450">
        <w:rPr>
          <w:rFonts w:asciiTheme="minorHAnsi" w:hAnsiTheme="minorHAnsi"/>
          <w:sz w:val="20"/>
          <w:szCs w:val="22"/>
          <w:lang w:val="en-GB"/>
        </w:rPr>
        <w:t xml:space="preserve">. The </w:t>
      </w:r>
      <w:r w:rsidR="0093697B" w:rsidRPr="00B33450">
        <w:rPr>
          <w:rFonts w:asciiTheme="minorHAnsi" w:hAnsiTheme="minorHAnsi"/>
          <w:b/>
          <w:sz w:val="20"/>
          <w:szCs w:val="22"/>
          <w:lang w:val="en-GB"/>
        </w:rPr>
        <w:t>Leiden Longevity Study</w:t>
      </w:r>
      <w:r w:rsidR="0093697B" w:rsidRPr="00B33450">
        <w:rPr>
          <w:rFonts w:asciiTheme="minorHAnsi" w:hAnsiTheme="minorHAnsi"/>
          <w:sz w:val="20"/>
          <w:szCs w:val="22"/>
          <w:lang w:val="en-GB"/>
        </w:rPr>
        <w:t xml:space="preserve"> includes independent Caucasian offspring and partners of long-lived siblings that were alive and over 89 years old for males and over 91 years for </w:t>
      </w:r>
      <w:r w:rsidR="00C354AB" w:rsidRPr="00B33450">
        <w:rPr>
          <w:rFonts w:asciiTheme="minorHAnsi" w:hAnsiTheme="minorHAnsi"/>
          <w:sz w:val="20"/>
          <w:szCs w:val="22"/>
          <w:lang w:val="en-GB"/>
        </w:rPr>
        <w:t>females</w:t>
      </w:r>
      <w:r w:rsidR="0093697B" w:rsidRPr="00B33450">
        <w:rPr>
          <w:rFonts w:asciiTheme="minorHAnsi" w:hAnsiTheme="minorHAnsi"/>
          <w:sz w:val="20"/>
          <w:szCs w:val="22"/>
          <w:lang w:val="en-GB"/>
        </w:rPr>
        <w:t xml:space="preserve"> a</w:t>
      </w:r>
      <w:r w:rsidR="00B33450">
        <w:rPr>
          <w:rFonts w:asciiTheme="minorHAnsi" w:hAnsiTheme="minorHAnsi"/>
          <w:sz w:val="20"/>
          <w:szCs w:val="22"/>
          <w:lang w:val="en-GB"/>
        </w:rPr>
        <w:t>s outlined in detail previously</w:t>
      </w:r>
      <w:r w:rsidR="00B33450">
        <w:rPr>
          <w:rFonts w:asciiTheme="minorHAnsi" w:hAnsiTheme="minorHAnsi"/>
          <w:sz w:val="20"/>
          <w:szCs w:val="22"/>
          <w:lang w:val="en-GB"/>
        </w:rPr>
        <w:fldChar w:fldCharType="begin" w:fldLock="1"/>
      </w:r>
      <w:r w:rsidR="009E4AFA">
        <w:rPr>
          <w:rFonts w:asciiTheme="minorHAnsi" w:hAnsiTheme="minorHAnsi"/>
          <w:sz w:val="20"/>
          <w:szCs w:val="22"/>
          <w:lang w:val="en-GB"/>
        </w:rPr>
        <w:instrText>ADDIN CSL_CITATION { "citationItems" : [ { "id" : "ITEM-1", "itemData" : { "DOI" : "10.1038/sj.ejhg.5201508", "ISSN" : "1018-4813", "author" : [ { "dropping-particle" : "", "family" : "Schoenmaker", "given" : "Manja", "non-dropping-particle" : "", "parse-names" : false, "suffix" : "" }, { "dropping-particle" : "", "family" : "Craen", "given" : "Anton J M", "non-dropping-particle" : "de", "parse-names" : false, "suffix" : "" }, { "dropping-particle" : "", "family" : "Meijer", "given" : "Paul H E M", "non-dropping-particle" : "de", "parse-names" : false, "suffix" : "" }, { "dropping-particle" : "", "family" : "Beekman", "given" : "Marian", "non-dropping-particle" : "", "parse-names" : false, "suffix" : "" }, { "dropping-particle" : "", "family" : "Blauw", "given" : "Gerard J", "non-dropping-particle" : "", "parse-names" : false, "suffix" : "" }, { "dropping-particle" : "", "family" : "Slagboom", "given" : "P Eline", "non-dropping-particle" : "", "parse-names" : false, "suffix" : "" }, { "dropping-particle" : "", "family" : "Westendorp", "given" : "Rudi G J", "non-dropping-particle" : "", "parse-names" : false, "suffix" : "" } ], "container-title" : "European Journal of Human Genetics", "id" : "ITEM-1", "issued" : { "date-parts" : [ [ "2005", "10", "26" ] ] }, "title" : "Evidence of genetic enrichment for exceptional survival using a family approach: the Leiden Longevity Study", "type" : "article-journal" }, "uris" : [ "http://www.mendeley.com/documents/?uuid=e9b58269-cf8a-3c95-a4a1-1c00732a6b22" ] } ], "mendeley" : { "formattedCitation" : "&lt;sup&gt;5&lt;/sup&gt;", "plainTextFormattedCitation" : "5", "previouslyFormattedCitation" : "&lt;sup&gt;5&lt;/sup&gt;" }, "properties" : { "noteIndex" : 0 }, "schema" : "https://github.com/citation-style-language/schema/raw/master/csl-citation.json" }</w:instrText>
      </w:r>
      <w:r w:rsidR="00B33450">
        <w:rPr>
          <w:rFonts w:asciiTheme="minorHAnsi" w:hAnsiTheme="minorHAnsi"/>
          <w:sz w:val="20"/>
          <w:szCs w:val="22"/>
          <w:lang w:val="en-GB"/>
        </w:rPr>
        <w:fldChar w:fldCharType="separate"/>
      </w:r>
      <w:r w:rsidR="00B33450" w:rsidRPr="00B33450">
        <w:rPr>
          <w:rFonts w:asciiTheme="minorHAnsi" w:hAnsiTheme="minorHAnsi"/>
          <w:noProof/>
          <w:sz w:val="20"/>
          <w:szCs w:val="22"/>
          <w:vertAlign w:val="superscript"/>
          <w:lang w:val="en-GB"/>
        </w:rPr>
        <w:t>5</w:t>
      </w:r>
      <w:r w:rsidR="00B33450">
        <w:rPr>
          <w:rFonts w:asciiTheme="minorHAnsi" w:hAnsiTheme="minorHAnsi"/>
          <w:sz w:val="20"/>
          <w:szCs w:val="22"/>
          <w:lang w:val="en-GB"/>
        </w:rPr>
        <w:fldChar w:fldCharType="end"/>
      </w:r>
      <w:r w:rsidR="0093697B" w:rsidRPr="00B33450">
        <w:rPr>
          <w:rFonts w:asciiTheme="minorHAnsi" w:hAnsiTheme="minorHAnsi"/>
          <w:sz w:val="20"/>
          <w:szCs w:val="22"/>
          <w:lang w:val="en-GB"/>
        </w:rPr>
        <w:t xml:space="preserve">. For both studies hand OA scores were </w:t>
      </w:r>
      <w:r w:rsidRPr="002B1F9F">
        <w:rPr>
          <w:rFonts w:asciiTheme="minorHAnsi" w:hAnsiTheme="minorHAnsi"/>
          <w:sz w:val="20"/>
          <w:szCs w:val="22"/>
          <w:lang w:val="en-GB"/>
        </w:rPr>
        <w:t>determined by experienced readers of the Depts. Radiology and Rheumatology of the LUMC as previo</w:t>
      </w:r>
      <w:r>
        <w:rPr>
          <w:rFonts w:asciiTheme="minorHAnsi" w:hAnsiTheme="minorHAnsi"/>
          <w:sz w:val="20"/>
          <w:szCs w:val="22"/>
          <w:lang w:val="en-GB"/>
        </w:rPr>
        <w:t>usly outlined in detail.</w:t>
      </w:r>
      <w:r w:rsidR="00B33450">
        <w:rPr>
          <w:rFonts w:asciiTheme="minorHAnsi" w:hAnsiTheme="minorHAnsi"/>
          <w:sz w:val="20"/>
          <w:szCs w:val="22"/>
          <w:lang w:val="en-GB"/>
        </w:rPr>
        <w:fldChar w:fldCharType="begin" w:fldLock="1"/>
      </w:r>
      <w:r w:rsidR="009E4AFA">
        <w:rPr>
          <w:rFonts w:asciiTheme="minorHAnsi" w:hAnsiTheme="minorHAnsi"/>
          <w:sz w:val="20"/>
          <w:szCs w:val="22"/>
          <w:lang w:val="en-GB"/>
        </w:rPr>
        <w:instrText>ADDIN CSL_CITATION { "citationItems" : [ { "id" : "ITEM-1", "itemData" : { "DOI" : "10.1136/ard.2004.024661", "ISSN" : "0003-4967", "PMID" : "15458958", "abstract" : "OBJECTIVE: To evaluate whether familial aggregation of osteoarthritis differs by joint site in a sibling pair study (GARP) of patients with osteoarthritis at multiple sites.\n\nSUBJECTS: White Dutch probands aged 40 to 70 years and their siblings with primary osteoarthritis at multiple sites.\n\nMETHODS: The diagnosis of knee, hip, and spine osteoarthritis was based on a combination of pain or stiffness on most days of the previous month and osteophytes or joint space narrowing on x ray. Hand osteoarthritis was defined by ACR criteria. Odds ratios (OR) were calculated for siblings and probands sharing disease in the same joints.\n\nRESULTS: 191 sibling pairs were included (85% women; mean age 60 years). In the probands, osteoarthritis was present in spine (76%), hands (77%), knees (37%), and hips (26%). The most common combinations in probands were spine-hand (59%), spine-knee (27%), and hand-knee (25%). The OR adjusted for age, sex, and body mass index for siblings to be affected in the same joint sites as the proband were increased in osteoarthritis of the hand (OR = 4.4 (95% confidence interval, 2.0 to 9.5)), hip (OR = 3.9 (1.8 to 8.4)), spine (OR = 2.2 (1.0 to 5.1)), hip-spine (OR = 4.7 (2.1 to 10.4)), and hand-hip (OR = 3.4 (1.1 to 10.4)). Siblings of probands with osteoarthritis in the knee did not have an increased likelihood of knee osteoarthritis.\n\nCONCLUSIONS: In middle aged patients with familial osteoarthritis at multiple sites, familial aggregation of osteoarthritis was most striking for hand and hip but remarkably absent for the knee.", "author" : [ { "dropping-particle" : "", "family" : "Riyazi", "given" : "N", "non-dropping-particle" : "", "parse-names" : false, "suffix" : "" }, { "dropping-particle" : "", "family" : "Meulenbelt", "given" : "I", "non-dropping-particle" : "", "parse-names" : false, "suffix" : "" }, { "dropping-particle" : "", "family" : "Kroon", "given" : "H M", "non-dropping-particle" : "", "parse-names" : false, "suffix" : "" }, { "dropping-particle" : "", "family" : "Ronday", "given" : "K H", "non-dropping-particle" : "", "parse-names" : false, "suffix" : "" }, { "dropping-particle" : "", "family" : "Hellio le Graverand", "given" : "M-P", "non-dropping-particle" : "", "parse-names" : false, "suffix" : "" }, { "dropping-particle" : "", "family" : "Rosendaal", "given" : "F R", "non-dropping-particle" : "", "parse-names" : false, "suffix" : "" }, { "dropping-particle" : "", "family" : "Breedveld", "given" : "F C", "non-dropping-particle" : "", "parse-names" : false, "suffix" : "" }, { "dropping-particle" : "", "family" : "Slagboom", "given" : "P E", "non-dropping-particle" : "", "parse-names" : false, "suffix" : "" }, { "dropping-particle" : "", "family" : "Kloppenburg", "given" : "M", "non-dropping-particle" : "", "parse-names" : false, "suffix" : "" } ], "container-title" : "Annals of the rheumatic diseases", "id" : "ITEM-1", "issue" : "3", "issued" : { "date-parts" : [ [ "2005", "3" ] ] }, "page" : "438-43", "title" : "Evidence for familial aggregation of hand, hip, and spine but not knee osteoarthritis in siblings with multiple joint involvement: the GARP study.", "type" : "article-journal", "volume" : "64" }, "uris" : [ "http://www.mendeley.com/documents/?uuid=e9bb6174-ef4e-4353-8256-970ad4a4cb20" ] } ], "mendeley" : { "formattedCitation" : "&lt;sup&gt;4&lt;/sup&gt;", "plainTextFormattedCitation" : "4", "previouslyFormattedCitation" : "&lt;sup&gt;4&lt;/sup&gt;" }, "properties" : { "noteIndex" : 0 }, "schema" : "https://github.com/citation-style-language/schema/raw/master/csl-citation.json" }</w:instrText>
      </w:r>
      <w:r w:rsidR="00B33450">
        <w:rPr>
          <w:rFonts w:asciiTheme="minorHAnsi" w:hAnsiTheme="minorHAnsi"/>
          <w:sz w:val="20"/>
          <w:szCs w:val="22"/>
          <w:lang w:val="en-GB"/>
        </w:rPr>
        <w:fldChar w:fldCharType="separate"/>
      </w:r>
      <w:r w:rsidR="00B33450" w:rsidRPr="00B33450">
        <w:rPr>
          <w:rFonts w:asciiTheme="minorHAnsi" w:hAnsiTheme="minorHAnsi"/>
          <w:noProof/>
          <w:sz w:val="20"/>
          <w:szCs w:val="22"/>
          <w:vertAlign w:val="superscript"/>
          <w:lang w:val="en-GB"/>
        </w:rPr>
        <w:t>4</w:t>
      </w:r>
      <w:r w:rsidR="00B33450">
        <w:rPr>
          <w:rFonts w:asciiTheme="minorHAnsi" w:hAnsiTheme="minorHAnsi"/>
          <w:sz w:val="20"/>
          <w:szCs w:val="22"/>
          <w:lang w:val="en-GB"/>
        </w:rPr>
        <w:fldChar w:fldCharType="end"/>
      </w:r>
      <w:r>
        <w:rPr>
          <w:rFonts w:asciiTheme="minorHAnsi" w:hAnsiTheme="minorHAnsi"/>
          <w:sz w:val="20"/>
          <w:szCs w:val="22"/>
          <w:lang w:val="en-GB"/>
        </w:rPr>
        <w:t xml:space="preserve"> </w:t>
      </w:r>
      <w:r w:rsidR="0093697B" w:rsidRPr="00B33450">
        <w:rPr>
          <w:rFonts w:asciiTheme="minorHAnsi" w:hAnsiTheme="minorHAnsi"/>
          <w:sz w:val="20"/>
          <w:szCs w:val="22"/>
          <w:lang w:val="en-GB"/>
        </w:rPr>
        <w:t xml:space="preserve"> Written informed consent was obtained from each subject as approved by the ethical committees of the Leiden </w:t>
      </w:r>
      <w:r w:rsidR="0093697B" w:rsidRPr="00B33450">
        <w:rPr>
          <w:rFonts w:asciiTheme="minorHAnsi" w:hAnsiTheme="minorHAnsi"/>
          <w:sz w:val="20"/>
          <w:szCs w:val="22"/>
          <w:lang w:val="en-GB"/>
        </w:rPr>
        <w:lastRenderedPageBreak/>
        <w:t xml:space="preserve">University Medical </w:t>
      </w:r>
      <w:proofErr w:type="spellStart"/>
      <w:r w:rsidR="0093697B" w:rsidRPr="00B33450">
        <w:rPr>
          <w:rFonts w:asciiTheme="minorHAnsi" w:hAnsiTheme="minorHAnsi"/>
          <w:sz w:val="20"/>
          <w:szCs w:val="22"/>
          <w:lang w:val="en-GB"/>
        </w:rPr>
        <w:t>Center</w:t>
      </w:r>
      <w:proofErr w:type="spellEnd"/>
      <w:r w:rsidR="0093697B" w:rsidRPr="00B33450">
        <w:rPr>
          <w:rFonts w:asciiTheme="minorHAnsi" w:hAnsiTheme="minorHAnsi"/>
          <w:sz w:val="20"/>
          <w:szCs w:val="22"/>
          <w:lang w:val="en-GB"/>
        </w:rPr>
        <w:t xml:space="preserve">. Genotyping was performed using </w:t>
      </w:r>
      <w:proofErr w:type="spellStart"/>
      <w:r w:rsidR="0093697B" w:rsidRPr="00B33450">
        <w:rPr>
          <w:rFonts w:asciiTheme="minorHAnsi" w:hAnsiTheme="minorHAnsi"/>
          <w:sz w:val="20"/>
          <w:szCs w:val="22"/>
          <w:lang w:val="en-GB"/>
        </w:rPr>
        <w:t>Illuminia</w:t>
      </w:r>
      <w:proofErr w:type="spellEnd"/>
      <w:r w:rsidR="0093697B" w:rsidRPr="00B33450">
        <w:rPr>
          <w:rFonts w:asciiTheme="minorHAnsi" w:hAnsiTheme="minorHAnsi"/>
          <w:sz w:val="20"/>
          <w:szCs w:val="22"/>
          <w:lang w:val="en-GB"/>
        </w:rPr>
        <w:t xml:space="preserve"> </w:t>
      </w:r>
      <w:proofErr w:type="spellStart"/>
      <w:r w:rsidR="0093697B" w:rsidRPr="00B33450">
        <w:rPr>
          <w:rFonts w:asciiTheme="minorHAnsi" w:hAnsiTheme="minorHAnsi"/>
          <w:sz w:val="20"/>
          <w:szCs w:val="22"/>
          <w:lang w:val="en-GB"/>
        </w:rPr>
        <w:t>Infinium</w:t>
      </w:r>
      <w:proofErr w:type="spellEnd"/>
      <w:r w:rsidR="0093697B" w:rsidRPr="00B33450">
        <w:rPr>
          <w:rFonts w:asciiTheme="minorHAnsi" w:hAnsiTheme="minorHAnsi"/>
          <w:sz w:val="20"/>
          <w:szCs w:val="22"/>
          <w:lang w:val="en-GB"/>
        </w:rPr>
        <w:t xml:space="preserve"> HD Human660W-Quad </w:t>
      </w:r>
      <w:proofErr w:type="spellStart"/>
      <w:r w:rsidR="0093697B" w:rsidRPr="00B33450">
        <w:rPr>
          <w:rFonts w:asciiTheme="minorHAnsi" w:hAnsiTheme="minorHAnsi"/>
          <w:sz w:val="20"/>
          <w:szCs w:val="22"/>
          <w:lang w:val="en-GB"/>
        </w:rPr>
        <w:t>Beadchips</w:t>
      </w:r>
      <w:proofErr w:type="spellEnd"/>
      <w:r w:rsidR="0093697B" w:rsidRPr="00B33450">
        <w:rPr>
          <w:rFonts w:asciiTheme="minorHAnsi" w:hAnsiTheme="minorHAnsi"/>
          <w:sz w:val="20"/>
          <w:szCs w:val="22"/>
          <w:lang w:val="en-GB"/>
        </w:rPr>
        <w:t xml:space="preserve"> (</w:t>
      </w:r>
      <w:proofErr w:type="spellStart"/>
      <w:r w:rsidR="0093697B" w:rsidRPr="00B33450">
        <w:rPr>
          <w:rFonts w:asciiTheme="minorHAnsi" w:hAnsiTheme="minorHAnsi"/>
          <w:sz w:val="20"/>
          <w:szCs w:val="22"/>
          <w:lang w:val="en-GB"/>
        </w:rPr>
        <w:t>Illumin</w:t>
      </w:r>
      <w:proofErr w:type="spellEnd"/>
      <w:r w:rsidR="0093697B" w:rsidRPr="00B33450">
        <w:rPr>
          <w:rFonts w:asciiTheme="minorHAnsi" w:hAnsiTheme="minorHAnsi"/>
          <w:sz w:val="20"/>
          <w:szCs w:val="22"/>
          <w:lang w:val="en-GB"/>
        </w:rPr>
        <w:t>, San Diego, CA, USA) and imputation of the GARP and LLS studies was performed simultaneously with 1000G V.3 reference panel using IMPUTE</w:t>
      </w:r>
      <w:r w:rsidR="009E4AFA">
        <w:rPr>
          <w:rFonts w:asciiTheme="minorHAnsi" w:hAnsiTheme="minorHAnsi"/>
          <w:sz w:val="20"/>
          <w:szCs w:val="22"/>
          <w:lang w:val="en-GB"/>
        </w:rPr>
        <w:t xml:space="preserve"> (Table S3)</w:t>
      </w:r>
      <w:r w:rsidR="0093697B" w:rsidRPr="00B33450">
        <w:rPr>
          <w:rFonts w:asciiTheme="minorHAnsi" w:hAnsiTheme="minorHAnsi"/>
          <w:sz w:val="20"/>
          <w:szCs w:val="22"/>
          <w:lang w:val="en-GB"/>
        </w:rPr>
        <w:t xml:space="preserve">. </w:t>
      </w:r>
    </w:p>
    <w:p w:rsidR="00D72F47" w:rsidRPr="00D72F47" w:rsidRDefault="00D72F47" w:rsidP="00D72F47">
      <w:pPr>
        <w:spacing w:line="480" w:lineRule="auto"/>
        <w:rPr>
          <w:rFonts w:asciiTheme="minorHAnsi" w:hAnsiTheme="minorHAnsi"/>
          <w:sz w:val="20"/>
          <w:szCs w:val="20"/>
          <w:lang w:val="en-GB"/>
        </w:rPr>
      </w:pPr>
      <w:proofErr w:type="spellStart"/>
      <w:r w:rsidRPr="00D72F47">
        <w:rPr>
          <w:rFonts w:asciiTheme="minorHAnsi" w:hAnsiTheme="minorHAnsi"/>
          <w:b/>
          <w:sz w:val="20"/>
          <w:szCs w:val="20"/>
          <w:lang w:val="en-GB"/>
        </w:rPr>
        <w:t>TwinsUK</w:t>
      </w:r>
      <w:proofErr w:type="spellEnd"/>
      <w:r w:rsidRPr="00D72F47">
        <w:rPr>
          <w:rFonts w:asciiTheme="minorHAnsi" w:hAnsiTheme="minorHAnsi"/>
          <w:b/>
          <w:sz w:val="20"/>
          <w:szCs w:val="20"/>
          <w:lang w:val="en-GB"/>
        </w:rPr>
        <w:t>.</w:t>
      </w:r>
      <w:r w:rsidRPr="00D72F47">
        <w:rPr>
          <w:rFonts w:asciiTheme="minorHAnsi" w:hAnsiTheme="minorHAnsi"/>
          <w:sz w:val="20"/>
          <w:szCs w:val="20"/>
          <w:lang w:val="en-GB"/>
        </w:rPr>
        <w:t xml:space="preserve"> The </w:t>
      </w:r>
      <w:proofErr w:type="spellStart"/>
      <w:r w:rsidRPr="00D72F47">
        <w:rPr>
          <w:rFonts w:asciiTheme="minorHAnsi" w:hAnsiTheme="minorHAnsi"/>
          <w:sz w:val="20"/>
          <w:szCs w:val="20"/>
          <w:lang w:val="en-GB"/>
        </w:rPr>
        <w:t>TwinsUK</w:t>
      </w:r>
      <w:proofErr w:type="spellEnd"/>
      <w:r w:rsidRPr="00D72F47">
        <w:rPr>
          <w:rFonts w:asciiTheme="minorHAnsi" w:hAnsiTheme="minorHAnsi"/>
          <w:sz w:val="20"/>
          <w:szCs w:val="20"/>
          <w:lang w:val="en-GB"/>
        </w:rPr>
        <w:t xml:space="preserve"> study participants were white monozygotic and dizygotic twin pairs from the </w:t>
      </w:r>
      <w:proofErr w:type="spellStart"/>
      <w:r w:rsidRPr="00D72F47">
        <w:rPr>
          <w:rFonts w:asciiTheme="minorHAnsi" w:hAnsiTheme="minorHAnsi"/>
          <w:sz w:val="20"/>
          <w:szCs w:val="20"/>
          <w:lang w:val="en-GB"/>
        </w:rPr>
        <w:t>TwinsUK</w:t>
      </w:r>
      <w:proofErr w:type="spellEnd"/>
      <w:r w:rsidRPr="00D72F47">
        <w:rPr>
          <w:rFonts w:asciiTheme="minorHAnsi" w:hAnsiTheme="minorHAnsi"/>
          <w:sz w:val="20"/>
          <w:szCs w:val="20"/>
          <w:lang w:val="en-GB"/>
        </w:rPr>
        <w:t xml:space="preserve"> adult twin registry, a group used to study the heritability and genetics of </w:t>
      </w:r>
      <w:r w:rsidR="00BB26B8">
        <w:rPr>
          <w:rFonts w:asciiTheme="minorHAnsi" w:hAnsiTheme="minorHAnsi"/>
          <w:sz w:val="20"/>
          <w:szCs w:val="20"/>
          <w:lang w:val="en-GB"/>
        </w:rPr>
        <w:t>age-related diseases</w:t>
      </w:r>
      <w:r w:rsidR="00BB26B8">
        <w:rPr>
          <w:rFonts w:asciiTheme="minorHAnsi" w:hAnsiTheme="minorHAnsi"/>
          <w:sz w:val="20"/>
          <w:szCs w:val="20"/>
          <w:lang w:val="en-GB"/>
        </w:rPr>
        <w:fldChar w:fldCharType="begin" w:fldLock="1"/>
      </w:r>
      <w:r w:rsidR="00396C79">
        <w:rPr>
          <w:rFonts w:asciiTheme="minorHAnsi" w:hAnsiTheme="minorHAnsi"/>
          <w:sz w:val="20"/>
          <w:szCs w:val="20"/>
          <w:lang w:val="en-GB"/>
        </w:rPr>
        <w:instrText>ADDIN CSL_CITATION { "citationItems" : [ { "id" : "ITEM-1", "itemData" : { "DOI" : "10.1093/ije/dyr207", "ISSN" : "1464-3685", "PMID" : "22253318", "abstract" : "The UK's largest registry of adult twins, or TwinsUK Registry, started in 1992 and encompasses about 12000 volunteer twins from all over the United Kingdom. More than 70% of the registered twins have filled at least one detailed health questionnaire and about half of them undergone a baseline comprehensive assessment and two follow-up clinical evaluations. The most recent follow-up visit, known as Healthy Ageing Twin Study (HATS), involved 3125 female twins aged &gt;40 years with at least one previous clinical assessment to enable inspection of longitudinal changes in ageing traits and their genetic and environmental components. The study benefits from several state-of-the-art OMICs studies including genome-wide association, next-generation genome and transcriptome sequencing, and epigenetic and metabolomic profiles. This makes our cohort as one of the most deeply phenotyped and genotyped in the world. Several collaborative projects in the field of epidemiology of complex disorders are ongoing in our cohort and interested researchers are encouraged to get in contact for future collaborations.", "author" : [ { "dropping-particle" : "", "family" : "Moayyeri", "given" : "Alireza", "non-dropping-particle" : "", "parse-names" : false, "suffix" : "" }, { "dropping-particle" : "", "family" : "Hammond", "given" : "Christopher J", "non-dropping-particle" : "", "parse-names" : false, "suffix" : "" }, { "dropping-particle" : "", "family" : "Valdes", "given" : "Ana M", "non-dropping-particle" : "", "parse-names" : false, "suffix" : "" }, { "dropping-particle" : "", "family" : "Spector", "given" : "Timothy D", "non-dropping-particle" : "", "parse-names" : false, "suffix" : "" } ], "container-title" : "International journal of epidemiology", "id" : "ITEM-1", "issue" : "1", "issued" : { "date-parts" : [ [ "2013", "2" ] ] }, "page" : "76-85", "publisher" : "Oxford University Press", "title" : "Cohort Profile: TwinsUK and healthy ageing twin study.", "type" : "article-journal", "volume" : "42" }, "uris" : [ "http://www.mendeley.com/documents/?uuid=e390880f-9d9e-3f86-aad3-7d803b449b0b" ] } ], "mendeley" : { "formattedCitation" : "&lt;sup&gt;6&lt;/sup&gt;", "plainTextFormattedCitation" : "6", "previouslyFormattedCitation" : "&lt;sup&gt;6&lt;/sup&gt;" }, "properties" : { "noteIndex" : 0 }, "schema" : "https://github.com/citation-style-language/schema/raw/master/csl-citation.json" }</w:instrText>
      </w:r>
      <w:r w:rsidR="00BB26B8">
        <w:rPr>
          <w:rFonts w:asciiTheme="minorHAnsi" w:hAnsiTheme="minorHAnsi"/>
          <w:sz w:val="20"/>
          <w:szCs w:val="20"/>
          <w:lang w:val="en-GB"/>
        </w:rPr>
        <w:fldChar w:fldCharType="separate"/>
      </w:r>
      <w:r w:rsidR="00BB26B8" w:rsidRPr="00BB26B8">
        <w:rPr>
          <w:rFonts w:asciiTheme="minorHAnsi" w:hAnsiTheme="minorHAnsi"/>
          <w:noProof/>
          <w:sz w:val="20"/>
          <w:szCs w:val="20"/>
          <w:vertAlign w:val="superscript"/>
          <w:lang w:val="en-GB"/>
        </w:rPr>
        <w:t>6</w:t>
      </w:r>
      <w:r w:rsidR="00BB26B8">
        <w:rPr>
          <w:rFonts w:asciiTheme="minorHAnsi" w:hAnsiTheme="minorHAnsi"/>
          <w:sz w:val="20"/>
          <w:szCs w:val="20"/>
          <w:lang w:val="en-GB"/>
        </w:rPr>
        <w:fldChar w:fldCharType="end"/>
      </w:r>
      <w:r w:rsidRPr="00D72F47">
        <w:rPr>
          <w:rFonts w:asciiTheme="minorHAnsi" w:hAnsiTheme="minorHAnsi"/>
          <w:sz w:val="20"/>
          <w:szCs w:val="20"/>
          <w:lang w:val="en-GB"/>
        </w:rPr>
        <w:t xml:space="preserve">. These unselected twins were recruited from the general population through national media campaigns in the United Kingdom. All samples from the </w:t>
      </w:r>
      <w:proofErr w:type="spellStart"/>
      <w:r w:rsidRPr="00D72F47">
        <w:rPr>
          <w:rFonts w:asciiTheme="minorHAnsi" w:hAnsiTheme="minorHAnsi"/>
          <w:sz w:val="20"/>
          <w:szCs w:val="20"/>
          <w:lang w:val="en-GB"/>
        </w:rPr>
        <w:t>TwinsUK</w:t>
      </w:r>
      <w:proofErr w:type="spellEnd"/>
      <w:r w:rsidRPr="00D72F47">
        <w:rPr>
          <w:rFonts w:asciiTheme="minorHAnsi" w:hAnsiTheme="minorHAnsi"/>
          <w:sz w:val="20"/>
          <w:szCs w:val="20"/>
          <w:lang w:val="en-GB"/>
        </w:rPr>
        <w:t xml:space="preserve"> cohort for this study were genotyped with the HumanHap610Q (Illumina). The following quality control filters were applied: call rate ≥98%, MAF ≥ 1%, P for Hardy- Weinberg</w:t>
      </w:r>
      <w:r w:rsidR="00B33450">
        <w:rPr>
          <w:rFonts w:asciiTheme="minorHAnsi" w:hAnsiTheme="minorHAnsi"/>
          <w:sz w:val="20"/>
          <w:szCs w:val="20"/>
          <w:lang w:val="en-GB"/>
        </w:rPr>
        <w:t xml:space="preserve"> equilibrium ≥1 × 10</w:t>
      </w:r>
      <w:r w:rsidR="00B33450" w:rsidRPr="009E4AFA">
        <w:rPr>
          <w:rFonts w:asciiTheme="minorHAnsi" w:hAnsiTheme="minorHAnsi"/>
          <w:sz w:val="20"/>
          <w:szCs w:val="20"/>
          <w:vertAlign w:val="superscript"/>
          <w:lang w:val="en-GB"/>
        </w:rPr>
        <w:t>−6</w:t>
      </w:r>
      <w:r w:rsidR="00B33450">
        <w:rPr>
          <w:rFonts w:asciiTheme="minorHAnsi" w:hAnsiTheme="minorHAnsi"/>
          <w:sz w:val="20"/>
          <w:szCs w:val="20"/>
          <w:lang w:val="en-GB"/>
        </w:rPr>
        <w:t xml:space="preserve"> (Table S3</w:t>
      </w:r>
      <w:r w:rsidRPr="00D72F47">
        <w:rPr>
          <w:rFonts w:asciiTheme="minorHAnsi" w:hAnsiTheme="minorHAnsi"/>
          <w:sz w:val="20"/>
          <w:szCs w:val="20"/>
          <w:lang w:val="en-GB"/>
        </w:rPr>
        <w:t xml:space="preserve">). The total number of genotyped SNPs that passed these filters was </w:t>
      </w:r>
      <w:r w:rsidR="00C354AB" w:rsidRPr="00C354AB">
        <w:rPr>
          <w:rFonts w:asciiTheme="minorHAnsi" w:hAnsiTheme="minorHAnsi"/>
          <w:sz w:val="20"/>
          <w:szCs w:val="20"/>
          <w:lang w:val="en-GB"/>
        </w:rPr>
        <w:t>303</w:t>
      </w:r>
      <w:r w:rsidR="00C354AB">
        <w:rPr>
          <w:rFonts w:asciiTheme="minorHAnsi" w:hAnsiTheme="minorHAnsi"/>
          <w:sz w:val="20"/>
          <w:szCs w:val="20"/>
          <w:lang w:val="en-GB"/>
        </w:rPr>
        <w:t>,</w:t>
      </w:r>
      <w:r w:rsidR="00C354AB" w:rsidRPr="00C354AB">
        <w:rPr>
          <w:rFonts w:asciiTheme="minorHAnsi" w:hAnsiTheme="minorHAnsi"/>
          <w:sz w:val="20"/>
          <w:szCs w:val="20"/>
          <w:lang w:val="en-GB"/>
        </w:rPr>
        <w:t>940</w:t>
      </w:r>
      <w:r w:rsidR="00C354AB">
        <w:rPr>
          <w:rFonts w:asciiTheme="minorHAnsi" w:hAnsiTheme="minorHAnsi"/>
          <w:sz w:val="20"/>
          <w:szCs w:val="20"/>
          <w:lang w:val="en-GB"/>
        </w:rPr>
        <w:t xml:space="preserve"> </w:t>
      </w:r>
      <w:r w:rsidRPr="00D72F47">
        <w:rPr>
          <w:rFonts w:asciiTheme="minorHAnsi" w:hAnsiTheme="minorHAnsi"/>
          <w:sz w:val="20"/>
          <w:szCs w:val="20"/>
          <w:lang w:val="en-GB"/>
        </w:rPr>
        <w:t xml:space="preserve">SNPs. Imputation was done with reference to 1000G V.3 reference panel using the IMPUTE software package. The St. Thomas' Research Ethics Committee approved the study (EC96/439 </w:t>
      </w:r>
      <w:proofErr w:type="spellStart"/>
      <w:r w:rsidRPr="00D72F47">
        <w:rPr>
          <w:rFonts w:asciiTheme="minorHAnsi" w:hAnsiTheme="minorHAnsi"/>
          <w:sz w:val="20"/>
          <w:szCs w:val="20"/>
          <w:lang w:val="en-GB"/>
        </w:rPr>
        <w:t>TwinsUK</w:t>
      </w:r>
      <w:proofErr w:type="spellEnd"/>
      <w:r w:rsidRPr="00D72F47">
        <w:rPr>
          <w:rFonts w:asciiTheme="minorHAnsi" w:hAnsiTheme="minorHAnsi"/>
          <w:sz w:val="20"/>
          <w:szCs w:val="20"/>
          <w:lang w:val="en-GB"/>
        </w:rPr>
        <w:t>), and all participants provided informed written consent</w:t>
      </w:r>
    </w:p>
    <w:p w:rsidR="00B33450" w:rsidRDefault="00B33450" w:rsidP="00D72F47">
      <w:pPr>
        <w:spacing w:line="480" w:lineRule="auto"/>
        <w:rPr>
          <w:rFonts w:asciiTheme="minorHAnsi" w:hAnsiTheme="minorHAnsi"/>
          <w:b/>
          <w:sz w:val="20"/>
          <w:szCs w:val="20"/>
        </w:rPr>
      </w:pPr>
    </w:p>
    <w:p w:rsidR="00396C79" w:rsidRPr="00396C79" w:rsidRDefault="00396C79" w:rsidP="00396C79">
      <w:pPr>
        <w:spacing w:after="200" w:line="480" w:lineRule="auto"/>
        <w:rPr>
          <w:rFonts w:asciiTheme="minorHAnsi" w:hAnsiTheme="minorHAnsi"/>
          <w:sz w:val="20"/>
          <w:szCs w:val="20"/>
          <w:lang w:val="en-GB"/>
        </w:rPr>
      </w:pPr>
      <w:r w:rsidRPr="00396C79">
        <w:rPr>
          <w:rFonts w:asciiTheme="minorHAnsi" w:hAnsiTheme="minorHAnsi"/>
          <w:b/>
          <w:sz w:val="20"/>
          <w:szCs w:val="20"/>
          <w:lang w:val="en-GB"/>
        </w:rPr>
        <w:t>Framingham Heart Study</w:t>
      </w:r>
      <w:r w:rsidRPr="00396C79">
        <w:rPr>
          <w:rFonts w:asciiTheme="minorHAnsi" w:hAnsiTheme="minorHAnsi"/>
          <w:sz w:val="20"/>
          <w:szCs w:val="20"/>
          <w:lang w:val="en-GB"/>
        </w:rPr>
        <w:t>. The original Framingham Study was a population-based sample of adults (ages 28-61 years) that began in 1948</w:t>
      </w:r>
      <w:r>
        <w:rPr>
          <w:rFonts w:asciiTheme="minorHAnsi" w:hAnsiTheme="minorHAnsi"/>
          <w:sz w:val="20"/>
          <w:szCs w:val="20"/>
          <w:lang w:val="en-GB"/>
        </w:rPr>
        <w:fldChar w:fldCharType="begin" w:fldLock="1"/>
      </w:r>
      <w:r w:rsidR="00451389">
        <w:rPr>
          <w:rFonts w:asciiTheme="minorHAnsi" w:hAnsiTheme="minorHAnsi"/>
          <w:sz w:val="20"/>
          <w:szCs w:val="20"/>
          <w:lang w:val="en-GB"/>
        </w:rPr>
        <w:instrText>ADDIN CSL_CITATION { "citationItems" : [ { "id" : "ITEM-1", "itemData" : { "DOI" : "10.2105/AJPH.41.3.279", "ISBN" : "0002-9572 (Print)\\n0002-9572 (Linking)", "ISSN" : "00900036", "PMID" : "14819398", "author" : [ { "dropping-particle" : "", "family" : "Dawber", "given" : "T R", "non-dropping-particle" : "", "parse-names" : false, "suffix" : "" }, { "dropping-particle" : "", "family" : "Meadors", "given" : "G F", "non-dropping-particle" : "", "parse-names" : false, "suffix" : "" }, { "dropping-particle" : "", "family" : "Moore", "given" : "F E", "non-dropping-particle" : "", "parse-names" : false, "suffix" : "" } ], "container-title" : "American journal of public health", "id" : "ITEM-1", "issue" : "3", "issued" : { "date-parts" : [ [ "1951", "3" ] ] }, "page" : "279-281", "title" : "Epidemiological approaches to heart disease: the Framingham Study.", "type" : "article-journal", "volume" : "41" }, "uris" : [ "http://www.mendeley.com/documents/?uuid=d9e4ce72-45f2-4d11-89c7-a22ccd75a81d" ] } ], "mendeley" : { "formattedCitation" : "&lt;sup&gt;7&lt;/sup&gt;", "plainTextFormattedCitation" : "7", "previouslyFormattedCitation" : "&lt;sup&gt;7&lt;/sup&gt;" }, "properties" : { "noteIndex" : 0 }, "schema" : "https://github.com/citation-style-language/schema/raw/master/csl-citation.json" }</w:instrText>
      </w:r>
      <w:r>
        <w:rPr>
          <w:rFonts w:asciiTheme="minorHAnsi" w:hAnsiTheme="minorHAnsi"/>
          <w:sz w:val="20"/>
          <w:szCs w:val="20"/>
          <w:lang w:val="en-GB"/>
        </w:rPr>
        <w:fldChar w:fldCharType="separate"/>
      </w:r>
      <w:r w:rsidRPr="00396C79">
        <w:rPr>
          <w:rFonts w:asciiTheme="minorHAnsi" w:hAnsiTheme="minorHAnsi"/>
          <w:noProof/>
          <w:sz w:val="20"/>
          <w:szCs w:val="20"/>
          <w:vertAlign w:val="superscript"/>
          <w:lang w:val="en-GB"/>
        </w:rPr>
        <w:t>7</w:t>
      </w:r>
      <w:r>
        <w:rPr>
          <w:rFonts w:asciiTheme="minorHAnsi" w:hAnsiTheme="minorHAnsi"/>
          <w:sz w:val="20"/>
          <w:szCs w:val="20"/>
          <w:lang w:val="en-GB"/>
        </w:rPr>
        <w:fldChar w:fldCharType="end"/>
      </w:r>
      <w:r>
        <w:rPr>
          <w:rFonts w:asciiTheme="minorHAnsi" w:hAnsiTheme="minorHAnsi"/>
          <w:sz w:val="20"/>
          <w:szCs w:val="20"/>
          <w:lang w:val="en-GB"/>
        </w:rPr>
        <w:t xml:space="preserve"> . </w:t>
      </w:r>
      <w:r w:rsidRPr="00396C79">
        <w:rPr>
          <w:rFonts w:asciiTheme="minorHAnsi" w:hAnsiTheme="minorHAnsi"/>
          <w:sz w:val="20"/>
          <w:szCs w:val="20"/>
          <w:lang w:val="en-GB"/>
        </w:rPr>
        <w:t>The Framingham Offspring Study is composed of children of the original Framingham Heart Study participants, and the children’s spouses</w:t>
      </w:r>
      <w:r>
        <w:rPr>
          <w:rFonts w:asciiTheme="minorHAnsi" w:hAnsiTheme="minorHAnsi"/>
          <w:sz w:val="20"/>
          <w:szCs w:val="20"/>
          <w:lang w:val="en-GB"/>
        </w:rPr>
        <w:fldChar w:fldCharType="begin" w:fldLock="1"/>
      </w:r>
      <w:r>
        <w:rPr>
          <w:rFonts w:asciiTheme="minorHAnsi" w:hAnsiTheme="minorHAnsi"/>
          <w:sz w:val="20"/>
          <w:szCs w:val="20"/>
          <w:lang w:val="en-GB"/>
        </w:rPr>
        <w:instrText>ADDIN CSL_CITATION { "citationItems" : [ { "id" : "ITEM-1", "itemData" : { "ISSN" : "0002-9262", "PMID" : "474565", "abstract" : "The Framingham Heart Study (FHS) was started in 1948 as a prospective investigation of cardiovascular disease in a cohort of adult men and women. Continuous surveillance of this sample of 5209 subjects has been maintained through biennial physical examinations. In 1971 examinations were begun on the children of the FHS cohort. This study, called the Framingham Offspring Study (FOS), was undertaken to expand upon knowledge of cardiovascular disease, particularly in the area of familial clustering of the disease and its risk factors. This report reviews the sampling design of the FHS and describes the nature of the FOS sample. The FOS families appear to be of typical size and age structure for families with parents born in the late 19th or early 20th century. In addition, there is little evidence that coronary heart disease (CHD) experience and CHD risk factors differ in parents of those who volunteered for this study and the parents of those who did not volunteer.", "author" : [ { "dropping-particle" : "", "family" : "Kannel", "given" : "W B", "non-dropping-particle" : "", "parse-names" : false, "suffix" : "" }, { "dropping-particle" : "", "family" : "Feinleib", "given" : "M", "non-dropping-particle" : "", "parse-names" : false, "suffix" : "" }, { "dropping-particle" : "", "family" : "McNamara", "given" : "P M", "non-dropping-particle" : "", "parse-names" : false, "suffix" : "" }, { "dropping-particle" : "", "family" : "Garrison", "given" : "R J", "non-dropping-particle" : "", "parse-names" : false, "suffix" : "" }, { "dropping-particle" : "", "family" : "Castelli", "given" : "W P", "non-dropping-particle" : "", "parse-names" : false, "suffix" : "" } ], "container-title" : "American journal of epidemiology", "id" : "ITEM-1", "issue" : "3", "issued" : { "date-parts" : [ [ "1979", "9" ] ] }, "page" : "281-90", "title" : "An investigation of coronary heart disease in families. The Framingham offspring study.", "type" : "article-journal", "volume" : "110" }, "uris" : [ "http://www.mendeley.com/documents/?uuid=9d3c9aec-968c-3f30-8b9e-9bcc240c4c0a" ] } ], "mendeley" : { "formattedCitation" : "&lt;sup&gt;8&lt;/sup&gt;", "plainTextFormattedCitation" : "8", "previouslyFormattedCitation" : "&lt;sup&gt;8&lt;/sup&gt;" }, "properties" : { "noteIndex" : 0 }, "schema" : "https://github.com/citation-style-language/schema/raw/master/csl-citation.json" }</w:instrText>
      </w:r>
      <w:r>
        <w:rPr>
          <w:rFonts w:asciiTheme="minorHAnsi" w:hAnsiTheme="minorHAnsi"/>
          <w:sz w:val="20"/>
          <w:szCs w:val="20"/>
          <w:lang w:val="en-GB"/>
        </w:rPr>
        <w:fldChar w:fldCharType="separate"/>
      </w:r>
      <w:r w:rsidRPr="00396C79">
        <w:rPr>
          <w:rFonts w:asciiTheme="minorHAnsi" w:hAnsiTheme="minorHAnsi"/>
          <w:noProof/>
          <w:sz w:val="20"/>
          <w:szCs w:val="20"/>
          <w:vertAlign w:val="superscript"/>
          <w:lang w:val="en-GB"/>
        </w:rPr>
        <w:t>8</w:t>
      </w:r>
      <w:r>
        <w:rPr>
          <w:rFonts w:asciiTheme="minorHAnsi" w:hAnsiTheme="minorHAnsi"/>
          <w:sz w:val="20"/>
          <w:szCs w:val="20"/>
          <w:lang w:val="en-GB"/>
        </w:rPr>
        <w:fldChar w:fldCharType="end"/>
      </w:r>
      <w:r>
        <w:rPr>
          <w:rFonts w:asciiTheme="minorHAnsi" w:hAnsiTheme="minorHAnsi"/>
          <w:sz w:val="20"/>
          <w:szCs w:val="20"/>
          <w:lang w:val="en-GB"/>
        </w:rPr>
        <w:t xml:space="preserve">. </w:t>
      </w:r>
      <w:r w:rsidRPr="00396C79">
        <w:rPr>
          <w:rFonts w:asciiTheme="minorHAnsi" w:hAnsiTheme="minorHAnsi"/>
          <w:sz w:val="20"/>
          <w:szCs w:val="20"/>
          <w:lang w:val="en-GB"/>
        </w:rPr>
        <w:t>As part of an ancillary study in 1992 to 1995, Offspring (and their spouses) were contacted by mail and telephone call to participate in a visit to assess hand OA.  About 1,800 individuals (ages 28-82 years) were examined, representing about 65% of those contacted.  Of these individuals, 1,293 participants returned for another hand examination in 2002 to 2005</w:t>
      </w:r>
      <w:r>
        <w:rPr>
          <w:rFonts w:asciiTheme="minorHAnsi" w:hAnsiTheme="minorHAnsi"/>
          <w:sz w:val="20"/>
          <w:szCs w:val="20"/>
          <w:lang w:val="en-GB"/>
        </w:rPr>
        <w:fldChar w:fldCharType="begin" w:fldLock="1"/>
      </w:r>
      <w:r w:rsidR="00451389">
        <w:rPr>
          <w:rFonts w:asciiTheme="minorHAnsi" w:hAnsiTheme="minorHAnsi"/>
          <w:sz w:val="20"/>
          <w:szCs w:val="20"/>
          <w:lang w:val="en-GB"/>
        </w:rPr>
        <w:instrText>ADDIN CSL_CITATION { "citationItems" : [ { "id" : "ITEM-1", "itemData" : { "DOI" : "10.1136/ard.2011.150078", "ISSN" : "0003-4967", "author" : [ { "dropping-particle" : "", "family" : "Haugen", "given" : "I. K.", "non-dropping-particle" : "", "parse-names" : false, "suffix" : "" }, { "dropping-particle" : "", "family" : "Englund", "given" : "M.", "non-dropping-particle" : "", "parse-names" : false, "suffix" : "" }, { "dropping-particle" : "", "family" : "Aliabadi", "given" : "P.", "non-dropping-particle" : "", "parse-names" : false, "suffix" : "" }, { "dropping-particle" : "", "family" : "Niu", "given" : "J.", "non-dropping-particle" : "", "parse-names" : false, "suffix" : "" }, { "dropping-particle" : "", "family" : "Clancy", "given" : "M.", "non-dropping-particle" : "", "parse-names" : false, "suffix" : "" }, { "dropping-particle" : "", "family" : "Kvien", "given" : "T. K.", "non-dropping-particle" : "", "parse-names" : false, "suffix" : "" }, { "dropping-particle" : "", "family" : "Felson", "given" : "D. T.", "non-dropping-particle" : "", "parse-names" : false, "suffix" : "" } ], "container-title" : "Annals of the Rheumatic Diseases", "id" : "ITEM-1", "issue" : "9", "issued" : { "date-parts" : [ [ "2011", "9", "1" ] ] }, "page" : "1581-1586", "title" : "Prevalence, incidence and progression of hand osteoarthritis in the general population: the Framingham Osteoarthritis Study", "type" : "article-journal", "volume" : "70" }, "uris" : [ "http://www.mendeley.com/documents/?uuid=86ad624d-6577-3c0d-aa1c-c4afedc619a5" ] } ], "mendeley" : { "formattedCitation" : "&lt;sup&gt;9&lt;/sup&gt;", "plainTextFormattedCitation" : "9", "previouslyFormattedCitation" : "&lt;sup&gt;9&lt;/sup&gt;" }, "properties" : { "noteIndex" : 0 }, "schema" : "https://github.com/citation-style-language/schema/raw/master/csl-citation.json" }</w:instrText>
      </w:r>
      <w:r>
        <w:rPr>
          <w:rFonts w:asciiTheme="minorHAnsi" w:hAnsiTheme="minorHAnsi"/>
          <w:sz w:val="20"/>
          <w:szCs w:val="20"/>
          <w:lang w:val="en-GB"/>
        </w:rPr>
        <w:fldChar w:fldCharType="separate"/>
      </w:r>
      <w:r w:rsidRPr="00396C79">
        <w:rPr>
          <w:rFonts w:asciiTheme="minorHAnsi" w:hAnsiTheme="minorHAnsi"/>
          <w:noProof/>
          <w:sz w:val="20"/>
          <w:szCs w:val="20"/>
          <w:vertAlign w:val="superscript"/>
          <w:lang w:val="en-GB"/>
        </w:rPr>
        <w:t>9</w:t>
      </w:r>
      <w:r>
        <w:rPr>
          <w:rFonts w:asciiTheme="minorHAnsi" w:hAnsiTheme="minorHAnsi"/>
          <w:sz w:val="20"/>
          <w:szCs w:val="20"/>
          <w:lang w:val="en-GB"/>
        </w:rPr>
        <w:fldChar w:fldCharType="end"/>
      </w:r>
      <w:r>
        <w:rPr>
          <w:rFonts w:asciiTheme="minorHAnsi" w:hAnsiTheme="minorHAnsi"/>
          <w:sz w:val="20"/>
          <w:szCs w:val="20"/>
          <w:lang w:val="en-GB"/>
        </w:rPr>
        <w:t>.</w:t>
      </w:r>
      <w:r w:rsidRPr="00396C79">
        <w:rPr>
          <w:rFonts w:asciiTheme="minorHAnsi" w:hAnsiTheme="minorHAnsi"/>
          <w:sz w:val="20"/>
          <w:szCs w:val="20"/>
          <w:lang w:val="en-GB"/>
        </w:rPr>
        <w:t xml:space="preserve">  Individuals underwent bilateral </w:t>
      </w:r>
      <w:proofErr w:type="spellStart"/>
      <w:r w:rsidRPr="00396C79">
        <w:rPr>
          <w:rFonts w:asciiTheme="minorHAnsi" w:hAnsiTheme="minorHAnsi"/>
          <w:sz w:val="20"/>
          <w:szCs w:val="20"/>
          <w:lang w:val="en-GB"/>
        </w:rPr>
        <w:t>posteranterior</w:t>
      </w:r>
      <w:proofErr w:type="spellEnd"/>
      <w:r w:rsidRPr="00396C79">
        <w:rPr>
          <w:rFonts w:asciiTheme="minorHAnsi" w:hAnsiTheme="minorHAnsi"/>
          <w:sz w:val="20"/>
          <w:szCs w:val="20"/>
          <w:lang w:val="en-GB"/>
        </w:rPr>
        <w:t xml:space="preserve"> hand radiographs, which were read by a trained musculoskeletal radiologist.  The bilateral 2nd-5th distal interphalangeal joints (DIPJ), 2nd-5th proximal interphalangeal joints (PIPJ), 1st-5th metacarpophalangeal joints (MCPJ), thumb interphalangeal joint, thumb base (carpometacarpal) joint and wrist joints were scored according </w:t>
      </w:r>
      <w:r>
        <w:rPr>
          <w:rFonts w:asciiTheme="minorHAnsi" w:hAnsiTheme="minorHAnsi"/>
          <w:sz w:val="20"/>
          <w:szCs w:val="20"/>
          <w:lang w:val="en-GB"/>
        </w:rPr>
        <w:t xml:space="preserve">to </w:t>
      </w:r>
      <w:proofErr w:type="spellStart"/>
      <w:r>
        <w:rPr>
          <w:rFonts w:asciiTheme="minorHAnsi" w:hAnsiTheme="minorHAnsi"/>
          <w:sz w:val="20"/>
          <w:szCs w:val="20"/>
          <w:lang w:val="en-GB"/>
        </w:rPr>
        <w:t>Kellgren</w:t>
      </w:r>
      <w:proofErr w:type="spellEnd"/>
      <w:r>
        <w:rPr>
          <w:rFonts w:asciiTheme="minorHAnsi" w:hAnsiTheme="minorHAnsi"/>
          <w:sz w:val="20"/>
          <w:szCs w:val="20"/>
          <w:lang w:val="en-GB"/>
        </w:rPr>
        <w:t>–Lawrence (KL) scale</w:t>
      </w:r>
      <w:r>
        <w:rPr>
          <w:rFonts w:asciiTheme="minorHAnsi" w:hAnsiTheme="minorHAnsi"/>
          <w:sz w:val="20"/>
          <w:szCs w:val="20"/>
          <w:lang w:val="en-GB"/>
        </w:rPr>
        <w:fldChar w:fldCharType="begin" w:fldLock="1"/>
      </w:r>
      <w:r w:rsidR="00451389">
        <w:rPr>
          <w:rFonts w:asciiTheme="minorHAnsi" w:hAnsiTheme="minorHAnsi"/>
          <w:sz w:val="20"/>
          <w:szCs w:val="20"/>
          <w:lang w:val="en-GB"/>
        </w:rPr>
        <w:instrText>ADDIN CSL_CITATION { "citationItems" : [ { "id" : "ITEM-1", "itemData" : { "DOI" : "10.1136/ard.16.4.494", "ISBN" : "0003-4967 (Print)\\n0003-4967 (Linking)", "ISSN" : "0003-4967", "PMID" : "13498604", "abstract" : "Images:", "author" : [ { "dropping-particle" : "", "family" : "Kellgren", "given" : "J H", "non-dropping-particle" : "", "parse-names" : false, "suffix" : "" }, { "dropping-particle" : "", "family" : "Lawrence", "given" : "J S", "non-dropping-particle" : "", "parse-names" : false, "suffix" : "" } ], "container-title" : "Annals of the rheumatic diseases", "id" : "ITEM-1", "issue" : "4", "issued" : { "date-parts" : [ [ "1957", "12" ] ] }, "page" : "494-502", "title" : "Radiological Assessment of Osteo-Arthrosis", "type" : "article-journal", "volume" : "16" }, "uris" : [ "http://www.mendeley.com/documents/?uuid=2f75a54f-767d-3568-8af4-3c8c5899bae3" ] } ], "mendeley" : { "formattedCitation" : "&lt;sup&gt;10&lt;/sup&gt;", "plainTextFormattedCitation" : "10", "previouslyFormattedCitation" : "&lt;sup&gt;10&lt;/sup&gt;" }, "properties" : { "noteIndex" : 0 }, "schema" : "https://github.com/citation-style-language/schema/raw/master/csl-citation.json" }</w:instrText>
      </w:r>
      <w:r>
        <w:rPr>
          <w:rFonts w:asciiTheme="minorHAnsi" w:hAnsiTheme="minorHAnsi"/>
          <w:sz w:val="20"/>
          <w:szCs w:val="20"/>
          <w:lang w:val="en-GB"/>
        </w:rPr>
        <w:fldChar w:fldCharType="separate"/>
      </w:r>
      <w:r w:rsidRPr="00396C79">
        <w:rPr>
          <w:rFonts w:asciiTheme="minorHAnsi" w:hAnsiTheme="minorHAnsi"/>
          <w:noProof/>
          <w:sz w:val="20"/>
          <w:szCs w:val="20"/>
          <w:vertAlign w:val="superscript"/>
          <w:lang w:val="en-GB"/>
        </w:rPr>
        <w:t>10</w:t>
      </w:r>
      <w:r>
        <w:rPr>
          <w:rFonts w:asciiTheme="minorHAnsi" w:hAnsiTheme="minorHAnsi"/>
          <w:sz w:val="20"/>
          <w:szCs w:val="20"/>
          <w:lang w:val="en-GB"/>
        </w:rPr>
        <w:fldChar w:fldCharType="end"/>
      </w:r>
      <w:r>
        <w:rPr>
          <w:rFonts w:asciiTheme="minorHAnsi" w:hAnsiTheme="minorHAnsi"/>
          <w:sz w:val="20"/>
          <w:szCs w:val="20"/>
          <w:lang w:val="en-GB"/>
        </w:rPr>
        <w:t xml:space="preserve"> </w:t>
      </w:r>
      <w:r w:rsidRPr="00396C79">
        <w:rPr>
          <w:rFonts w:asciiTheme="minorHAnsi" w:hAnsiTheme="minorHAnsi"/>
          <w:sz w:val="20"/>
          <w:szCs w:val="20"/>
          <w:lang w:val="en-GB"/>
        </w:rPr>
        <w:t xml:space="preserve">with good inter-reader reliability (weighted κ=0.76). </w:t>
      </w:r>
    </w:p>
    <w:p w:rsidR="002A0E56" w:rsidRPr="002A0E56" w:rsidRDefault="00396C79" w:rsidP="002A0E56">
      <w:pPr>
        <w:spacing w:after="200" w:line="480" w:lineRule="auto"/>
        <w:rPr>
          <w:rFonts w:asciiTheme="minorHAnsi" w:hAnsiTheme="minorHAnsi"/>
          <w:sz w:val="20"/>
          <w:szCs w:val="20"/>
          <w:lang w:val="en-GB"/>
        </w:rPr>
      </w:pPr>
      <w:r w:rsidRPr="00396C79">
        <w:rPr>
          <w:rFonts w:asciiTheme="minorHAnsi" w:hAnsiTheme="minorHAnsi"/>
          <w:sz w:val="20"/>
          <w:szCs w:val="20"/>
          <w:lang w:val="en-GB"/>
        </w:rPr>
        <w:tab/>
        <w:t xml:space="preserve">Genotyping was conducted on the </w:t>
      </w:r>
      <w:proofErr w:type="spellStart"/>
      <w:r w:rsidRPr="00396C79">
        <w:rPr>
          <w:rFonts w:asciiTheme="minorHAnsi" w:hAnsiTheme="minorHAnsi"/>
          <w:sz w:val="20"/>
          <w:szCs w:val="20"/>
          <w:lang w:val="en-GB"/>
        </w:rPr>
        <w:t>Affymetrix</w:t>
      </w:r>
      <w:proofErr w:type="spellEnd"/>
      <w:r w:rsidRPr="00396C79">
        <w:rPr>
          <w:rFonts w:asciiTheme="minorHAnsi" w:hAnsiTheme="minorHAnsi"/>
          <w:sz w:val="20"/>
          <w:szCs w:val="20"/>
          <w:lang w:val="en-GB"/>
        </w:rPr>
        <w:t xml:space="preserve"> </w:t>
      </w:r>
      <w:proofErr w:type="spellStart"/>
      <w:r w:rsidRPr="00396C79">
        <w:rPr>
          <w:rFonts w:asciiTheme="minorHAnsi" w:hAnsiTheme="minorHAnsi"/>
          <w:sz w:val="20"/>
          <w:szCs w:val="20"/>
          <w:lang w:val="en-GB"/>
        </w:rPr>
        <w:t>GeneChip</w:t>
      </w:r>
      <w:proofErr w:type="spellEnd"/>
      <w:r w:rsidRPr="00396C79">
        <w:rPr>
          <w:rFonts w:asciiTheme="minorHAnsi" w:hAnsiTheme="minorHAnsi"/>
          <w:sz w:val="20"/>
          <w:szCs w:val="20"/>
          <w:lang w:val="en-GB"/>
        </w:rPr>
        <w:t xml:space="preserve"> Human Mapping 500K </w:t>
      </w:r>
      <w:proofErr w:type="spellStart"/>
      <w:r w:rsidRPr="00396C79">
        <w:rPr>
          <w:rFonts w:asciiTheme="minorHAnsi" w:hAnsiTheme="minorHAnsi"/>
          <w:sz w:val="20"/>
          <w:szCs w:val="20"/>
          <w:lang w:val="en-GB"/>
        </w:rPr>
        <w:t>Aray</w:t>
      </w:r>
      <w:proofErr w:type="spellEnd"/>
      <w:r w:rsidRPr="00396C79">
        <w:rPr>
          <w:rFonts w:asciiTheme="minorHAnsi" w:hAnsiTheme="minorHAnsi"/>
          <w:sz w:val="20"/>
          <w:szCs w:val="20"/>
          <w:lang w:val="en-GB"/>
        </w:rPr>
        <w:t xml:space="preserve"> and the 50K Human Gene Focused Panel.  Genotypes were called using the BRLMM algorithm.  A total of 549,781 SNPs were genotyped.  The following quality-control filters were applied: 1) call rate &lt; 97%, 2), Hardy-Weinberg Equilibrium p-value &lt; 1×10-6, 3) minor allele frequency &lt; 1%, and 4) Mendelian errors &gt; 1000.  Additionally, the following filters </w:t>
      </w:r>
      <w:r w:rsidRPr="00396C79">
        <w:rPr>
          <w:rFonts w:asciiTheme="minorHAnsi" w:hAnsiTheme="minorHAnsi"/>
          <w:sz w:val="20"/>
          <w:szCs w:val="20"/>
          <w:lang w:val="en-GB"/>
        </w:rPr>
        <w:lastRenderedPageBreak/>
        <w:t>were also applied, 1) SNPs that do not map to NCBI Build 37, 2) duplicate SNPs, and 3) SNPs not on chromosomes 1-22 or X.  A total of 137,728 genotyped SNPs were removed, leaving 412,053 SNPs as input to MACH for phasing</w:t>
      </w:r>
      <w:r w:rsidR="00CA6AF5">
        <w:rPr>
          <w:rFonts w:asciiTheme="minorHAnsi" w:hAnsiTheme="minorHAnsi"/>
          <w:sz w:val="20"/>
          <w:szCs w:val="20"/>
          <w:lang w:val="en-GB"/>
        </w:rPr>
        <w:t xml:space="preserve"> (Table S3)</w:t>
      </w:r>
      <w:r w:rsidRPr="00396C79">
        <w:rPr>
          <w:rFonts w:asciiTheme="minorHAnsi" w:hAnsiTheme="minorHAnsi"/>
          <w:sz w:val="20"/>
          <w:szCs w:val="20"/>
          <w:lang w:val="en-GB"/>
        </w:rPr>
        <w:t xml:space="preserve">.  SNPs were imputed with </w:t>
      </w:r>
      <w:proofErr w:type="spellStart"/>
      <w:r w:rsidRPr="00396C79">
        <w:rPr>
          <w:rFonts w:asciiTheme="minorHAnsi" w:hAnsiTheme="minorHAnsi"/>
          <w:sz w:val="20"/>
          <w:szCs w:val="20"/>
          <w:lang w:val="en-GB"/>
        </w:rPr>
        <w:t>minimac</w:t>
      </w:r>
      <w:proofErr w:type="spellEnd"/>
      <w:r w:rsidRPr="00396C79">
        <w:rPr>
          <w:rFonts w:asciiTheme="minorHAnsi" w:hAnsiTheme="minorHAnsi"/>
          <w:sz w:val="20"/>
          <w:szCs w:val="20"/>
          <w:lang w:val="en-GB"/>
        </w:rPr>
        <w:t xml:space="preserve"> (http://genome.sph.umich.edu/wiki/minimac) using reference haplotypes from 1000 Genomes V.3.</w:t>
      </w:r>
      <w:r w:rsidR="002A0E56" w:rsidRPr="002A0E56">
        <w:t xml:space="preserve"> </w:t>
      </w:r>
    </w:p>
    <w:p w:rsidR="00D869B4" w:rsidRDefault="00D869B4" w:rsidP="00D869B4">
      <w:pPr>
        <w:spacing w:after="200" w:line="276" w:lineRule="auto"/>
        <w:rPr>
          <w:rFonts w:asciiTheme="minorHAnsi" w:hAnsiTheme="minorHAnsi" w:cs="Arial"/>
          <w:b/>
          <w:sz w:val="28"/>
          <w:szCs w:val="28"/>
        </w:rPr>
      </w:pPr>
    </w:p>
    <w:p w:rsidR="002A0E56" w:rsidRDefault="002A0E56" w:rsidP="002A0E56">
      <w:pPr>
        <w:spacing w:after="200" w:line="276" w:lineRule="auto"/>
        <w:rPr>
          <w:rFonts w:asciiTheme="minorHAnsi" w:hAnsiTheme="minorHAnsi" w:cs="Arial"/>
          <w:b/>
          <w:sz w:val="28"/>
          <w:szCs w:val="28"/>
        </w:rPr>
      </w:pPr>
      <w:r>
        <w:rPr>
          <w:rFonts w:asciiTheme="minorHAnsi" w:hAnsiTheme="minorHAnsi" w:cs="Arial"/>
          <w:b/>
          <w:sz w:val="28"/>
          <w:szCs w:val="28"/>
        </w:rPr>
        <w:br w:type="page"/>
      </w:r>
    </w:p>
    <w:p w:rsidR="00E31585" w:rsidRPr="002C256D" w:rsidRDefault="00FB703A" w:rsidP="002C256D">
      <w:pPr>
        <w:spacing w:after="200" w:line="276" w:lineRule="auto"/>
        <w:rPr>
          <w:rFonts w:asciiTheme="minorHAnsi" w:hAnsiTheme="minorHAnsi" w:cs="Arial"/>
          <w:b/>
          <w:sz w:val="28"/>
          <w:szCs w:val="28"/>
        </w:rPr>
      </w:pPr>
      <w:r w:rsidRPr="00FB703A">
        <w:rPr>
          <w:rFonts w:asciiTheme="minorHAnsi" w:hAnsiTheme="minorHAnsi" w:cs="Arial"/>
          <w:b/>
          <w:sz w:val="28"/>
          <w:szCs w:val="28"/>
        </w:rPr>
        <w:lastRenderedPageBreak/>
        <w:t>Supplementary Figures</w:t>
      </w:r>
    </w:p>
    <w:p w:rsidR="00E31585" w:rsidRPr="009F47C4" w:rsidRDefault="00E31585" w:rsidP="00E31585">
      <w:pPr>
        <w:spacing w:line="480" w:lineRule="auto"/>
        <w:jc w:val="both"/>
        <w:rPr>
          <w:rFonts w:asciiTheme="minorHAnsi" w:hAnsiTheme="minorHAnsi"/>
          <w:sz w:val="20"/>
          <w:szCs w:val="22"/>
        </w:rPr>
      </w:pPr>
      <w:r>
        <w:rPr>
          <w:rFonts w:asciiTheme="minorHAnsi" w:hAnsiTheme="minorHAnsi"/>
          <w:noProof/>
          <w:sz w:val="20"/>
          <w:szCs w:val="22"/>
          <w:lang w:val="en-IE" w:eastAsia="en-IE"/>
        </w:rPr>
        <w:drawing>
          <wp:inline distT="0" distB="0" distL="0" distR="0" wp14:anchorId="2C5C7FAE" wp14:editId="739B1046">
            <wp:extent cx="5939790" cy="1660525"/>
            <wp:effectExtent l="0" t="0" r="3810" b="0"/>
            <wp:docPr id="2" name="Picture 2" descr="F:\Documents\ErasmusMC_Research\Experiment_Data\5.HandOA_project\Presubmission\Images\forrest_plot_toph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cuments\ErasmusMC_Research\Experiment_Data\5.HandOA_project\Presubmission\Images\forrest_plot_tophit.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1660525"/>
                    </a:xfrm>
                    <a:prstGeom prst="rect">
                      <a:avLst/>
                    </a:prstGeom>
                    <a:noFill/>
                    <a:ln>
                      <a:noFill/>
                    </a:ln>
                  </pic:spPr>
                </pic:pic>
              </a:graphicData>
            </a:graphic>
          </wp:inline>
        </w:drawing>
      </w:r>
    </w:p>
    <w:p w:rsidR="00E31585" w:rsidRPr="000660B8" w:rsidRDefault="00E31585" w:rsidP="00E31585">
      <w:pPr>
        <w:spacing w:line="480" w:lineRule="auto"/>
        <w:jc w:val="both"/>
        <w:rPr>
          <w:rFonts w:asciiTheme="minorHAnsi" w:hAnsiTheme="minorHAnsi"/>
          <w:sz w:val="20"/>
          <w:szCs w:val="22"/>
        </w:rPr>
      </w:pPr>
      <w:r>
        <w:rPr>
          <w:rFonts w:asciiTheme="minorHAnsi" w:hAnsiTheme="minorHAnsi"/>
          <w:b/>
          <w:sz w:val="20"/>
          <w:szCs w:val="22"/>
        </w:rPr>
        <w:t xml:space="preserve">Supplementary </w:t>
      </w:r>
      <w:r w:rsidRPr="000660B8">
        <w:rPr>
          <w:rFonts w:asciiTheme="minorHAnsi" w:hAnsiTheme="minorHAnsi"/>
          <w:b/>
          <w:sz w:val="20"/>
          <w:szCs w:val="22"/>
        </w:rPr>
        <w:t xml:space="preserve">Figure </w:t>
      </w:r>
      <w:r>
        <w:rPr>
          <w:rFonts w:asciiTheme="minorHAnsi" w:hAnsiTheme="minorHAnsi"/>
          <w:b/>
          <w:sz w:val="20"/>
          <w:szCs w:val="22"/>
        </w:rPr>
        <w:t>S</w:t>
      </w:r>
      <w:r w:rsidR="002C256D">
        <w:rPr>
          <w:rFonts w:asciiTheme="minorHAnsi" w:hAnsiTheme="minorHAnsi"/>
          <w:b/>
          <w:sz w:val="20"/>
          <w:szCs w:val="22"/>
        </w:rPr>
        <w:t>1</w:t>
      </w:r>
      <w:r w:rsidRPr="000660B8">
        <w:rPr>
          <w:rFonts w:asciiTheme="minorHAnsi" w:hAnsiTheme="minorHAnsi"/>
          <w:b/>
          <w:sz w:val="20"/>
          <w:szCs w:val="22"/>
        </w:rPr>
        <w:t xml:space="preserve">. </w:t>
      </w:r>
      <w:r w:rsidRPr="000660B8">
        <w:rPr>
          <w:rFonts w:asciiTheme="minorHAnsi" w:hAnsiTheme="minorHAnsi"/>
          <w:sz w:val="20"/>
          <w:szCs w:val="22"/>
        </w:rPr>
        <w:t xml:space="preserve">Forrest plot for </w:t>
      </w:r>
      <w:proofErr w:type="spellStart"/>
      <w:r>
        <w:rPr>
          <w:rFonts w:asciiTheme="minorHAnsi" w:hAnsiTheme="minorHAnsi"/>
          <w:sz w:val="20"/>
          <w:szCs w:val="22"/>
        </w:rPr>
        <w:t>KL</w:t>
      </w:r>
      <w:r w:rsidRPr="000660B8">
        <w:rPr>
          <w:rFonts w:asciiTheme="minorHAnsi" w:hAnsiTheme="minorHAnsi"/>
          <w:sz w:val="20"/>
          <w:szCs w:val="22"/>
        </w:rPr>
        <w:t>sum</w:t>
      </w:r>
      <w:proofErr w:type="spellEnd"/>
      <w:r>
        <w:rPr>
          <w:rFonts w:asciiTheme="minorHAnsi" w:hAnsiTheme="minorHAnsi"/>
          <w:sz w:val="20"/>
          <w:szCs w:val="22"/>
        </w:rPr>
        <w:t>-score</w:t>
      </w:r>
      <w:r w:rsidRPr="000660B8">
        <w:rPr>
          <w:rFonts w:asciiTheme="minorHAnsi" w:hAnsiTheme="minorHAnsi"/>
          <w:sz w:val="20"/>
          <w:szCs w:val="22"/>
        </w:rPr>
        <w:t xml:space="preserve"> GWAS </w:t>
      </w:r>
      <w:proofErr w:type="spellStart"/>
      <w:r w:rsidRPr="000660B8">
        <w:rPr>
          <w:rFonts w:asciiTheme="minorHAnsi" w:hAnsiTheme="minorHAnsi"/>
          <w:sz w:val="20"/>
          <w:szCs w:val="22"/>
        </w:rPr>
        <w:t>tophit</w:t>
      </w:r>
      <w:proofErr w:type="spellEnd"/>
      <w:r w:rsidRPr="000660B8">
        <w:rPr>
          <w:rFonts w:asciiTheme="minorHAnsi" w:hAnsiTheme="minorHAnsi"/>
          <w:sz w:val="20"/>
          <w:szCs w:val="22"/>
        </w:rPr>
        <w:t xml:space="preserve"> </w:t>
      </w:r>
      <w:r w:rsidRPr="000660B8">
        <w:rPr>
          <w:rFonts w:asciiTheme="minorHAnsi" w:hAnsiTheme="minorHAnsi"/>
          <w:i/>
          <w:sz w:val="20"/>
          <w:szCs w:val="22"/>
        </w:rPr>
        <w:t>rs4764133</w:t>
      </w:r>
      <w:r w:rsidRPr="000660B8">
        <w:rPr>
          <w:rFonts w:asciiTheme="minorHAnsi" w:hAnsiTheme="minorHAnsi"/>
          <w:sz w:val="20"/>
          <w:szCs w:val="22"/>
        </w:rPr>
        <w:t xml:space="preserve">. </w:t>
      </w:r>
    </w:p>
    <w:p w:rsidR="00B04D8E" w:rsidRDefault="00B04D8E" w:rsidP="00FB703A">
      <w:pPr>
        <w:spacing w:after="200" w:line="276" w:lineRule="auto"/>
        <w:rPr>
          <w:rFonts w:asciiTheme="minorHAnsi" w:hAnsiTheme="minorHAnsi" w:cs="Arial"/>
          <w:sz w:val="20"/>
          <w:szCs w:val="20"/>
        </w:rPr>
      </w:pPr>
    </w:p>
    <w:p w:rsidR="00B04D8E" w:rsidRDefault="00B04D8E">
      <w:pPr>
        <w:spacing w:after="200" w:line="276" w:lineRule="auto"/>
        <w:rPr>
          <w:rFonts w:asciiTheme="minorHAnsi" w:hAnsiTheme="minorHAnsi" w:cs="Arial"/>
          <w:sz w:val="20"/>
          <w:szCs w:val="20"/>
        </w:rPr>
      </w:pPr>
      <w:r>
        <w:rPr>
          <w:rFonts w:asciiTheme="minorHAnsi" w:hAnsiTheme="minorHAnsi" w:cs="Arial"/>
          <w:sz w:val="20"/>
          <w:szCs w:val="20"/>
        </w:rPr>
        <w:br w:type="page"/>
      </w:r>
    </w:p>
    <w:p w:rsidR="00B04D8E" w:rsidRDefault="00A7496C" w:rsidP="00B04D8E">
      <w:pPr>
        <w:spacing w:line="480" w:lineRule="auto"/>
        <w:jc w:val="both"/>
        <w:rPr>
          <w:rFonts w:asciiTheme="minorHAnsi" w:hAnsiTheme="minorHAnsi"/>
          <w:b/>
          <w:sz w:val="22"/>
          <w:szCs w:val="22"/>
        </w:rPr>
      </w:pPr>
      <w:r w:rsidRPr="00341287">
        <w:rPr>
          <w:rFonts w:asciiTheme="minorHAnsi" w:hAnsiTheme="minorHAnsi"/>
          <w:b/>
          <w:noProof/>
          <w:sz w:val="22"/>
          <w:szCs w:val="22"/>
          <w:lang w:val="en-IE" w:eastAsia="en-IE"/>
        </w:rPr>
        <w:lastRenderedPageBreak/>
        <w:drawing>
          <wp:inline distT="0" distB="0" distL="0" distR="0" wp14:anchorId="1ECC3402" wp14:editId="1AF3FDD5">
            <wp:extent cx="4578336" cy="600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_gene_eQT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8336" cy="6000750"/>
                    </a:xfrm>
                    <a:prstGeom prst="rect">
                      <a:avLst/>
                    </a:prstGeom>
                  </pic:spPr>
                </pic:pic>
              </a:graphicData>
            </a:graphic>
          </wp:inline>
        </w:drawing>
      </w:r>
    </w:p>
    <w:p w:rsidR="00FB703A" w:rsidRPr="00A7496C" w:rsidRDefault="00B04D8E" w:rsidP="00B04D8E">
      <w:pPr>
        <w:spacing w:after="200" w:line="276" w:lineRule="auto"/>
        <w:rPr>
          <w:rFonts w:asciiTheme="minorHAnsi" w:hAnsiTheme="minorHAnsi" w:cs="Arial"/>
          <w:sz w:val="20"/>
          <w:szCs w:val="20"/>
        </w:rPr>
      </w:pPr>
      <w:r>
        <w:rPr>
          <w:rFonts w:asciiTheme="minorHAnsi" w:hAnsiTheme="minorHAnsi"/>
          <w:b/>
          <w:sz w:val="20"/>
          <w:szCs w:val="22"/>
        </w:rPr>
        <w:t xml:space="preserve">Supplementary </w:t>
      </w:r>
      <w:r w:rsidRPr="000660B8">
        <w:rPr>
          <w:rFonts w:asciiTheme="minorHAnsi" w:hAnsiTheme="minorHAnsi"/>
          <w:b/>
          <w:sz w:val="20"/>
          <w:szCs w:val="22"/>
        </w:rPr>
        <w:t xml:space="preserve">Figure </w:t>
      </w:r>
      <w:r>
        <w:rPr>
          <w:rFonts w:asciiTheme="minorHAnsi" w:hAnsiTheme="minorHAnsi"/>
          <w:b/>
          <w:sz w:val="20"/>
          <w:szCs w:val="22"/>
        </w:rPr>
        <w:t>S</w:t>
      </w:r>
      <w:r w:rsidR="00E20E81">
        <w:rPr>
          <w:rFonts w:asciiTheme="minorHAnsi" w:hAnsiTheme="minorHAnsi"/>
          <w:b/>
          <w:sz w:val="20"/>
          <w:szCs w:val="22"/>
        </w:rPr>
        <w:t>2</w:t>
      </w:r>
      <w:r w:rsidRPr="000660B8">
        <w:rPr>
          <w:rFonts w:asciiTheme="minorHAnsi" w:hAnsiTheme="minorHAnsi"/>
          <w:b/>
          <w:sz w:val="20"/>
          <w:szCs w:val="22"/>
        </w:rPr>
        <w:t xml:space="preserve">. </w:t>
      </w:r>
      <w:r w:rsidRPr="000660B8">
        <w:rPr>
          <w:rFonts w:asciiTheme="minorHAnsi" w:hAnsiTheme="minorHAnsi"/>
          <w:sz w:val="20"/>
          <w:szCs w:val="22"/>
        </w:rPr>
        <w:t xml:space="preserve"> Expression </w:t>
      </w:r>
      <w:r w:rsidRPr="000660B8">
        <w:rPr>
          <w:rFonts w:asciiTheme="minorHAnsi" w:hAnsiTheme="minorHAnsi"/>
          <w:i/>
          <w:sz w:val="20"/>
          <w:szCs w:val="22"/>
        </w:rPr>
        <w:t>MGP</w:t>
      </w:r>
      <w:r w:rsidRPr="000660B8">
        <w:rPr>
          <w:rFonts w:asciiTheme="minorHAnsi" w:hAnsiTheme="minorHAnsi"/>
          <w:sz w:val="20"/>
          <w:szCs w:val="22"/>
        </w:rPr>
        <w:t xml:space="preserve">, </w:t>
      </w:r>
      <w:r w:rsidRPr="000660B8">
        <w:rPr>
          <w:rFonts w:asciiTheme="minorHAnsi" w:hAnsiTheme="minorHAnsi"/>
          <w:i/>
          <w:sz w:val="20"/>
          <w:szCs w:val="22"/>
        </w:rPr>
        <w:t>ERP27</w:t>
      </w:r>
      <w:r w:rsidRPr="000660B8">
        <w:rPr>
          <w:rFonts w:asciiTheme="minorHAnsi" w:hAnsiTheme="minorHAnsi"/>
          <w:sz w:val="20"/>
          <w:szCs w:val="22"/>
        </w:rPr>
        <w:t xml:space="preserve"> </w:t>
      </w:r>
      <w:r w:rsidRPr="000660B8">
        <w:rPr>
          <w:rFonts w:asciiTheme="minorHAnsi" w:hAnsiTheme="minorHAnsi"/>
          <w:i/>
          <w:sz w:val="20"/>
          <w:szCs w:val="22"/>
        </w:rPr>
        <w:t>C12orf60</w:t>
      </w:r>
      <w:r w:rsidR="00A7496C">
        <w:rPr>
          <w:rFonts w:asciiTheme="minorHAnsi" w:hAnsiTheme="minorHAnsi"/>
          <w:i/>
          <w:sz w:val="20"/>
          <w:szCs w:val="22"/>
        </w:rPr>
        <w:t xml:space="preserve">, ART4 </w:t>
      </w:r>
      <w:r w:rsidR="00A7496C">
        <w:rPr>
          <w:rFonts w:asciiTheme="minorHAnsi" w:hAnsiTheme="minorHAnsi"/>
          <w:sz w:val="20"/>
          <w:szCs w:val="22"/>
        </w:rPr>
        <w:t xml:space="preserve">and </w:t>
      </w:r>
      <w:r w:rsidR="00A7496C">
        <w:rPr>
          <w:rFonts w:asciiTheme="minorHAnsi" w:hAnsiTheme="minorHAnsi"/>
          <w:i/>
          <w:sz w:val="20"/>
          <w:szCs w:val="22"/>
        </w:rPr>
        <w:t>C12orf69</w:t>
      </w:r>
      <w:r w:rsidRPr="000660B8">
        <w:rPr>
          <w:rFonts w:asciiTheme="minorHAnsi" w:hAnsiTheme="minorHAnsi"/>
          <w:sz w:val="20"/>
          <w:szCs w:val="22"/>
          <w:lang w:val="en-GB"/>
        </w:rPr>
        <w:t xml:space="preserve"> in articular cartilage</w:t>
      </w:r>
      <w:r w:rsidR="00A7496C">
        <w:rPr>
          <w:rFonts w:asciiTheme="minorHAnsi" w:hAnsiTheme="minorHAnsi"/>
          <w:sz w:val="20"/>
          <w:szCs w:val="22"/>
          <w:lang w:val="en-GB"/>
        </w:rPr>
        <w:t xml:space="preserve"> (</w:t>
      </w:r>
      <w:r w:rsidR="00A7496C">
        <w:rPr>
          <w:rFonts w:asciiTheme="minorHAnsi" w:hAnsiTheme="minorHAnsi"/>
          <w:b/>
          <w:sz w:val="20"/>
          <w:szCs w:val="22"/>
          <w:lang w:val="en-GB"/>
        </w:rPr>
        <w:t>A</w:t>
      </w:r>
      <w:r w:rsidR="00A7496C">
        <w:rPr>
          <w:rFonts w:asciiTheme="minorHAnsi" w:hAnsiTheme="minorHAnsi"/>
          <w:sz w:val="20"/>
          <w:szCs w:val="22"/>
          <w:lang w:val="en-GB"/>
        </w:rPr>
        <w:t>)</w:t>
      </w:r>
      <w:r w:rsidRPr="000660B8">
        <w:rPr>
          <w:rFonts w:asciiTheme="minorHAnsi" w:hAnsiTheme="minorHAnsi"/>
          <w:sz w:val="20"/>
          <w:szCs w:val="22"/>
          <w:lang w:val="en-GB"/>
        </w:rPr>
        <w:t>, stratified by preserved (blue) and OA lesioned (red) samples. No significant difference was observed between paired preserved and lesioned cartilage</w:t>
      </w:r>
      <w:r w:rsidR="00A7496C">
        <w:rPr>
          <w:rFonts w:asciiTheme="minorHAnsi" w:hAnsiTheme="minorHAnsi"/>
          <w:sz w:val="20"/>
          <w:szCs w:val="22"/>
          <w:lang w:val="en-GB"/>
        </w:rPr>
        <w:t>. (</w:t>
      </w:r>
      <w:r w:rsidR="00A7496C">
        <w:rPr>
          <w:rFonts w:asciiTheme="minorHAnsi" w:hAnsiTheme="minorHAnsi"/>
          <w:b/>
          <w:sz w:val="20"/>
          <w:szCs w:val="22"/>
          <w:lang w:val="en-GB"/>
        </w:rPr>
        <w:t>B</w:t>
      </w:r>
      <w:r w:rsidR="00A7496C">
        <w:rPr>
          <w:rFonts w:asciiTheme="minorHAnsi" w:hAnsiTheme="minorHAnsi"/>
          <w:sz w:val="20"/>
          <w:szCs w:val="22"/>
          <w:lang w:val="en-GB"/>
        </w:rPr>
        <w:t xml:space="preserve">) </w:t>
      </w:r>
      <w:proofErr w:type="spellStart"/>
      <w:r w:rsidR="00A7496C">
        <w:rPr>
          <w:rFonts w:asciiTheme="minorHAnsi" w:hAnsiTheme="minorHAnsi"/>
          <w:sz w:val="20"/>
          <w:szCs w:val="22"/>
          <w:lang w:val="en-GB"/>
        </w:rPr>
        <w:t>eQTL</w:t>
      </w:r>
      <w:proofErr w:type="spellEnd"/>
      <w:r w:rsidR="00A7496C">
        <w:rPr>
          <w:rFonts w:asciiTheme="minorHAnsi" w:hAnsiTheme="minorHAnsi"/>
          <w:sz w:val="20"/>
          <w:szCs w:val="22"/>
          <w:lang w:val="en-GB"/>
        </w:rPr>
        <w:t xml:space="preserve"> results for rs18000801 with </w:t>
      </w:r>
      <w:r w:rsidR="00A7496C" w:rsidRPr="000660B8">
        <w:rPr>
          <w:rFonts w:asciiTheme="minorHAnsi" w:hAnsiTheme="minorHAnsi"/>
          <w:i/>
          <w:sz w:val="20"/>
          <w:szCs w:val="22"/>
        </w:rPr>
        <w:t>MGP</w:t>
      </w:r>
      <w:r w:rsidR="00A7496C" w:rsidRPr="000660B8">
        <w:rPr>
          <w:rFonts w:asciiTheme="minorHAnsi" w:hAnsiTheme="minorHAnsi"/>
          <w:sz w:val="20"/>
          <w:szCs w:val="22"/>
        </w:rPr>
        <w:t xml:space="preserve">, </w:t>
      </w:r>
      <w:r w:rsidR="00A7496C" w:rsidRPr="000660B8">
        <w:rPr>
          <w:rFonts w:asciiTheme="minorHAnsi" w:hAnsiTheme="minorHAnsi"/>
          <w:i/>
          <w:sz w:val="20"/>
          <w:szCs w:val="22"/>
        </w:rPr>
        <w:t>ERP27</w:t>
      </w:r>
      <w:r w:rsidR="00A7496C" w:rsidRPr="000660B8">
        <w:rPr>
          <w:rFonts w:asciiTheme="minorHAnsi" w:hAnsiTheme="minorHAnsi"/>
          <w:sz w:val="20"/>
          <w:szCs w:val="22"/>
        </w:rPr>
        <w:t xml:space="preserve"> </w:t>
      </w:r>
      <w:r w:rsidR="00A7496C" w:rsidRPr="000660B8">
        <w:rPr>
          <w:rFonts w:asciiTheme="minorHAnsi" w:hAnsiTheme="minorHAnsi"/>
          <w:i/>
          <w:sz w:val="20"/>
          <w:szCs w:val="22"/>
        </w:rPr>
        <w:t>C12orf60</w:t>
      </w:r>
      <w:r w:rsidR="00A7496C">
        <w:rPr>
          <w:rFonts w:asciiTheme="minorHAnsi" w:hAnsiTheme="minorHAnsi"/>
          <w:i/>
          <w:sz w:val="20"/>
          <w:szCs w:val="22"/>
        </w:rPr>
        <w:t xml:space="preserve">, ART4 </w:t>
      </w:r>
      <w:r w:rsidR="00A7496C">
        <w:rPr>
          <w:rFonts w:asciiTheme="minorHAnsi" w:hAnsiTheme="minorHAnsi"/>
          <w:sz w:val="20"/>
          <w:szCs w:val="22"/>
        </w:rPr>
        <w:t xml:space="preserve">and </w:t>
      </w:r>
      <w:r w:rsidR="00A7496C">
        <w:rPr>
          <w:rFonts w:asciiTheme="minorHAnsi" w:hAnsiTheme="minorHAnsi"/>
          <w:i/>
          <w:sz w:val="20"/>
          <w:szCs w:val="22"/>
        </w:rPr>
        <w:t>C12orf69</w:t>
      </w:r>
      <w:r w:rsidR="00A7496C">
        <w:rPr>
          <w:rFonts w:asciiTheme="minorHAnsi" w:hAnsiTheme="minorHAnsi"/>
          <w:sz w:val="20"/>
          <w:szCs w:val="22"/>
        </w:rPr>
        <w:t xml:space="preserve">, we observed no </w:t>
      </w:r>
      <w:proofErr w:type="spellStart"/>
      <w:r w:rsidR="00A7496C">
        <w:rPr>
          <w:rFonts w:asciiTheme="minorHAnsi" w:hAnsiTheme="minorHAnsi"/>
          <w:sz w:val="20"/>
          <w:szCs w:val="22"/>
        </w:rPr>
        <w:t>eQTL</w:t>
      </w:r>
      <w:proofErr w:type="spellEnd"/>
      <w:r w:rsidR="00A7496C">
        <w:rPr>
          <w:rFonts w:asciiTheme="minorHAnsi" w:hAnsiTheme="minorHAnsi"/>
          <w:sz w:val="20"/>
          <w:szCs w:val="22"/>
        </w:rPr>
        <w:t xml:space="preserve"> effects. </w:t>
      </w:r>
    </w:p>
    <w:p w:rsidR="00FB703A" w:rsidRPr="00FB703A" w:rsidRDefault="00FB703A" w:rsidP="00FB703A">
      <w:pPr>
        <w:spacing w:after="200" w:line="276" w:lineRule="auto"/>
        <w:rPr>
          <w:rFonts w:asciiTheme="minorHAnsi" w:hAnsiTheme="minorHAnsi" w:cs="Arial"/>
          <w:b/>
          <w:sz w:val="20"/>
          <w:szCs w:val="20"/>
        </w:rPr>
      </w:pPr>
    </w:p>
    <w:p w:rsidR="00FB703A" w:rsidRPr="00FB703A" w:rsidRDefault="00FB703A" w:rsidP="00FB703A">
      <w:pPr>
        <w:spacing w:after="200" w:line="276" w:lineRule="auto"/>
        <w:rPr>
          <w:rFonts w:asciiTheme="minorHAnsi" w:hAnsiTheme="minorHAnsi" w:cs="Arial"/>
          <w:b/>
          <w:sz w:val="16"/>
          <w:szCs w:val="16"/>
        </w:rPr>
      </w:pPr>
      <w:r w:rsidRPr="00FB703A">
        <w:rPr>
          <w:rFonts w:asciiTheme="minorHAnsi" w:hAnsiTheme="minorHAnsi" w:cs="Arial"/>
          <w:b/>
          <w:sz w:val="16"/>
          <w:szCs w:val="16"/>
        </w:rPr>
        <w:br w:type="page"/>
      </w:r>
    </w:p>
    <w:p w:rsidR="00FB703A" w:rsidRPr="00FB703A" w:rsidRDefault="00A7496C" w:rsidP="00FB703A">
      <w:pPr>
        <w:spacing w:after="200" w:line="276" w:lineRule="auto"/>
        <w:rPr>
          <w:rFonts w:asciiTheme="minorHAnsi" w:hAnsiTheme="minorHAnsi" w:cs="Arial"/>
          <w:b/>
          <w:sz w:val="16"/>
          <w:szCs w:val="16"/>
        </w:rPr>
      </w:pPr>
      <w:r>
        <w:rPr>
          <w:rFonts w:asciiTheme="minorHAnsi" w:hAnsiTheme="minorHAnsi" w:cs="Arial"/>
          <w:b/>
          <w:noProof/>
          <w:sz w:val="16"/>
          <w:szCs w:val="16"/>
          <w:lang w:val="en-IE" w:eastAsia="en-IE"/>
        </w:rPr>
        <w:lastRenderedPageBreak/>
        <w:drawing>
          <wp:inline distT="0" distB="0" distL="0" distR="0" wp14:anchorId="7EA7806D" wp14:editId="7AF6DDAA">
            <wp:extent cx="5943600" cy="43980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_ASE_MG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98010"/>
                    </a:xfrm>
                    <a:prstGeom prst="rect">
                      <a:avLst/>
                    </a:prstGeom>
                  </pic:spPr>
                </pic:pic>
              </a:graphicData>
            </a:graphic>
          </wp:inline>
        </w:drawing>
      </w:r>
    </w:p>
    <w:p w:rsidR="00A7496C" w:rsidRPr="00FB703A" w:rsidRDefault="00A7496C" w:rsidP="00A7496C">
      <w:pPr>
        <w:rPr>
          <w:rFonts w:asciiTheme="minorHAnsi" w:hAnsiTheme="minorHAnsi" w:cs="Arial"/>
          <w:sz w:val="20"/>
          <w:szCs w:val="20"/>
        </w:rPr>
      </w:pPr>
      <w:r w:rsidRPr="00FB703A">
        <w:rPr>
          <w:rFonts w:asciiTheme="minorHAnsi" w:hAnsiTheme="minorHAnsi" w:cs="Arial"/>
          <w:b/>
          <w:sz w:val="20"/>
          <w:szCs w:val="20"/>
        </w:rPr>
        <w:t>Supplementary Figure S</w:t>
      </w:r>
      <w:r>
        <w:rPr>
          <w:rFonts w:asciiTheme="minorHAnsi" w:hAnsiTheme="minorHAnsi" w:cs="Arial"/>
          <w:b/>
          <w:sz w:val="20"/>
          <w:szCs w:val="20"/>
        </w:rPr>
        <w:t>3</w:t>
      </w:r>
      <w:r w:rsidRPr="00FB703A">
        <w:rPr>
          <w:rFonts w:asciiTheme="minorHAnsi" w:hAnsiTheme="minorHAnsi" w:cs="Arial"/>
          <w:b/>
          <w:sz w:val="20"/>
          <w:szCs w:val="20"/>
        </w:rPr>
        <w:t xml:space="preserve">: </w:t>
      </w:r>
      <w:r w:rsidRPr="000660B8">
        <w:rPr>
          <w:rFonts w:asciiTheme="minorHAnsi" w:hAnsiTheme="minorHAnsi"/>
          <w:sz w:val="20"/>
          <w:szCs w:val="22"/>
          <w:lang w:val="en-GB"/>
        </w:rPr>
        <w:t xml:space="preserve">Allelic imbalanced expression of </w:t>
      </w:r>
      <w:r w:rsidRPr="000660B8">
        <w:rPr>
          <w:rFonts w:asciiTheme="minorHAnsi" w:hAnsiTheme="minorHAnsi"/>
          <w:i/>
          <w:sz w:val="20"/>
          <w:szCs w:val="22"/>
          <w:lang w:val="en-GB"/>
        </w:rPr>
        <w:t xml:space="preserve">MGP </w:t>
      </w:r>
      <w:r w:rsidRPr="000660B8">
        <w:rPr>
          <w:rFonts w:asciiTheme="minorHAnsi" w:hAnsiTheme="minorHAnsi"/>
          <w:sz w:val="20"/>
          <w:szCs w:val="22"/>
          <w:lang w:val="en-GB"/>
        </w:rPr>
        <w:t>marked by the al</w:t>
      </w:r>
      <w:r>
        <w:rPr>
          <w:rFonts w:asciiTheme="minorHAnsi" w:hAnsiTheme="minorHAnsi"/>
          <w:sz w:val="20"/>
          <w:szCs w:val="22"/>
          <w:lang w:val="en-GB"/>
        </w:rPr>
        <w:t>leles among heterozygotes of rs4236</w:t>
      </w:r>
      <w:r w:rsidRPr="000660B8">
        <w:rPr>
          <w:rFonts w:asciiTheme="minorHAnsi" w:hAnsiTheme="minorHAnsi"/>
          <w:sz w:val="20"/>
          <w:szCs w:val="22"/>
          <w:lang w:val="en-GB"/>
        </w:rPr>
        <w:t xml:space="preserve"> (</w:t>
      </w:r>
      <w:r w:rsidRPr="000660B8">
        <w:rPr>
          <w:rFonts w:asciiTheme="minorHAnsi" w:hAnsiTheme="minorHAnsi"/>
          <w:b/>
          <w:sz w:val="20"/>
          <w:szCs w:val="22"/>
          <w:lang w:val="en-GB"/>
        </w:rPr>
        <w:t>A</w:t>
      </w:r>
      <w:r w:rsidRPr="000660B8">
        <w:rPr>
          <w:rFonts w:asciiTheme="minorHAnsi" w:hAnsiTheme="minorHAnsi"/>
          <w:sz w:val="20"/>
          <w:szCs w:val="22"/>
          <w:lang w:val="en-GB"/>
        </w:rPr>
        <w:t>)</w:t>
      </w:r>
      <w:r>
        <w:rPr>
          <w:rFonts w:asciiTheme="minorHAnsi" w:hAnsiTheme="minorHAnsi"/>
          <w:sz w:val="20"/>
          <w:szCs w:val="22"/>
          <w:lang w:val="en-GB"/>
        </w:rPr>
        <w:t xml:space="preserve"> and (</w:t>
      </w:r>
      <w:r>
        <w:rPr>
          <w:rFonts w:asciiTheme="minorHAnsi" w:hAnsiTheme="minorHAnsi"/>
          <w:b/>
          <w:sz w:val="20"/>
          <w:szCs w:val="22"/>
          <w:lang w:val="en-GB"/>
        </w:rPr>
        <w:t>B</w:t>
      </w:r>
      <w:r>
        <w:rPr>
          <w:rFonts w:asciiTheme="minorHAnsi" w:hAnsiTheme="minorHAnsi"/>
          <w:sz w:val="20"/>
          <w:szCs w:val="22"/>
          <w:lang w:val="en-GB"/>
        </w:rPr>
        <w:t>) rs1049897</w:t>
      </w:r>
      <w:r w:rsidRPr="000660B8">
        <w:rPr>
          <w:rFonts w:asciiTheme="minorHAnsi" w:hAnsiTheme="minorHAnsi"/>
          <w:sz w:val="20"/>
          <w:szCs w:val="22"/>
          <w:lang w:val="en-GB"/>
        </w:rPr>
        <w:t>, in the assessed</w:t>
      </w:r>
      <w:r>
        <w:rPr>
          <w:rFonts w:asciiTheme="minorHAnsi" w:hAnsiTheme="minorHAnsi"/>
          <w:sz w:val="20"/>
          <w:szCs w:val="22"/>
          <w:lang w:val="en-GB"/>
        </w:rPr>
        <w:t xml:space="preserve"> cartilage</w:t>
      </w:r>
      <w:r w:rsidRPr="000660B8">
        <w:rPr>
          <w:rFonts w:asciiTheme="minorHAnsi" w:hAnsiTheme="minorHAnsi"/>
          <w:sz w:val="20"/>
          <w:szCs w:val="22"/>
          <w:lang w:val="en-GB"/>
        </w:rPr>
        <w:t xml:space="preserve"> RNA sequencing dataset.</w:t>
      </w:r>
    </w:p>
    <w:p w:rsidR="002C256D" w:rsidRDefault="002C256D">
      <w:pPr>
        <w:spacing w:after="200" w:line="276" w:lineRule="auto"/>
        <w:rPr>
          <w:rFonts w:asciiTheme="minorHAnsi" w:hAnsiTheme="minorHAnsi" w:cs="Arial"/>
          <w:sz w:val="16"/>
          <w:szCs w:val="16"/>
        </w:rPr>
      </w:pPr>
      <w:r>
        <w:rPr>
          <w:rFonts w:asciiTheme="minorHAnsi" w:hAnsiTheme="minorHAnsi" w:cs="Arial"/>
          <w:sz w:val="16"/>
          <w:szCs w:val="16"/>
        </w:rPr>
        <w:br w:type="page"/>
      </w:r>
    </w:p>
    <w:p w:rsidR="002C256D" w:rsidRPr="00FB703A" w:rsidRDefault="002C256D" w:rsidP="002C256D">
      <w:pPr>
        <w:spacing w:after="200" w:line="276" w:lineRule="auto"/>
        <w:rPr>
          <w:rFonts w:asciiTheme="minorHAnsi" w:hAnsiTheme="minorHAnsi" w:cs="Arial"/>
          <w:b/>
          <w:sz w:val="16"/>
          <w:szCs w:val="16"/>
        </w:rPr>
      </w:pPr>
      <w:r w:rsidRPr="00FB703A">
        <w:rPr>
          <w:rFonts w:asciiTheme="minorHAnsi" w:hAnsiTheme="minorHAnsi" w:cs="Arial"/>
          <w:b/>
          <w:noProof/>
          <w:sz w:val="16"/>
          <w:szCs w:val="16"/>
          <w:lang w:val="en-IE" w:eastAsia="en-IE"/>
        </w:rPr>
        <w:lastRenderedPageBreak/>
        <w:drawing>
          <wp:inline distT="0" distB="0" distL="0" distR="0" wp14:anchorId="2A13D2BB" wp14:editId="5588128B">
            <wp:extent cx="5943600" cy="330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rsidR="002C256D" w:rsidRDefault="002C256D" w:rsidP="002C256D">
      <w:pPr>
        <w:spacing w:after="200" w:line="276" w:lineRule="auto"/>
        <w:rPr>
          <w:rFonts w:asciiTheme="minorHAnsi" w:hAnsiTheme="minorHAnsi" w:cs="Arial"/>
          <w:sz w:val="20"/>
          <w:szCs w:val="20"/>
        </w:rPr>
      </w:pPr>
      <w:r w:rsidRPr="00FB703A">
        <w:rPr>
          <w:rFonts w:asciiTheme="minorHAnsi" w:hAnsiTheme="minorHAnsi" w:cs="Arial"/>
          <w:b/>
          <w:sz w:val="20"/>
          <w:szCs w:val="20"/>
        </w:rPr>
        <w:t>Supplementary Figure S</w:t>
      </w:r>
      <w:r w:rsidR="00480597">
        <w:rPr>
          <w:rFonts w:asciiTheme="minorHAnsi" w:hAnsiTheme="minorHAnsi" w:cs="Arial"/>
          <w:b/>
          <w:sz w:val="20"/>
          <w:szCs w:val="20"/>
        </w:rPr>
        <w:t>4</w:t>
      </w:r>
      <w:r w:rsidRPr="00FB703A">
        <w:rPr>
          <w:rFonts w:asciiTheme="minorHAnsi" w:hAnsiTheme="minorHAnsi" w:cs="Arial"/>
          <w:b/>
          <w:sz w:val="20"/>
          <w:szCs w:val="20"/>
        </w:rPr>
        <w:t xml:space="preserve">: </w:t>
      </w:r>
      <w:proofErr w:type="spellStart"/>
      <w:r w:rsidRPr="00FB703A">
        <w:rPr>
          <w:rFonts w:asciiTheme="minorHAnsi" w:hAnsiTheme="minorHAnsi" w:cs="Arial"/>
          <w:sz w:val="20"/>
          <w:szCs w:val="20"/>
        </w:rPr>
        <w:t>QQplot</w:t>
      </w:r>
      <w:proofErr w:type="spellEnd"/>
      <w:r w:rsidRPr="00FB703A">
        <w:rPr>
          <w:rFonts w:asciiTheme="minorHAnsi" w:hAnsiTheme="minorHAnsi" w:cs="Arial"/>
          <w:sz w:val="20"/>
          <w:szCs w:val="20"/>
        </w:rPr>
        <w:t xml:space="preserve"> of GWAS P-values of the discovery cohorts, Rotterdam Study I, Rotterdam Study II and Rotterdam Study III.</w:t>
      </w:r>
    </w:p>
    <w:p w:rsidR="002C256D" w:rsidRDefault="002C256D">
      <w:pPr>
        <w:spacing w:after="200" w:line="276" w:lineRule="auto"/>
        <w:rPr>
          <w:rFonts w:asciiTheme="minorHAnsi" w:hAnsiTheme="minorHAnsi" w:cs="Arial"/>
          <w:sz w:val="16"/>
          <w:szCs w:val="16"/>
        </w:rPr>
      </w:pPr>
      <w:r>
        <w:rPr>
          <w:rFonts w:asciiTheme="minorHAnsi" w:hAnsiTheme="minorHAnsi" w:cs="Arial"/>
          <w:sz w:val="16"/>
          <w:szCs w:val="16"/>
        </w:rPr>
        <w:br w:type="page"/>
      </w:r>
    </w:p>
    <w:p w:rsidR="002C256D" w:rsidRDefault="002C256D">
      <w:pPr>
        <w:spacing w:after="200" w:line="276" w:lineRule="auto"/>
        <w:rPr>
          <w:rFonts w:asciiTheme="minorHAnsi" w:hAnsiTheme="minorHAnsi" w:cs="Arial"/>
          <w:sz w:val="16"/>
          <w:szCs w:val="16"/>
        </w:rPr>
      </w:pPr>
    </w:p>
    <w:p w:rsidR="00FB703A" w:rsidRDefault="00FB703A" w:rsidP="00FB703A">
      <w:pPr>
        <w:spacing w:line="480" w:lineRule="auto"/>
        <w:jc w:val="both"/>
        <w:rPr>
          <w:rFonts w:asciiTheme="minorHAnsi" w:hAnsiTheme="minorHAnsi"/>
          <w:b/>
          <w:sz w:val="28"/>
          <w:szCs w:val="28"/>
        </w:rPr>
      </w:pPr>
      <w:r w:rsidRPr="00FB703A">
        <w:rPr>
          <w:rFonts w:asciiTheme="minorHAnsi" w:hAnsiTheme="minorHAnsi"/>
          <w:b/>
          <w:sz w:val="28"/>
          <w:szCs w:val="28"/>
        </w:rPr>
        <w:t>Supplementary Tables</w:t>
      </w:r>
    </w:p>
    <w:p w:rsidR="000E3A74" w:rsidRDefault="000E3A74" w:rsidP="000E3A74">
      <w:pPr>
        <w:spacing w:line="480" w:lineRule="auto"/>
        <w:jc w:val="both"/>
        <w:rPr>
          <w:rFonts w:ascii="Calibri" w:eastAsia="Times New Roman" w:hAnsi="Calibri"/>
          <w:b/>
          <w:bCs/>
          <w:color w:val="000000"/>
          <w:sz w:val="22"/>
          <w:szCs w:val="20"/>
        </w:rPr>
      </w:pPr>
      <w:r>
        <w:rPr>
          <w:rFonts w:ascii="Calibri" w:eastAsia="Times New Roman" w:hAnsi="Calibri"/>
          <w:b/>
          <w:bCs/>
          <w:color w:val="000000"/>
          <w:sz w:val="22"/>
          <w:szCs w:val="20"/>
        </w:rPr>
        <w:t>Supplementary Table S1</w:t>
      </w:r>
    </w:p>
    <w:p w:rsidR="000E3A74" w:rsidRPr="00FB703A" w:rsidRDefault="000E3A74" w:rsidP="000E3A74">
      <w:pPr>
        <w:spacing w:line="480" w:lineRule="auto"/>
        <w:jc w:val="both"/>
        <w:rPr>
          <w:rFonts w:asciiTheme="minorHAnsi" w:hAnsiTheme="minorHAnsi"/>
          <w:b/>
          <w:sz w:val="28"/>
          <w:szCs w:val="28"/>
        </w:rPr>
      </w:pPr>
      <w:r w:rsidRPr="00CB751B">
        <w:rPr>
          <w:rFonts w:ascii="Calibri" w:eastAsia="Times New Roman" w:hAnsi="Calibri"/>
          <w:bCs/>
          <w:color w:val="000000"/>
          <w:sz w:val="22"/>
          <w:szCs w:val="20"/>
        </w:rPr>
        <w:t>See Excel file Supplementary Table S</w:t>
      </w:r>
      <w:r>
        <w:rPr>
          <w:rFonts w:ascii="Calibri" w:eastAsia="Times New Roman" w:hAnsi="Calibri"/>
          <w:bCs/>
          <w:color w:val="000000"/>
          <w:sz w:val="22"/>
          <w:szCs w:val="20"/>
        </w:rPr>
        <w:t>1</w:t>
      </w:r>
    </w:p>
    <w:p w:rsidR="000E3A74" w:rsidRDefault="000E3A74">
      <w:pPr>
        <w:spacing w:after="200" w:line="276" w:lineRule="auto"/>
        <w:rPr>
          <w:rFonts w:ascii="Calibri" w:eastAsia="Times New Roman" w:hAnsi="Calibri"/>
          <w:b/>
          <w:bCs/>
          <w:color w:val="000000"/>
          <w:sz w:val="20"/>
          <w:szCs w:val="16"/>
        </w:rPr>
      </w:pPr>
      <w:r>
        <w:rPr>
          <w:rFonts w:ascii="Calibri" w:eastAsia="Times New Roman" w:hAnsi="Calibri"/>
          <w:b/>
          <w:bCs/>
          <w:color w:val="000000"/>
          <w:sz w:val="20"/>
          <w:szCs w:val="16"/>
        </w:rPr>
        <w:br w:type="page"/>
      </w:r>
    </w:p>
    <w:p w:rsidR="000E3A74" w:rsidRPr="007468B8" w:rsidRDefault="000E3A74" w:rsidP="000E3A74">
      <w:pPr>
        <w:spacing w:line="480" w:lineRule="auto"/>
        <w:jc w:val="both"/>
        <w:rPr>
          <w:rFonts w:ascii="Calibri" w:eastAsia="Times New Roman" w:hAnsi="Calibri"/>
          <w:b/>
          <w:bCs/>
          <w:color w:val="000000"/>
          <w:sz w:val="22"/>
          <w:szCs w:val="20"/>
        </w:rPr>
      </w:pPr>
      <w:r>
        <w:rPr>
          <w:rFonts w:ascii="Calibri" w:eastAsia="Times New Roman" w:hAnsi="Calibri"/>
          <w:b/>
          <w:bCs/>
          <w:color w:val="000000"/>
          <w:sz w:val="22"/>
          <w:szCs w:val="20"/>
        </w:rPr>
        <w:lastRenderedPageBreak/>
        <w:t xml:space="preserve">Supplementary Table S2 </w:t>
      </w:r>
      <w:r w:rsidRPr="007468B8">
        <w:rPr>
          <w:rFonts w:ascii="Calibri" w:eastAsia="Times New Roman" w:hAnsi="Calibri"/>
          <w:bCs/>
          <w:color w:val="000000"/>
          <w:sz w:val="22"/>
          <w:szCs w:val="20"/>
        </w:rPr>
        <w:t>General characteristics of RAAK cartilage samples</w:t>
      </w:r>
    </w:p>
    <w:tbl>
      <w:tblPr>
        <w:tblW w:w="4240" w:type="dxa"/>
        <w:tblInd w:w="93" w:type="dxa"/>
        <w:tblLook w:val="04A0" w:firstRow="1" w:lastRow="0" w:firstColumn="1" w:lastColumn="0" w:noHBand="0" w:noVBand="1"/>
      </w:tblPr>
      <w:tblGrid>
        <w:gridCol w:w="1360"/>
        <w:gridCol w:w="960"/>
        <w:gridCol w:w="960"/>
        <w:gridCol w:w="960"/>
      </w:tblGrid>
      <w:tr w:rsidR="000E3A74" w:rsidRPr="007468B8" w:rsidTr="00DA32C0">
        <w:trPr>
          <w:trHeight w:val="255"/>
        </w:trPr>
        <w:tc>
          <w:tcPr>
            <w:tcW w:w="1360" w:type="dxa"/>
            <w:tcBorders>
              <w:top w:val="nil"/>
              <w:left w:val="nil"/>
              <w:bottom w:val="single" w:sz="4" w:space="0" w:color="auto"/>
              <w:right w:val="nil"/>
            </w:tcBorders>
            <w:shd w:val="clear" w:color="auto" w:fill="auto"/>
            <w:noWrap/>
            <w:vAlign w:val="bottom"/>
            <w:hideMark/>
          </w:tcPr>
          <w:p w:rsidR="000E3A74" w:rsidRPr="007468B8" w:rsidRDefault="000E3A74" w:rsidP="00DA32C0">
            <w:pPr>
              <w:rPr>
                <w:rFonts w:asciiTheme="minorHAnsi" w:eastAsia="Times New Roman" w:hAnsiTheme="minorHAnsi" w:cs="Arial"/>
                <w:b/>
                <w:bCs/>
                <w:color w:val="000000"/>
                <w:sz w:val="20"/>
                <w:szCs w:val="20"/>
              </w:rPr>
            </w:pPr>
            <w:r w:rsidRPr="007468B8">
              <w:rPr>
                <w:rFonts w:asciiTheme="minorHAnsi" w:eastAsia="Times New Roman" w:hAnsiTheme="minorHAnsi" w:cs="Arial"/>
                <w:b/>
                <w:bCs/>
                <w:color w:val="000000"/>
                <w:sz w:val="20"/>
                <w:szCs w:val="20"/>
              </w:rPr>
              <w:t>RAAK sample</w:t>
            </w:r>
          </w:p>
        </w:tc>
        <w:tc>
          <w:tcPr>
            <w:tcW w:w="960" w:type="dxa"/>
            <w:tcBorders>
              <w:top w:val="nil"/>
              <w:left w:val="nil"/>
              <w:bottom w:val="single" w:sz="4" w:space="0" w:color="auto"/>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b/>
                <w:bCs/>
                <w:color w:val="000000"/>
                <w:sz w:val="20"/>
                <w:szCs w:val="20"/>
              </w:rPr>
            </w:pPr>
            <w:r w:rsidRPr="007468B8">
              <w:rPr>
                <w:rFonts w:asciiTheme="minorHAnsi" w:eastAsia="Times New Roman" w:hAnsiTheme="minorHAnsi" w:cs="Arial"/>
                <w:b/>
                <w:bCs/>
                <w:color w:val="000000"/>
                <w:sz w:val="20"/>
                <w:szCs w:val="20"/>
              </w:rPr>
              <w:t>AGE</w:t>
            </w:r>
          </w:p>
        </w:tc>
        <w:tc>
          <w:tcPr>
            <w:tcW w:w="960" w:type="dxa"/>
            <w:tcBorders>
              <w:top w:val="nil"/>
              <w:left w:val="nil"/>
              <w:bottom w:val="single" w:sz="4" w:space="0" w:color="auto"/>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b/>
                <w:bCs/>
                <w:color w:val="000000"/>
                <w:sz w:val="20"/>
                <w:szCs w:val="20"/>
              </w:rPr>
            </w:pPr>
            <w:r w:rsidRPr="007468B8">
              <w:rPr>
                <w:rFonts w:asciiTheme="minorHAnsi" w:eastAsia="Times New Roman" w:hAnsiTheme="minorHAnsi" w:cs="Arial"/>
                <w:b/>
                <w:bCs/>
                <w:color w:val="000000"/>
                <w:sz w:val="20"/>
                <w:szCs w:val="20"/>
              </w:rPr>
              <w:t>SEX</w:t>
            </w:r>
          </w:p>
        </w:tc>
        <w:tc>
          <w:tcPr>
            <w:tcW w:w="960" w:type="dxa"/>
            <w:tcBorders>
              <w:top w:val="nil"/>
              <w:left w:val="nil"/>
              <w:bottom w:val="single" w:sz="4" w:space="0" w:color="auto"/>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b/>
                <w:bCs/>
                <w:color w:val="000000"/>
                <w:sz w:val="20"/>
                <w:szCs w:val="20"/>
              </w:rPr>
            </w:pPr>
            <w:r w:rsidRPr="007468B8">
              <w:rPr>
                <w:rFonts w:asciiTheme="minorHAnsi" w:eastAsia="Times New Roman" w:hAnsiTheme="minorHAnsi" w:cs="Arial"/>
                <w:b/>
                <w:bCs/>
                <w:color w:val="000000"/>
                <w:sz w:val="20"/>
                <w:szCs w:val="20"/>
              </w:rPr>
              <w:t>JOINT</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132 OA</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67</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Hip</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132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67</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Hip</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155 OA</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61</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M</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155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61</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M</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161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67</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Hip</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166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79</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Hip</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170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49</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174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69</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Hip</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187 OA</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59</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187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59</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191 OA</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75</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191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75</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197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67</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M</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Hip</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212 OA</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69</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M</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212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69</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M</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220 OA</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77</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228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NA</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229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66</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244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62</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254 OA</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79</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254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79</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259 OA</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48</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Hip</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259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48</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Hip</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261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74</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264 OA</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78</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Hip</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264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78</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Hip</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265 OA</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79</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265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79</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289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69</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297 OA</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64</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297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64</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304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66</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M</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Hip</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305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67</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M</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Hip</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310 OA</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76</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310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76</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313 OA</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67</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313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67</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316 OA</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76</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M</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316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76</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M</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Knee</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32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55</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Hip</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38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60</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M</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Hip</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65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61</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Hip</w:t>
            </w:r>
          </w:p>
        </w:tc>
      </w:tr>
      <w:tr w:rsidR="000E3A74" w:rsidRPr="007468B8" w:rsidTr="00DA32C0">
        <w:trPr>
          <w:trHeight w:val="255"/>
        </w:trPr>
        <w:tc>
          <w:tcPr>
            <w:tcW w:w="13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83 P</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62</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F</w:t>
            </w:r>
          </w:p>
        </w:tc>
        <w:tc>
          <w:tcPr>
            <w:tcW w:w="960" w:type="dxa"/>
            <w:tcBorders>
              <w:top w:val="nil"/>
              <w:left w:val="nil"/>
              <w:bottom w:val="nil"/>
              <w:right w:val="nil"/>
            </w:tcBorders>
            <w:shd w:val="clear" w:color="auto" w:fill="auto"/>
            <w:noWrap/>
            <w:vAlign w:val="bottom"/>
            <w:hideMark/>
          </w:tcPr>
          <w:p w:rsidR="000E3A74" w:rsidRPr="007468B8" w:rsidRDefault="000E3A74" w:rsidP="00DA32C0">
            <w:pPr>
              <w:jc w:val="center"/>
              <w:rPr>
                <w:rFonts w:asciiTheme="minorHAnsi" w:eastAsia="Times New Roman" w:hAnsiTheme="minorHAnsi" w:cs="Arial"/>
                <w:color w:val="000000"/>
                <w:sz w:val="20"/>
                <w:szCs w:val="20"/>
              </w:rPr>
            </w:pPr>
            <w:r w:rsidRPr="007468B8">
              <w:rPr>
                <w:rFonts w:asciiTheme="minorHAnsi" w:eastAsia="Times New Roman" w:hAnsiTheme="minorHAnsi" w:cs="Arial"/>
                <w:color w:val="000000"/>
                <w:sz w:val="20"/>
                <w:szCs w:val="20"/>
              </w:rPr>
              <w:t>Hip</w:t>
            </w:r>
          </w:p>
        </w:tc>
      </w:tr>
    </w:tbl>
    <w:p w:rsidR="000E3A74" w:rsidRDefault="000E3A74" w:rsidP="000E3A74">
      <w:pPr>
        <w:spacing w:line="480" w:lineRule="auto"/>
        <w:jc w:val="both"/>
        <w:rPr>
          <w:rFonts w:asciiTheme="minorHAnsi" w:hAnsiTheme="minorHAnsi"/>
          <w:sz w:val="18"/>
          <w:szCs w:val="16"/>
        </w:rPr>
      </w:pPr>
    </w:p>
    <w:p w:rsidR="000E3A74" w:rsidRDefault="000E3A74" w:rsidP="000E3A74">
      <w:pPr>
        <w:spacing w:line="480" w:lineRule="auto"/>
        <w:jc w:val="both"/>
        <w:rPr>
          <w:rFonts w:asciiTheme="minorHAnsi" w:hAnsiTheme="minorHAnsi"/>
          <w:sz w:val="18"/>
          <w:szCs w:val="16"/>
        </w:rPr>
      </w:pPr>
      <w:r w:rsidRPr="008976F1">
        <w:rPr>
          <w:rFonts w:asciiTheme="minorHAnsi" w:hAnsiTheme="minorHAnsi"/>
          <w:sz w:val="18"/>
          <w:szCs w:val="16"/>
        </w:rPr>
        <w:t xml:space="preserve">P = preserved OA, OA = lesioned/OA affected Cartilage </w:t>
      </w:r>
    </w:p>
    <w:p w:rsidR="000E3A74" w:rsidRDefault="000E3A74">
      <w:pPr>
        <w:spacing w:after="200" w:line="276" w:lineRule="auto"/>
        <w:rPr>
          <w:rFonts w:ascii="Calibri" w:eastAsia="Times New Roman" w:hAnsi="Calibri"/>
          <w:b/>
          <w:bCs/>
          <w:color w:val="000000"/>
          <w:sz w:val="20"/>
          <w:szCs w:val="16"/>
        </w:rPr>
      </w:pPr>
      <w:r>
        <w:rPr>
          <w:rFonts w:ascii="Calibri" w:eastAsia="Times New Roman" w:hAnsi="Calibri"/>
          <w:b/>
          <w:bCs/>
          <w:color w:val="000000"/>
          <w:sz w:val="20"/>
          <w:szCs w:val="16"/>
        </w:rPr>
        <w:br w:type="page"/>
      </w:r>
    </w:p>
    <w:p w:rsidR="00FB703A" w:rsidRPr="00FB703A" w:rsidRDefault="00FB703A" w:rsidP="00FB703A">
      <w:pPr>
        <w:jc w:val="both"/>
        <w:rPr>
          <w:rFonts w:ascii="Calibri" w:eastAsia="Times New Roman" w:hAnsi="Calibri"/>
          <w:color w:val="000000"/>
          <w:sz w:val="20"/>
          <w:szCs w:val="16"/>
        </w:rPr>
      </w:pPr>
      <w:r w:rsidRPr="00FB703A">
        <w:rPr>
          <w:rFonts w:ascii="Calibri" w:eastAsia="Times New Roman" w:hAnsi="Calibri"/>
          <w:b/>
          <w:bCs/>
          <w:color w:val="000000"/>
          <w:sz w:val="20"/>
          <w:szCs w:val="16"/>
        </w:rPr>
        <w:lastRenderedPageBreak/>
        <w:t>Table S</w:t>
      </w:r>
      <w:r w:rsidR="000E3A74">
        <w:rPr>
          <w:rFonts w:ascii="Calibri" w:eastAsia="Times New Roman" w:hAnsi="Calibri"/>
          <w:b/>
          <w:bCs/>
          <w:color w:val="000000"/>
          <w:sz w:val="20"/>
          <w:szCs w:val="16"/>
        </w:rPr>
        <w:t>3</w:t>
      </w:r>
      <w:r w:rsidRPr="00FB703A">
        <w:rPr>
          <w:rFonts w:ascii="Calibri" w:eastAsia="Times New Roman" w:hAnsi="Calibri"/>
          <w:b/>
          <w:bCs/>
          <w:color w:val="000000"/>
          <w:sz w:val="20"/>
          <w:szCs w:val="16"/>
        </w:rPr>
        <w:t>.</w:t>
      </w:r>
      <w:r w:rsidRPr="00FB703A">
        <w:rPr>
          <w:rFonts w:ascii="Calibri" w:eastAsia="Times New Roman" w:hAnsi="Calibri"/>
          <w:color w:val="000000"/>
          <w:sz w:val="20"/>
          <w:szCs w:val="16"/>
        </w:rPr>
        <w:t xml:space="preserve"> Baseline characteristics of the studies included in the analyses of osteoarthritis of the hand</w:t>
      </w:r>
    </w:p>
    <w:tbl>
      <w:tblPr>
        <w:tblW w:w="7240" w:type="dxa"/>
        <w:tblInd w:w="93" w:type="dxa"/>
        <w:tblLook w:val="04A0" w:firstRow="1" w:lastRow="0" w:firstColumn="1" w:lastColumn="0" w:noHBand="0" w:noVBand="1"/>
      </w:tblPr>
      <w:tblGrid>
        <w:gridCol w:w="2440"/>
        <w:gridCol w:w="1281"/>
        <w:gridCol w:w="1188"/>
        <w:gridCol w:w="1431"/>
        <w:gridCol w:w="900"/>
      </w:tblGrid>
      <w:tr w:rsidR="00FB703A" w:rsidRPr="00FB703A" w:rsidTr="00B91903">
        <w:trPr>
          <w:trHeight w:val="300"/>
        </w:trPr>
        <w:tc>
          <w:tcPr>
            <w:tcW w:w="2440" w:type="dxa"/>
            <w:tcBorders>
              <w:top w:val="nil"/>
              <w:left w:val="nil"/>
              <w:bottom w:val="nil"/>
              <w:right w:val="nil"/>
            </w:tcBorders>
            <w:shd w:val="clear" w:color="auto" w:fill="auto"/>
            <w:noWrap/>
            <w:vAlign w:val="bottom"/>
            <w:hideMark/>
          </w:tcPr>
          <w:p w:rsidR="00FB703A" w:rsidRPr="00FB703A" w:rsidRDefault="00FB703A" w:rsidP="00B91903">
            <w:pPr>
              <w:rPr>
                <w:rFonts w:ascii="Calibri" w:eastAsia="Times New Roman" w:hAnsi="Calibri"/>
                <w:color w:val="000000"/>
                <w:sz w:val="16"/>
                <w:szCs w:val="16"/>
              </w:rPr>
            </w:pPr>
          </w:p>
        </w:tc>
        <w:tc>
          <w:tcPr>
            <w:tcW w:w="3900" w:type="dxa"/>
            <w:gridSpan w:val="3"/>
            <w:tcBorders>
              <w:top w:val="nil"/>
              <w:left w:val="nil"/>
              <w:bottom w:val="nil"/>
              <w:right w:val="nil"/>
            </w:tcBorders>
            <w:shd w:val="clear" w:color="auto" w:fill="auto"/>
            <w:noWrap/>
            <w:vAlign w:val="bottom"/>
            <w:hideMark/>
          </w:tcPr>
          <w:p w:rsidR="00FB703A" w:rsidRPr="00FB703A" w:rsidRDefault="00FB703A" w:rsidP="00B91903">
            <w:pPr>
              <w:jc w:val="center"/>
              <w:rPr>
                <w:rFonts w:ascii="Calibri" w:eastAsia="Times New Roman" w:hAnsi="Calibri"/>
                <w:b/>
                <w:bCs/>
                <w:color w:val="000000"/>
                <w:sz w:val="16"/>
                <w:szCs w:val="16"/>
              </w:rPr>
            </w:pPr>
            <w:r w:rsidRPr="00FB703A">
              <w:rPr>
                <w:rFonts w:ascii="Calibri" w:eastAsia="Times New Roman" w:hAnsi="Calibri"/>
                <w:b/>
                <w:bCs/>
                <w:color w:val="000000"/>
                <w:sz w:val="16"/>
                <w:szCs w:val="16"/>
              </w:rPr>
              <w:t>Characteristics*</w:t>
            </w:r>
          </w:p>
        </w:tc>
        <w:tc>
          <w:tcPr>
            <w:tcW w:w="900" w:type="dxa"/>
            <w:tcBorders>
              <w:top w:val="nil"/>
              <w:left w:val="nil"/>
              <w:bottom w:val="nil"/>
              <w:right w:val="nil"/>
            </w:tcBorders>
            <w:shd w:val="clear" w:color="auto" w:fill="auto"/>
            <w:noWrap/>
            <w:vAlign w:val="bottom"/>
            <w:hideMark/>
          </w:tcPr>
          <w:p w:rsidR="00FB703A" w:rsidRPr="00FB703A" w:rsidRDefault="00FB703A" w:rsidP="00B91903">
            <w:pPr>
              <w:jc w:val="center"/>
              <w:rPr>
                <w:rFonts w:ascii="Calibri" w:eastAsia="Times New Roman" w:hAnsi="Calibri"/>
                <w:color w:val="000000"/>
                <w:sz w:val="16"/>
                <w:szCs w:val="16"/>
              </w:rPr>
            </w:pPr>
          </w:p>
        </w:tc>
      </w:tr>
      <w:tr w:rsidR="00FB703A" w:rsidRPr="00FB703A" w:rsidTr="00B91903">
        <w:trPr>
          <w:trHeight w:val="300"/>
        </w:trPr>
        <w:tc>
          <w:tcPr>
            <w:tcW w:w="2440" w:type="dxa"/>
            <w:tcBorders>
              <w:top w:val="nil"/>
              <w:left w:val="nil"/>
              <w:bottom w:val="single" w:sz="4" w:space="0" w:color="auto"/>
              <w:right w:val="nil"/>
            </w:tcBorders>
            <w:shd w:val="clear" w:color="auto" w:fill="auto"/>
            <w:noWrap/>
            <w:vAlign w:val="bottom"/>
            <w:hideMark/>
          </w:tcPr>
          <w:p w:rsidR="00FB703A" w:rsidRPr="00FB703A" w:rsidRDefault="00FB703A" w:rsidP="00B91903">
            <w:pPr>
              <w:rPr>
                <w:rFonts w:ascii="Calibri" w:eastAsia="Times New Roman" w:hAnsi="Calibri"/>
                <w:b/>
                <w:bCs/>
                <w:color w:val="000000"/>
                <w:sz w:val="16"/>
                <w:szCs w:val="16"/>
              </w:rPr>
            </w:pPr>
            <w:r w:rsidRPr="00FB703A">
              <w:rPr>
                <w:rFonts w:ascii="Calibri" w:eastAsia="Times New Roman" w:hAnsi="Calibri"/>
                <w:b/>
                <w:bCs/>
                <w:color w:val="000000"/>
                <w:sz w:val="16"/>
                <w:szCs w:val="16"/>
              </w:rPr>
              <w:t>Cohort Studies</w:t>
            </w:r>
          </w:p>
        </w:tc>
        <w:tc>
          <w:tcPr>
            <w:tcW w:w="1281" w:type="dxa"/>
            <w:tcBorders>
              <w:top w:val="nil"/>
              <w:left w:val="nil"/>
              <w:bottom w:val="single" w:sz="4" w:space="0" w:color="auto"/>
              <w:right w:val="nil"/>
            </w:tcBorders>
            <w:shd w:val="clear" w:color="auto" w:fill="auto"/>
            <w:noWrap/>
            <w:vAlign w:val="bottom"/>
            <w:hideMark/>
          </w:tcPr>
          <w:p w:rsidR="00FB703A" w:rsidRPr="00FB703A" w:rsidRDefault="00FB703A" w:rsidP="00B91903">
            <w:pPr>
              <w:jc w:val="center"/>
              <w:rPr>
                <w:rFonts w:ascii="Calibri" w:eastAsia="Times New Roman" w:hAnsi="Calibri"/>
                <w:b/>
                <w:bCs/>
                <w:color w:val="000000"/>
                <w:sz w:val="16"/>
                <w:szCs w:val="16"/>
              </w:rPr>
            </w:pPr>
            <w:r w:rsidRPr="00FB703A">
              <w:rPr>
                <w:rFonts w:ascii="Calibri" w:eastAsia="Times New Roman" w:hAnsi="Calibri"/>
                <w:b/>
                <w:bCs/>
                <w:color w:val="000000"/>
                <w:sz w:val="16"/>
                <w:szCs w:val="16"/>
              </w:rPr>
              <w:t>Female (%)</w:t>
            </w:r>
          </w:p>
        </w:tc>
        <w:tc>
          <w:tcPr>
            <w:tcW w:w="1188" w:type="dxa"/>
            <w:tcBorders>
              <w:top w:val="nil"/>
              <w:left w:val="nil"/>
              <w:bottom w:val="single" w:sz="4" w:space="0" w:color="auto"/>
              <w:right w:val="nil"/>
            </w:tcBorders>
            <w:shd w:val="clear" w:color="auto" w:fill="auto"/>
            <w:noWrap/>
            <w:vAlign w:val="bottom"/>
            <w:hideMark/>
          </w:tcPr>
          <w:p w:rsidR="00FB703A" w:rsidRPr="00FB703A" w:rsidRDefault="00FB703A" w:rsidP="00B91903">
            <w:pPr>
              <w:jc w:val="center"/>
              <w:rPr>
                <w:rFonts w:ascii="Calibri" w:eastAsia="Times New Roman" w:hAnsi="Calibri"/>
                <w:b/>
                <w:bCs/>
                <w:color w:val="000000"/>
                <w:sz w:val="16"/>
                <w:szCs w:val="16"/>
              </w:rPr>
            </w:pPr>
            <w:r w:rsidRPr="00FB703A">
              <w:rPr>
                <w:rFonts w:ascii="Calibri" w:eastAsia="Times New Roman" w:hAnsi="Calibri"/>
                <w:b/>
                <w:bCs/>
                <w:color w:val="000000"/>
                <w:sz w:val="16"/>
                <w:szCs w:val="16"/>
              </w:rPr>
              <w:t>Age (year)</w:t>
            </w:r>
          </w:p>
        </w:tc>
        <w:tc>
          <w:tcPr>
            <w:tcW w:w="1431" w:type="dxa"/>
            <w:tcBorders>
              <w:top w:val="nil"/>
              <w:left w:val="nil"/>
              <w:bottom w:val="single" w:sz="4" w:space="0" w:color="auto"/>
              <w:right w:val="nil"/>
            </w:tcBorders>
            <w:shd w:val="clear" w:color="auto" w:fill="auto"/>
            <w:noWrap/>
            <w:vAlign w:val="bottom"/>
            <w:hideMark/>
          </w:tcPr>
          <w:p w:rsidR="00FB703A" w:rsidRPr="00FB703A" w:rsidRDefault="00FB703A" w:rsidP="00B91903">
            <w:pPr>
              <w:jc w:val="center"/>
              <w:rPr>
                <w:rFonts w:ascii="Calibri" w:eastAsia="Times New Roman" w:hAnsi="Calibri"/>
                <w:b/>
                <w:bCs/>
                <w:color w:val="000000"/>
                <w:sz w:val="16"/>
                <w:szCs w:val="16"/>
              </w:rPr>
            </w:pPr>
            <w:proofErr w:type="spellStart"/>
            <w:r w:rsidRPr="00FB703A">
              <w:rPr>
                <w:rFonts w:ascii="Calibri" w:eastAsia="Times New Roman" w:hAnsi="Calibri"/>
                <w:b/>
                <w:bCs/>
                <w:color w:val="000000"/>
                <w:sz w:val="16"/>
                <w:szCs w:val="16"/>
              </w:rPr>
              <w:t>KLsum</w:t>
            </w:r>
            <w:proofErr w:type="spellEnd"/>
            <w:r w:rsidRPr="00FB703A">
              <w:rPr>
                <w:rFonts w:ascii="Calibri" w:eastAsia="Times New Roman" w:hAnsi="Calibri"/>
                <w:b/>
                <w:bCs/>
                <w:color w:val="000000"/>
                <w:sz w:val="16"/>
                <w:szCs w:val="16"/>
              </w:rPr>
              <w:t xml:space="preserve"> score</w:t>
            </w:r>
          </w:p>
        </w:tc>
        <w:tc>
          <w:tcPr>
            <w:tcW w:w="900" w:type="dxa"/>
            <w:tcBorders>
              <w:top w:val="nil"/>
              <w:left w:val="nil"/>
              <w:bottom w:val="single" w:sz="4" w:space="0" w:color="auto"/>
              <w:right w:val="nil"/>
            </w:tcBorders>
            <w:shd w:val="clear" w:color="auto" w:fill="auto"/>
            <w:noWrap/>
            <w:vAlign w:val="bottom"/>
            <w:hideMark/>
          </w:tcPr>
          <w:p w:rsidR="00FB703A" w:rsidRPr="00FB703A" w:rsidRDefault="00FB703A" w:rsidP="00B91903">
            <w:pPr>
              <w:jc w:val="center"/>
              <w:rPr>
                <w:rFonts w:ascii="Calibri" w:eastAsia="Times New Roman" w:hAnsi="Calibri"/>
                <w:b/>
                <w:bCs/>
                <w:color w:val="000000"/>
                <w:sz w:val="16"/>
                <w:szCs w:val="16"/>
              </w:rPr>
            </w:pPr>
            <w:r w:rsidRPr="00FB703A">
              <w:rPr>
                <w:rFonts w:ascii="Calibri" w:eastAsia="Times New Roman" w:hAnsi="Calibri"/>
                <w:b/>
                <w:bCs/>
                <w:color w:val="000000"/>
                <w:sz w:val="16"/>
                <w:szCs w:val="16"/>
              </w:rPr>
              <w:t>N</w:t>
            </w:r>
          </w:p>
        </w:tc>
      </w:tr>
      <w:tr w:rsidR="00FB703A" w:rsidRPr="00FB703A" w:rsidTr="00B91903">
        <w:trPr>
          <w:trHeight w:val="300"/>
        </w:trPr>
        <w:tc>
          <w:tcPr>
            <w:tcW w:w="2440" w:type="dxa"/>
            <w:tcBorders>
              <w:top w:val="nil"/>
              <w:left w:val="nil"/>
              <w:bottom w:val="nil"/>
              <w:right w:val="nil"/>
            </w:tcBorders>
            <w:shd w:val="clear" w:color="auto" w:fill="auto"/>
            <w:noWrap/>
            <w:hideMark/>
          </w:tcPr>
          <w:p w:rsidR="00FB703A" w:rsidRPr="00FB703A" w:rsidRDefault="00FB703A" w:rsidP="00B91903">
            <w:pPr>
              <w:rPr>
                <w:rFonts w:ascii="Calibri" w:eastAsia="Times New Roman" w:hAnsi="Calibri"/>
                <w:b/>
                <w:bCs/>
                <w:color w:val="000000"/>
                <w:sz w:val="16"/>
                <w:szCs w:val="16"/>
              </w:rPr>
            </w:pPr>
            <w:r w:rsidRPr="00FB703A">
              <w:rPr>
                <w:rFonts w:ascii="Calibri" w:eastAsia="Times New Roman" w:hAnsi="Calibri"/>
                <w:b/>
                <w:bCs/>
                <w:color w:val="000000"/>
                <w:sz w:val="16"/>
                <w:szCs w:val="16"/>
              </w:rPr>
              <w:t>RS-I</w:t>
            </w:r>
          </w:p>
        </w:tc>
        <w:tc>
          <w:tcPr>
            <w:tcW w:w="1281"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58%</w:t>
            </w:r>
          </w:p>
        </w:tc>
        <w:tc>
          <w:tcPr>
            <w:tcW w:w="1188"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67.7(7.9)</w:t>
            </w:r>
          </w:p>
        </w:tc>
        <w:tc>
          <w:tcPr>
            <w:tcW w:w="1431"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8.4 (9.8)</w:t>
            </w:r>
          </w:p>
        </w:tc>
        <w:tc>
          <w:tcPr>
            <w:tcW w:w="900"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4877</w:t>
            </w:r>
          </w:p>
        </w:tc>
      </w:tr>
      <w:tr w:rsidR="00FB703A" w:rsidRPr="00FB703A" w:rsidTr="00B91903">
        <w:trPr>
          <w:trHeight w:val="300"/>
        </w:trPr>
        <w:tc>
          <w:tcPr>
            <w:tcW w:w="2440" w:type="dxa"/>
            <w:tcBorders>
              <w:top w:val="nil"/>
              <w:left w:val="nil"/>
              <w:bottom w:val="nil"/>
              <w:right w:val="nil"/>
            </w:tcBorders>
            <w:shd w:val="clear" w:color="auto" w:fill="auto"/>
            <w:noWrap/>
            <w:hideMark/>
          </w:tcPr>
          <w:p w:rsidR="00FB703A" w:rsidRPr="00FB703A" w:rsidRDefault="00FB703A" w:rsidP="00B91903">
            <w:pPr>
              <w:rPr>
                <w:rFonts w:ascii="Calibri" w:eastAsia="Times New Roman" w:hAnsi="Calibri"/>
                <w:b/>
                <w:bCs/>
                <w:color w:val="000000"/>
                <w:sz w:val="16"/>
                <w:szCs w:val="16"/>
              </w:rPr>
            </w:pPr>
            <w:r w:rsidRPr="00FB703A">
              <w:rPr>
                <w:rFonts w:ascii="Calibri" w:eastAsia="Times New Roman" w:hAnsi="Calibri"/>
                <w:b/>
                <w:bCs/>
                <w:color w:val="000000"/>
                <w:sz w:val="16"/>
                <w:szCs w:val="16"/>
              </w:rPr>
              <w:t>RS-II</w:t>
            </w:r>
          </w:p>
        </w:tc>
        <w:tc>
          <w:tcPr>
            <w:tcW w:w="1281"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54%</w:t>
            </w:r>
          </w:p>
        </w:tc>
        <w:tc>
          <w:tcPr>
            <w:tcW w:w="1188"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64.6 (7.9)</w:t>
            </w:r>
          </w:p>
        </w:tc>
        <w:tc>
          <w:tcPr>
            <w:tcW w:w="1431"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6.9 (8.4)</w:t>
            </w:r>
          </w:p>
        </w:tc>
        <w:tc>
          <w:tcPr>
            <w:tcW w:w="900"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1793</w:t>
            </w:r>
          </w:p>
        </w:tc>
      </w:tr>
      <w:tr w:rsidR="00FB703A" w:rsidRPr="00FB703A" w:rsidTr="00B91903">
        <w:trPr>
          <w:trHeight w:val="300"/>
        </w:trPr>
        <w:tc>
          <w:tcPr>
            <w:tcW w:w="2440" w:type="dxa"/>
            <w:tcBorders>
              <w:top w:val="nil"/>
              <w:left w:val="nil"/>
              <w:bottom w:val="nil"/>
              <w:right w:val="nil"/>
            </w:tcBorders>
            <w:shd w:val="clear" w:color="auto" w:fill="auto"/>
            <w:noWrap/>
            <w:hideMark/>
          </w:tcPr>
          <w:p w:rsidR="00FB703A" w:rsidRPr="00FB703A" w:rsidRDefault="00FB703A" w:rsidP="00B91903">
            <w:pPr>
              <w:rPr>
                <w:rFonts w:ascii="Calibri" w:eastAsia="Times New Roman" w:hAnsi="Calibri"/>
                <w:b/>
                <w:bCs/>
                <w:color w:val="000000"/>
                <w:sz w:val="16"/>
                <w:szCs w:val="16"/>
              </w:rPr>
            </w:pPr>
            <w:r w:rsidRPr="00FB703A">
              <w:rPr>
                <w:rFonts w:ascii="Calibri" w:eastAsia="Times New Roman" w:hAnsi="Calibri"/>
                <w:b/>
                <w:bCs/>
                <w:color w:val="000000"/>
                <w:sz w:val="16"/>
                <w:szCs w:val="16"/>
              </w:rPr>
              <w:t>RS-III</w:t>
            </w:r>
          </w:p>
        </w:tc>
        <w:tc>
          <w:tcPr>
            <w:tcW w:w="1281"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57%</w:t>
            </w:r>
          </w:p>
        </w:tc>
        <w:tc>
          <w:tcPr>
            <w:tcW w:w="1188"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56.8 (7.0)</w:t>
            </w:r>
          </w:p>
        </w:tc>
        <w:tc>
          <w:tcPr>
            <w:tcW w:w="1431"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4.6 (6.5)</w:t>
            </w:r>
          </w:p>
        </w:tc>
        <w:tc>
          <w:tcPr>
            <w:tcW w:w="900"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2073</w:t>
            </w:r>
          </w:p>
        </w:tc>
      </w:tr>
      <w:tr w:rsidR="00FB703A" w:rsidRPr="00FB703A" w:rsidTr="00B91903">
        <w:trPr>
          <w:trHeight w:val="300"/>
        </w:trPr>
        <w:tc>
          <w:tcPr>
            <w:tcW w:w="2440" w:type="dxa"/>
            <w:tcBorders>
              <w:top w:val="nil"/>
              <w:left w:val="nil"/>
              <w:bottom w:val="nil"/>
              <w:right w:val="nil"/>
            </w:tcBorders>
            <w:shd w:val="clear" w:color="auto" w:fill="auto"/>
            <w:noWrap/>
            <w:hideMark/>
          </w:tcPr>
          <w:p w:rsidR="00FB703A" w:rsidRPr="00FB703A" w:rsidRDefault="00FB703A" w:rsidP="00B91903">
            <w:pPr>
              <w:rPr>
                <w:rFonts w:ascii="Calibri" w:eastAsia="Times New Roman" w:hAnsi="Calibri"/>
                <w:b/>
                <w:bCs/>
                <w:color w:val="000000"/>
                <w:sz w:val="16"/>
                <w:szCs w:val="16"/>
              </w:rPr>
            </w:pPr>
            <w:r w:rsidRPr="00FB703A">
              <w:rPr>
                <w:rFonts w:ascii="Calibri" w:eastAsia="Times New Roman" w:hAnsi="Calibri"/>
                <w:b/>
                <w:bCs/>
                <w:color w:val="000000"/>
                <w:sz w:val="16"/>
                <w:szCs w:val="16"/>
              </w:rPr>
              <w:t>Twins-UK</w:t>
            </w:r>
          </w:p>
        </w:tc>
        <w:tc>
          <w:tcPr>
            <w:tcW w:w="1281"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100%</w:t>
            </w:r>
          </w:p>
        </w:tc>
        <w:tc>
          <w:tcPr>
            <w:tcW w:w="1188"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54.1 (7.8)</w:t>
            </w:r>
          </w:p>
        </w:tc>
        <w:tc>
          <w:tcPr>
            <w:tcW w:w="1431"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4.6 (7.9)</w:t>
            </w:r>
          </w:p>
        </w:tc>
        <w:tc>
          <w:tcPr>
            <w:tcW w:w="900"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2000</w:t>
            </w:r>
          </w:p>
        </w:tc>
      </w:tr>
      <w:tr w:rsidR="00FB703A" w:rsidRPr="00FB703A" w:rsidTr="00B91903">
        <w:trPr>
          <w:trHeight w:val="300"/>
        </w:trPr>
        <w:tc>
          <w:tcPr>
            <w:tcW w:w="2440" w:type="dxa"/>
            <w:tcBorders>
              <w:top w:val="nil"/>
              <w:left w:val="nil"/>
              <w:bottom w:val="nil"/>
              <w:right w:val="nil"/>
            </w:tcBorders>
            <w:shd w:val="clear" w:color="auto" w:fill="auto"/>
            <w:noWrap/>
            <w:hideMark/>
          </w:tcPr>
          <w:p w:rsidR="00FB703A" w:rsidRPr="00FB703A" w:rsidRDefault="00FB703A" w:rsidP="00B91903">
            <w:pPr>
              <w:rPr>
                <w:rFonts w:ascii="Calibri" w:eastAsia="Times New Roman" w:hAnsi="Calibri"/>
                <w:b/>
                <w:bCs/>
                <w:color w:val="000000"/>
                <w:sz w:val="16"/>
                <w:szCs w:val="16"/>
              </w:rPr>
            </w:pPr>
            <w:r w:rsidRPr="00FB703A">
              <w:rPr>
                <w:rFonts w:ascii="Calibri" w:eastAsia="Times New Roman" w:hAnsi="Calibri"/>
                <w:b/>
                <w:bCs/>
                <w:color w:val="000000"/>
                <w:sz w:val="16"/>
                <w:szCs w:val="16"/>
              </w:rPr>
              <w:t>Leiden Hand OA studies</w:t>
            </w:r>
          </w:p>
        </w:tc>
        <w:tc>
          <w:tcPr>
            <w:tcW w:w="1281"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65%</w:t>
            </w:r>
          </w:p>
        </w:tc>
        <w:tc>
          <w:tcPr>
            <w:tcW w:w="1188"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59.9 (7.3)</w:t>
            </w:r>
          </w:p>
        </w:tc>
        <w:tc>
          <w:tcPr>
            <w:tcW w:w="1431"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11.9(11.7)</w:t>
            </w:r>
          </w:p>
        </w:tc>
        <w:tc>
          <w:tcPr>
            <w:tcW w:w="900"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836</w:t>
            </w:r>
          </w:p>
        </w:tc>
      </w:tr>
      <w:tr w:rsidR="00FB703A" w:rsidRPr="00FB703A" w:rsidTr="00B91903">
        <w:trPr>
          <w:trHeight w:val="300"/>
        </w:trPr>
        <w:tc>
          <w:tcPr>
            <w:tcW w:w="2440" w:type="dxa"/>
            <w:tcBorders>
              <w:top w:val="nil"/>
              <w:left w:val="nil"/>
              <w:bottom w:val="nil"/>
              <w:right w:val="nil"/>
            </w:tcBorders>
            <w:shd w:val="clear" w:color="auto" w:fill="auto"/>
            <w:noWrap/>
            <w:hideMark/>
          </w:tcPr>
          <w:p w:rsidR="00FB703A" w:rsidRPr="00FB703A" w:rsidRDefault="00FB703A" w:rsidP="00B91903">
            <w:pPr>
              <w:rPr>
                <w:rFonts w:ascii="Calibri" w:eastAsia="Times New Roman" w:hAnsi="Calibri"/>
                <w:b/>
                <w:bCs/>
                <w:color w:val="000000"/>
                <w:sz w:val="16"/>
                <w:szCs w:val="16"/>
              </w:rPr>
            </w:pPr>
            <w:r w:rsidRPr="00FB703A">
              <w:rPr>
                <w:rFonts w:ascii="Calibri" w:eastAsia="Times New Roman" w:hAnsi="Calibri"/>
                <w:b/>
                <w:bCs/>
                <w:color w:val="000000"/>
                <w:sz w:val="16"/>
                <w:szCs w:val="16"/>
              </w:rPr>
              <w:t>Framingham Heart Study</w:t>
            </w:r>
          </w:p>
        </w:tc>
        <w:tc>
          <w:tcPr>
            <w:tcW w:w="1281"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56%</w:t>
            </w:r>
          </w:p>
        </w:tc>
        <w:tc>
          <w:tcPr>
            <w:tcW w:w="1188"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65.2 (9.1)</w:t>
            </w:r>
          </w:p>
        </w:tc>
        <w:tc>
          <w:tcPr>
            <w:tcW w:w="1431"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8.9 (12.9)</w:t>
            </w:r>
          </w:p>
        </w:tc>
        <w:tc>
          <w:tcPr>
            <w:tcW w:w="900" w:type="dxa"/>
            <w:tcBorders>
              <w:top w:val="nil"/>
              <w:left w:val="nil"/>
              <w:bottom w:val="nil"/>
              <w:right w:val="nil"/>
            </w:tcBorders>
            <w:shd w:val="clear" w:color="auto" w:fill="auto"/>
            <w:noWrap/>
            <w:hideMark/>
          </w:tcPr>
          <w:p w:rsidR="00FB703A" w:rsidRPr="00FB703A" w:rsidRDefault="00FB703A" w:rsidP="00B91903">
            <w:pPr>
              <w:jc w:val="center"/>
              <w:rPr>
                <w:rFonts w:ascii="Calibri" w:eastAsia="Times New Roman" w:hAnsi="Calibri"/>
                <w:color w:val="000000"/>
                <w:sz w:val="16"/>
                <w:szCs w:val="16"/>
              </w:rPr>
            </w:pPr>
            <w:r w:rsidRPr="00FB703A">
              <w:rPr>
                <w:rFonts w:ascii="Calibri" w:eastAsia="Times New Roman" w:hAnsi="Calibri"/>
                <w:color w:val="000000"/>
                <w:sz w:val="16"/>
                <w:szCs w:val="16"/>
              </w:rPr>
              <w:t>1175</w:t>
            </w:r>
          </w:p>
        </w:tc>
      </w:tr>
      <w:tr w:rsidR="00FB703A" w:rsidRPr="00FB703A" w:rsidTr="00B91903">
        <w:trPr>
          <w:trHeight w:val="300"/>
        </w:trPr>
        <w:tc>
          <w:tcPr>
            <w:tcW w:w="7240" w:type="dxa"/>
            <w:gridSpan w:val="5"/>
            <w:tcBorders>
              <w:top w:val="nil"/>
              <w:left w:val="nil"/>
              <w:bottom w:val="nil"/>
              <w:right w:val="nil"/>
            </w:tcBorders>
            <w:shd w:val="clear" w:color="auto" w:fill="auto"/>
            <w:noWrap/>
            <w:vAlign w:val="bottom"/>
            <w:hideMark/>
          </w:tcPr>
          <w:p w:rsidR="00FB703A" w:rsidRPr="00FB703A" w:rsidRDefault="00FB703A" w:rsidP="00B91903">
            <w:pPr>
              <w:rPr>
                <w:rFonts w:ascii="Calibri" w:eastAsia="Times New Roman" w:hAnsi="Calibri"/>
                <w:color w:val="000000"/>
                <w:sz w:val="16"/>
                <w:szCs w:val="16"/>
              </w:rPr>
            </w:pPr>
            <w:r w:rsidRPr="00FB703A">
              <w:rPr>
                <w:rFonts w:ascii="Calibri" w:eastAsia="Times New Roman" w:hAnsi="Calibri"/>
                <w:color w:val="000000"/>
                <w:sz w:val="16"/>
                <w:szCs w:val="16"/>
              </w:rPr>
              <w:t>*Values are expressed as means with standard deviations (SD) or percentages %</w:t>
            </w:r>
          </w:p>
        </w:tc>
      </w:tr>
    </w:tbl>
    <w:p w:rsidR="00B35124" w:rsidRDefault="00B35124">
      <w:pPr>
        <w:spacing w:after="200" w:line="276" w:lineRule="auto"/>
        <w:rPr>
          <w:rFonts w:asciiTheme="minorHAnsi" w:hAnsiTheme="minorHAnsi"/>
          <w:b/>
          <w:sz w:val="16"/>
          <w:szCs w:val="16"/>
        </w:rPr>
      </w:pPr>
    </w:p>
    <w:p w:rsidR="00B35124" w:rsidRDefault="00B35124">
      <w:pPr>
        <w:spacing w:after="200" w:line="276" w:lineRule="auto"/>
        <w:rPr>
          <w:rFonts w:asciiTheme="minorHAnsi" w:hAnsiTheme="minorHAnsi"/>
          <w:b/>
          <w:sz w:val="16"/>
          <w:szCs w:val="16"/>
        </w:rPr>
      </w:pPr>
      <w:r>
        <w:rPr>
          <w:rFonts w:asciiTheme="minorHAnsi" w:hAnsiTheme="minorHAnsi"/>
          <w:b/>
          <w:sz w:val="16"/>
          <w:szCs w:val="16"/>
        </w:rPr>
        <w:br w:type="page"/>
      </w:r>
    </w:p>
    <w:p w:rsidR="00B35124" w:rsidRDefault="00B35124" w:rsidP="00341287">
      <w:pPr>
        <w:spacing w:after="200" w:line="276" w:lineRule="auto"/>
        <w:rPr>
          <w:rFonts w:ascii="Calibri" w:eastAsia="Times New Roman" w:hAnsi="Calibri"/>
          <w:b/>
          <w:bCs/>
          <w:color w:val="000000"/>
          <w:sz w:val="22"/>
          <w:szCs w:val="20"/>
        </w:rPr>
      </w:pPr>
      <w:r w:rsidRPr="00FB1594">
        <w:rPr>
          <w:rFonts w:ascii="Calibri" w:eastAsia="Times New Roman" w:hAnsi="Calibri"/>
          <w:b/>
          <w:bCs/>
          <w:color w:val="000000"/>
          <w:sz w:val="22"/>
          <w:szCs w:val="20"/>
        </w:rPr>
        <w:lastRenderedPageBreak/>
        <w:t>Supplementary Table S</w:t>
      </w:r>
      <w:r w:rsidR="000E3A74">
        <w:rPr>
          <w:rFonts w:ascii="Calibri" w:eastAsia="Times New Roman" w:hAnsi="Calibri"/>
          <w:b/>
          <w:bCs/>
          <w:color w:val="000000"/>
          <w:sz w:val="22"/>
          <w:szCs w:val="20"/>
        </w:rPr>
        <w:t>4</w:t>
      </w:r>
      <w:r>
        <w:rPr>
          <w:rFonts w:ascii="Calibri" w:eastAsia="Times New Roman" w:hAnsi="Calibri"/>
          <w:b/>
          <w:bCs/>
          <w:color w:val="000000"/>
          <w:sz w:val="22"/>
          <w:szCs w:val="20"/>
        </w:rPr>
        <w:t>. Association of rs4764133 with Hip OA (TREATOA meta-analysis), Knee OA (TREATOA meta-analysis) and bilateral finger OA (y/n finger OA)</w:t>
      </w:r>
    </w:p>
    <w:tbl>
      <w:tblPr>
        <w:tblW w:w="10632" w:type="dxa"/>
        <w:tblInd w:w="-318" w:type="dxa"/>
        <w:tblLayout w:type="fixed"/>
        <w:tblLook w:val="04A0" w:firstRow="1" w:lastRow="0" w:firstColumn="1" w:lastColumn="0" w:noHBand="0" w:noVBand="1"/>
      </w:tblPr>
      <w:tblGrid>
        <w:gridCol w:w="1419"/>
        <w:gridCol w:w="1242"/>
        <w:gridCol w:w="601"/>
        <w:gridCol w:w="567"/>
        <w:gridCol w:w="850"/>
        <w:gridCol w:w="1134"/>
        <w:gridCol w:w="992"/>
        <w:gridCol w:w="1134"/>
        <w:gridCol w:w="1418"/>
        <w:gridCol w:w="283"/>
        <w:gridCol w:w="992"/>
      </w:tblGrid>
      <w:tr w:rsidR="00B35124" w:rsidRPr="00584FAA" w:rsidTr="00341287">
        <w:trPr>
          <w:gridAfter w:val="1"/>
          <w:wAfter w:w="992" w:type="dxa"/>
          <w:trHeight w:val="300"/>
        </w:trPr>
        <w:tc>
          <w:tcPr>
            <w:tcW w:w="1419" w:type="dxa"/>
            <w:tcBorders>
              <w:top w:val="nil"/>
              <w:left w:val="nil"/>
              <w:bottom w:val="single" w:sz="4" w:space="0" w:color="auto"/>
              <w:right w:val="nil"/>
            </w:tcBorders>
            <w:shd w:val="clear" w:color="auto" w:fill="auto"/>
            <w:noWrap/>
            <w:vAlign w:val="bottom"/>
            <w:hideMark/>
          </w:tcPr>
          <w:p w:rsidR="00B35124" w:rsidRPr="00584FAA" w:rsidRDefault="00B35124" w:rsidP="00A7496C">
            <w:pPr>
              <w:rPr>
                <w:rFonts w:ascii="Calibri" w:eastAsia="Times New Roman" w:hAnsi="Calibri"/>
                <w:b/>
                <w:bCs/>
                <w:color w:val="000000"/>
                <w:sz w:val="22"/>
                <w:szCs w:val="22"/>
                <w:lang w:val="en-IE" w:eastAsia="en-IE"/>
              </w:rPr>
            </w:pPr>
            <w:r w:rsidRPr="00584FAA">
              <w:rPr>
                <w:rFonts w:ascii="Calibri" w:eastAsia="Times New Roman" w:hAnsi="Calibri"/>
                <w:b/>
                <w:bCs/>
                <w:color w:val="000000"/>
                <w:sz w:val="22"/>
                <w:szCs w:val="22"/>
                <w:lang w:val="en-IE" w:eastAsia="en-IE"/>
              </w:rPr>
              <w:t>Phenotype</w:t>
            </w:r>
          </w:p>
        </w:tc>
        <w:tc>
          <w:tcPr>
            <w:tcW w:w="1242" w:type="dxa"/>
            <w:tcBorders>
              <w:top w:val="nil"/>
              <w:left w:val="nil"/>
              <w:bottom w:val="single" w:sz="4" w:space="0" w:color="auto"/>
              <w:right w:val="nil"/>
            </w:tcBorders>
            <w:shd w:val="clear" w:color="auto" w:fill="auto"/>
            <w:noWrap/>
            <w:vAlign w:val="bottom"/>
            <w:hideMark/>
          </w:tcPr>
          <w:p w:rsidR="00B35124" w:rsidRPr="00584FAA" w:rsidRDefault="00B35124" w:rsidP="00A7496C">
            <w:pPr>
              <w:jc w:val="center"/>
              <w:rPr>
                <w:rFonts w:ascii="Calibri" w:eastAsia="Times New Roman" w:hAnsi="Calibri"/>
                <w:b/>
                <w:bCs/>
                <w:color w:val="000000"/>
                <w:sz w:val="22"/>
                <w:szCs w:val="22"/>
                <w:lang w:val="en-IE" w:eastAsia="en-IE"/>
              </w:rPr>
            </w:pPr>
            <w:r w:rsidRPr="00584FAA">
              <w:rPr>
                <w:rFonts w:ascii="Calibri" w:eastAsia="Times New Roman" w:hAnsi="Calibri"/>
                <w:b/>
                <w:bCs/>
                <w:color w:val="000000"/>
                <w:sz w:val="22"/>
                <w:szCs w:val="22"/>
                <w:lang w:val="en-IE" w:eastAsia="en-IE"/>
              </w:rPr>
              <w:t>SNP</w:t>
            </w:r>
          </w:p>
        </w:tc>
        <w:tc>
          <w:tcPr>
            <w:tcW w:w="601" w:type="dxa"/>
            <w:tcBorders>
              <w:top w:val="nil"/>
              <w:left w:val="nil"/>
              <w:bottom w:val="single" w:sz="4" w:space="0" w:color="auto"/>
              <w:right w:val="nil"/>
            </w:tcBorders>
            <w:shd w:val="clear" w:color="auto" w:fill="auto"/>
            <w:noWrap/>
            <w:vAlign w:val="bottom"/>
            <w:hideMark/>
          </w:tcPr>
          <w:p w:rsidR="00B35124" w:rsidRPr="00584FAA" w:rsidRDefault="00B35124" w:rsidP="00A7496C">
            <w:pPr>
              <w:jc w:val="center"/>
              <w:rPr>
                <w:rFonts w:ascii="Calibri" w:eastAsia="Times New Roman" w:hAnsi="Calibri"/>
                <w:b/>
                <w:bCs/>
                <w:color w:val="000000"/>
                <w:sz w:val="22"/>
                <w:szCs w:val="22"/>
                <w:lang w:val="en-IE" w:eastAsia="en-IE"/>
              </w:rPr>
            </w:pPr>
            <w:r w:rsidRPr="00584FAA">
              <w:rPr>
                <w:rFonts w:ascii="Calibri" w:eastAsia="Times New Roman" w:hAnsi="Calibri"/>
                <w:b/>
                <w:bCs/>
                <w:color w:val="000000"/>
                <w:sz w:val="22"/>
                <w:szCs w:val="22"/>
                <w:lang w:val="en-IE" w:eastAsia="en-IE"/>
              </w:rPr>
              <w:t>A1</w:t>
            </w:r>
          </w:p>
        </w:tc>
        <w:tc>
          <w:tcPr>
            <w:tcW w:w="567" w:type="dxa"/>
            <w:tcBorders>
              <w:top w:val="nil"/>
              <w:left w:val="nil"/>
              <w:bottom w:val="single" w:sz="4" w:space="0" w:color="auto"/>
              <w:right w:val="nil"/>
            </w:tcBorders>
            <w:shd w:val="clear" w:color="auto" w:fill="auto"/>
            <w:noWrap/>
            <w:vAlign w:val="bottom"/>
            <w:hideMark/>
          </w:tcPr>
          <w:p w:rsidR="00B35124" w:rsidRPr="00584FAA" w:rsidRDefault="00B35124" w:rsidP="00A7496C">
            <w:pPr>
              <w:jc w:val="center"/>
              <w:rPr>
                <w:rFonts w:ascii="Calibri" w:eastAsia="Times New Roman" w:hAnsi="Calibri"/>
                <w:b/>
                <w:bCs/>
                <w:color w:val="000000"/>
                <w:sz w:val="22"/>
                <w:szCs w:val="22"/>
                <w:lang w:val="en-IE" w:eastAsia="en-IE"/>
              </w:rPr>
            </w:pPr>
            <w:r w:rsidRPr="00584FAA">
              <w:rPr>
                <w:rFonts w:ascii="Calibri" w:eastAsia="Times New Roman" w:hAnsi="Calibri"/>
                <w:b/>
                <w:bCs/>
                <w:color w:val="000000"/>
                <w:sz w:val="22"/>
                <w:szCs w:val="22"/>
                <w:lang w:val="en-IE" w:eastAsia="en-IE"/>
              </w:rPr>
              <w:t>A2</w:t>
            </w:r>
          </w:p>
        </w:tc>
        <w:tc>
          <w:tcPr>
            <w:tcW w:w="850" w:type="dxa"/>
            <w:tcBorders>
              <w:top w:val="nil"/>
              <w:left w:val="nil"/>
              <w:bottom w:val="single" w:sz="4" w:space="0" w:color="auto"/>
              <w:right w:val="nil"/>
            </w:tcBorders>
            <w:shd w:val="clear" w:color="auto" w:fill="auto"/>
            <w:noWrap/>
            <w:vAlign w:val="bottom"/>
            <w:hideMark/>
          </w:tcPr>
          <w:p w:rsidR="00B35124" w:rsidRPr="00584FAA" w:rsidRDefault="00B35124" w:rsidP="00A7496C">
            <w:pPr>
              <w:jc w:val="center"/>
              <w:rPr>
                <w:rFonts w:ascii="Calibri" w:eastAsia="Times New Roman" w:hAnsi="Calibri"/>
                <w:b/>
                <w:bCs/>
                <w:color w:val="000000"/>
                <w:sz w:val="22"/>
                <w:szCs w:val="22"/>
                <w:lang w:val="en-IE" w:eastAsia="en-IE"/>
              </w:rPr>
            </w:pPr>
            <w:r>
              <w:rPr>
                <w:rFonts w:ascii="Calibri" w:eastAsia="Times New Roman" w:hAnsi="Calibri"/>
                <w:b/>
                <w:bCs/>
                <w:color w:val="000000"/>
                <w:sz w:val="22"/>
                <w:szCs w:val="22"/>
                <w:lang w:val="en-IE" w:eastAsia="en-IE"/>
              </w:rPr>
              <w:t>OR</w:t>
            </w:r>
          </w:p>
        </w:tc>
        <w:tc>
          <w:tcPr>
            <w:tcW w:w="1134" w:type="dxa"/>
            <w:tcBorders>
              <w:top w:val="nil"/>
              <w:left w:val="nil"/>
              <w:bottom w:val="single" w:sz="4" w:space="0" w:color="auto"/>
              <w:right w:val="nil"/>
            </w:tcBorders>
            <w:shd w:val="clear" w:color="auto" w:fill="auto"/>
            <w:noWrap/>
            <w:vAlign w:val="bottom"/>
            <w:hideMark/>
          </w:tcPr>
          <w:p w:rsidR="00B35124" w:rsidRPr="00584FAA" w:rsidRDefault="00B35124" w:rsidP="00A7496C">
            <w:pPr>
              <w:jc w:val="center"/>
              <w:rPr>
                <w:rFonts w:ascii="Calibri" w:eastAsia="Times New Roman" w:hAnsi="Calibri"/>
                <w:b/>
                <w:bCs/>
                <w:color w:val="000000"/>
                <w:sz w:val="22"/>
                <w:szCs w:val="22"/>
                <w:lang w:val="en-IE" w:eastAsia="en-IE"/>
              </w:rPr>
            </w:pPr>
            <w:r w:rsidRPr="00584FAA">
              <w:rPr>
                <w:rFonts w:ascii="Calibri" w:eastAsia="Times New Roman" w:hAnsi="Calibri"/>
                <w:b/>
                <w:bCs/>
                <w:color w:val="000000"/>
                <w:sz w:val="22"/>
                <w:szCs w:val="22"/>
                <w:lang w:val="en-IE" w:eastAsia="en-IE"/>
              </w:rPr>
              <w:t>P-value</w:t>
            </w:r>
          </w:p>
        </w:tc>
        <w:tc>
          <w:tcPr>
            <w:tcW w:w="992" w:type="dxa"/>
            <w:tcBorders>
              <w:top w:val="nil"/>
              <w:left w:val="nil"/>
              <w:bottom w:val="single" w:sz="4" w:space="0" w:color="auto"/>
              <w:right w:val="nil"/>
            </w:tcBorders>
            <w:shd w:val="clear" w:color="auto" w:fill="auto"/>
            <w:noWrap/>
            <w:vAlign w:val="bottom"/>
            <w:hideMark/>
          </w:tcPr>
          <w:p w:rsidR="00B35124" w:rsidRPr="00584FAA" w:rsidRDefault="00B35124" w:rsidP="00A7496C">
            <w:pPr>
              <w:jc w:val="center"/>
              <w:rPr>
                <w:rFonts w:ascii="Calibri" w:eastAsia="Times New Roman" w:hAnsi="Calibri"/>
                <w:b/>
                <w:bCs/>
                <w:color w:val="000000"/>
                <w:sz w:val="22"/>
                <w:szCs w:val="22"/>
                <w:lang w:val="en-IE" w:eastAsia="en-IE"/>
              </w:rPr>
            </w:pPr>
            <w:r w:rsidRPr="00584FAA">
              <w:rPr>
                <w:rFonts w:ascii="Calibri" w:eastAsia="Times New Roman" w:hAnsi="Calibri"/>
                <w:b/>
                <w:bCs/>
                <w:color w:val="000000"/>
                <w:sz w:val="22"/>
                <w:szCs w:val="22"/>
                <w:lang w:val="en-IE" w:eastAsia="en-IE"/>
              </w:rPr>
              <w:t>Case</w:t>
            </w:r>
          </w:p>
        </w:tc>
        <w:tc>
          <w:tcPr>
            <w:tcW w:w="1134" w:type="dxa"/>
            <w:tcBorders>
              <w:top w:val="nil"/>
              <w:left w:val="nil"/>
              <w:bottom w:val="single" w:sz="4" w:space="0" w:color="auto"/>
              <w:right w:val="nil"/>
            </w:tcBorders>
            <w:shd w:val="clear" w:color="auto" w:fill="auto"/>
            <w:noWrap/>
            <w:vAlign w:val="bottom"/>
            <w:hideMark/>
          </w:tcPr>
          <w:p w:rsidR="00B35124" w:rsidRPr="00584FAA" w:rsidRDefault="00B35124" w:rsidP="00A7496C">
            <w:pPr>
              <w:jc w:val="center"/>
              <w:rPr>
                <w:rFonts w:ascii="Calibri" w:eastAsia="Times New Roman" w:hAnsi="Calibri"/>
                <w:b/>
                <w:bCs/>
                <w:color w:val="000000"/>
                <w:sz w:val="22"/>
                <w:szCs w:val="22"/>
                <w:lang w:val="en-IE" w:eastAsia="en-IE"/>
              </w:rPr>
            </w:pPr>
            <w:r w:rsidRPr="00584FAA">
              <w:rPr>
                <w:rFonts w:ascii="Calibri" w:eastAsia="Times New Roman" w:hAnsi="Calibri"/>
                <w:b/>
                <w:bCs/>
                <w:color w:val="000000"/>
                <w:sz w:val="22"/>
                <w:szCs w:val="22"/>
                <w:lang w:val="en-IE" w:eastAsia="en-IE"/>
              </w:rPr>
              <w:t>Control</w:t>
            </w:r>
          </w:p>
        </w:tc>
        <w:tc>
          <w:tcPr>
            <w:tcW w:w="1701" w:type="dxa"/>
            <w:gridSpan w:val="2"/>
            <w:tcBorders>
              <w:top w:val="nil"/>
              <w:left w:val="nil"/>
              <w:bottom w:val="single" w:sz="4" w:space="0" w:color="auto"/>
              <w:right w:val="nil"/>
            </w:tcBorders>
            <w:shd w:val="clear" w:color="auto" w:fill="auto"/>
            <w:noWrap/>
            <w:vAlign w:val="bottom"/>
            <w:hideMark/>
          </w:tcPr>
          <w:p w:rsidR="00B35124" w:rsidRPr="00584FAA" w:rsidRDefault="00B35124" w:rsidP="00A7496C">
            <w:pPr>
              <w:jc w:val="center"/>
              <w:rPr>
                <w:rFonts w:ascii="Calibri" w:eastAsia="Times New Roman" w:hAnsi="Calibri"/>
                <w:b/>
                <w:bCs/>
                <w:color w:val="000000"/>
                <w:sz w:val="22"/>
                <w:szCs w:val="22"/>
                <w:lang w:val="en-IE" w:eastAsia="en-IE"/>
              </w:rPr>
            </w:pPr>
            <w:r w:rsidRPr="00584FAA">
              <w:rPr>
                <w:rFonts w:ascii="Calibri" w:eastAsia="Times New Roman" w:hAnsi="Calibri"/>
                <w:b/>
                <w:bCs/>
                <w:color w:val="000000"/>
                <w:sz w:val="22"/>
                <w:szCs w:val="22"/>
                <w:lang w:val="en-IE" w:eastAsia="en-IE"/>
              </w:rPr>
              <w:t>Cohorts</w:t>
            </w:r>
          </w:p>
        </w:tc>
      </w:tr>
      <w:tr w:rsidR="00B35124" w:rsidRPr="00584FAA" w:rsidTr="00341287">
        <w:trPr>
          <w:gridAfter w:val="1"/>
          <w:wAfter w:w="992" w:type="dxa"/>
          <w:trHeight w:val="300"/>
        </w:trPr>
        <w:tc>
          <w:tcPr>
            <w:tcW w:w="1419" w:type="dxa"/>
            <w:tcBorders>
              <w:top w:val="nil"/>
              <w:left w:val="nil"/>
              <w:bottom w:val="nil"/>
              <w:right w:val="nil"/>
            </w:tcBorders>
            <w:shd w:val="clear" w:color="auto" w:fill="auto"/>
            <w:noWrap/>
            <w:vAlign w:val="bottom"/>
            <w:hideMark/>
          </w:tcPr>
          <w:p w:rsidR="00B35124" w:rsidRPr="00584FAA" w:rsidRDefault="00B35124" w:rsidP="00A7496C">
            <w:pP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Finger OA **</w:t>
            </w:r>
          </w:p>
        </w:tc>
        <w:tc>
          <w:tcPr>
            <w:tcW w:w="1242" w:type="dxa"/>
            <w:tcBorders>
              <w:top w:val="nil"/>
              <w:left w:val="nil"/>
              <w:bottom w:val="nil"/>
              <w:right w:val="nil"/>
            </w:tcBorders>
            <w:shd w:val="clear" w:color="auto" w:fill="auto"/>
            <w:noWrap/>
            <w:vAlign w:val="bottom"/>
            <w:hideMark/>
          </w:tcPr>
          <w:p w:rsidR="00B35124" w:rsidRPr="00584FAA" w:rsidRDefault="00B35124" w:rsidP="00A7496C">
            <w:pPr>
              <w:jc w:val="right"/>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rs4764133</w:t>
            </w:r>
          </w:p>
        </w:tc>
        <w:tc>
          <w:tcPr>
            <w:tcW w:w="601"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T</w:t>
            </w:r>
          </w:p>
        </w:tc>
        <w:tc>
          <w:tcPr>
            <w:tcW w:w="567"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C</w:t>
            </w:r>
          </w:p>
        </w:tc>
        <w:tc>
          <w:tcPr>
            <w:tcW w:w="850"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1.25</w:t>
            </w:r>
          </w:p>
        </w:tc>
        <w:tc>
          <w:tcPr>
            <w:tcW w:w="1134"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3.09E-08</w:t>
            </w:r>
          </w:p>
        </w:tc>
        <w:tc>
          <w:tcPr>
            <w:tcW w:w="992"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2371</w:t>
            </w:r>
          </w:p>
        </w:tc>
        <w:tc>
          <w:tcPr>
            <w:tcW w:w="1134"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5751</w:t>
            </w:r>
          </w:p>
        </w:tc>
        <w:tc>
          <w:tcPr>
            <w:tcW w:w="1701" w:type="dxa"/>
            <w:gridSpan w:val="2"/>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RS1, RS2, RS3</w:t>
            </w:r>
          </w:p>
        </w:tc>
      </w:tr>
      <w:tr w:rsidR="00B35124" w:rsidRPr="00584FAA" w:rsidTr="00341287">
        <w:trPr>
          <w:gridAfter w:val="1"/>
          <w:wAfter w:w="992" w:type="dxa"/>
          <w:trHeight w:val="300"/>
        </w:trPr>
        <w:tc>
          <w:tcPr>
            <w:tcW w:w="1419" w:type="dxa"/>
            <w:tcBorders>
              <w:top w:val="nil"/>
              <w:left w:val="nil"/>
              <w:bottom w:val="nil"/>
              <w:right w:val="nil"/>
            </w:tcBorders>
            <w:shd w:val="clear" w:color="auto" w:fill="auto"/>
            <w:noWrap/>
            <w:vAlign w:val="bottom"/>
            <w:hideMark/>
          </w:tcPr>
          <w:p w:rsidR="00B35124" w:rsidRPr="00584FAA" w:rsidRDefault="00B35124" w:rsidP="00A7496C">
            <w:pP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Hand OA ***</w:t>
            </w:r>
          </w:p>
        </w:tc>
        <w:tc>
          <w:tcPr>
            <w:tcW w:w="1242" w:type="dxa"/>
            <w:tcBorders>
              <w:top w:val="nil"/>
              <w:left w:val="nil"/>
              <w:bottom w:val="nil"/>
              <w:right w:val="nil"/>
            </w:tcBorders>
            <w:shd w:val="clear" w:color="auto" w:fill="auto"/>
            <w:noWrap/>
            <w:vAlign w:val="bottom"/>
            <w:hideMark/>
          </w:tcPr>
          <w:p w:rsidR="00B35124" w:rsidRPr="00584FAA" w:rsidRDefault="00B35124" w:rsidP="00A7496C">
            <w:pPr>
              <w:jc w:val="right"/>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rs4764133</w:t>
            </w:r>
          </w:p>
        </w:tc>
        <w:tc>
          <w:tcPr>
            <w:tcW w:w="601"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T</w:t>
            </w:r>
          </w:p>
        </w:tc>
        <w:tc>
          <w:tcPr>
            <w:tcW w:w="567"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C</w:t>
            </w:r>
          </w:p>
        </w:tc>
        <w:tc>
          <w:tcPr>
            <w:tcW w:w="850"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1.36</w:t>
            </w:r>
          </w:p>
        </w:tc>
        <w:tc>
          <w:tcPr>
            <w:tcW w:w="1134"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2.80E-02</w:t>
            </w:r>
          </w:p>
        </w:tc>
        <w:tc>
          <w:tcPr>
            <w:tcW w:w="992" w:type="dxa"/>
            <w:tcBorders>
              <w:top w:val="nil"/>
              <w:left w:val="nil"/>
              <w:bottom w:val="nil"/>
              <w:right w:val="nil"/>
            </w:tcBorders>
            <w:shd w:val="clear" w:color="auto" w:fill="auto"/>
            <w:noWrap/>
            <w:vAlign w:val="bottom"/>
            <w:hideMark/>
          </w:tcPr>
          <w:p w:rsidR="00B35124" w:rsidRPr="00584FAA" w:rsidRDefault="00B35124" w:rsidP="00341287">
            <w:pPr>
              <w:jc w:val="cente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140</w:t>
            </w:r>
          </w:p>
        </w:tc>
        <w:tc>
          <w:tcPr>
            <w:tcW w:w="1134" w:type="dxa"/>
            <w:tcBorders>
              <w:top w:val="nil"/>
              <w:left w:val="nil"/>
              <w:bottom w:val="nil"/>
              <w:right w:val="nil"/>
            </w:tcBorders>
            <w:shd w:val="clear" w:color="auto" w:fill="auto"/>
            <w:noWrap/>
            <w:vAlign w:val="bottom"/>
            <w:hideMark/>
          </w:tcPr>
          <w:p w:rsidR="00B35124" w:rsidRPr="00584FAA" w:rsidRDefault="00B35124" w:rsidP="00341287">
            <w:pPr>
              <w:jc w:val="cente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5,801</w:t>
            </w:r>
          </w:p>
        </w:tc>
        <w:tc>
          <w:tcPr>
            <w:tcW w:w="1701" w:type="dxa"/>
            <w:gridSpan w:val="2"/>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RS1, RS2, RS3</w:t>
            </w:r>
          </w:p>
        </w:tc>
      </w:tr>
      <w:tr w:rsidR="00B35124" w:rsidRPr="00584FAA" w:rsidTr="00341287">
        <w:trPr>
          <w:gridAfter w:val="1"/>
          <w:wAfter w:w="992" w:type="dxa"/>
          <w:trHeight w:val="300"/>
        </w:trPr>
        <w:tc>
          <w:tcPr>
            <w:tcW w:w="1419" w:type="dxa"/>
            <w:tcBorders>
              <w:top w:val="nil"/>
              <w:left w:val="nil"/>
              <w:bottom w:val="nil"/>
              <w:right w:val="nil"/>
            </w:tcBorders>
            <w:shd w:val="clear" w:color="auto" w:fill="auto"/>
            <w:noWrap/>
            <w:vAlign w:val="bottom"/>
            <w:hideMark/>
          </w:tcPr>
          <w:p w:rsidR="00B35124" w:rsidRPr="00584FAA" w:rsidRDefault="00B35124" w:rsidP="00A7496C">
            <w:pP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Hip OA</w:t>
            </w:r>
          </w:p>
        </w:tc>
        <w:tc>
          <w:tcPr>
            <w:tcW w:w="1242" w:type="dxa"/>
            <w:tcBorders>
              <w:top w:val="nil"/>
              <w:left w:val="nil"/>
              <w:bottom w:val="nil"/>
              <w:right w:val="nil"/>
            </w:tcBorders>
            <w:shd w:val="clear" w:color="auto" w:fill="auto"/>
            <w:noWrap/>
            <w:vAlign w:val="bottom"/>
            <w:hideMark/>
          </w:tcPr>
          <w:p w:rsidR="00B35124" w:rsidRPr="00584FAA" w:rsidRDefault="00B35124" w:rsidP="00A7496C">
            <w:pPr>
              <w:jc w:val="right"/>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rs4764133</w:t>
            </w:r>
          </w:p>
        </w:tc>
        <w:tc>
          <w:tcPr>
            <w:tcW w:w="601"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T</w:t>
            </w:r>
          </w:p>
        </w:tc>
        <w:tc>
          <w:tcPr>
            <w:tcW w:w="567"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C</w:t>
            </w:r>
          </w:p>
        </w:tc>
        <w:tc>
          <w:tcPr>
            <w:tcW w:w="850"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0.97</w:t>
            </w:r>
          </w:p>
        </w:tc>
        <w:tc>
          <w:tcPr>
            <w:tcW w:w="1134"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4.93E-01</w:t>
            </w:r>
          </w:p>
        </w:tc>
        <w:tc>
          <w:tcPr>
            <w:tcW w:w="992" w:type="dxa"/>
            <w:tcBorders>
              <w:top w:val="nil"/>
              <w:left w:val="nil"/>
              <w:bottom w:val="nil"/>
              <w:right w:val="nil"/>
            </w:tcBorders>
            <w:shd w:val="clear" w:color="auto" w:fill="auto"/>
            <w:noWrap/>
            <w:vAlign w:val="bottom"/>
            <w:hideMark/>
          </w:tcPr>
          <w:p w:rsidR="00B35124" w:rsidRPr="00584FAA" w:rsidRDefault="00B424E5" w:rsidP="00341287">
            <w:pPr>
              <w:jc w:val="cente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3,595</w:t>
            </w:r>
          </w:p>
        </w:tc>
        <w:tc>
          <w:tcPr>
            <w:tcW w:w="1134" w:type="dxa"/>
            <w:tcBorders>
              <w:top w:val="nil"/>
              <w:left w:val="nil"/>
              <w:bottom w:val="nil"/>
              <w:right w:val="nil"/>
            </w:tcBorders>
            <w:shd w:val="clear" w:color="auto" w:fill="auto"/>
            <w:noWrap/>
            <w:vAlign w:val="bottom"/>
            <w:hideMark/>
          </w:tcPr>
          <w:p w:rsidR="00B35124" w:rsidRPr="00584FAA" w:rsidRDefault="00B424E5" w:rsidP="00341287">
            <w:pPr>
              <w:jc w:val="cente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6,559</w:t>
            </w:r>
          </w:p>
        </w:tc>
        <w:tc>
          <w:tcPr>
            <w:tcW w:w="1701" w:type="dxa"/>
            <w:gridSpan w:val="2"/>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T</w:t>
            </w:r>
            <w:r w:rsidR="008207FD">
              <w:rPr>
                <w:rFonts w:ascii="Calibri" w:eastAsia="Times New Roman" w:hAnsi="Calibri"/>
                <w:color w:val="000000"/>
                <w:sz w:val="22"/>
                <w:szCs w:val="22"/>
                <w:lang w:val="en-IE" w:eastAsia="en-IE"/>
              </w:rPr>
              <w:t>reat</w:t>
            </w:r>
            <w:r w:rsidRPr="00584FAA">
              <w:rPr>
                <w:rFonts w:ascii="Calibri" w:eastAsia="Times New Roman" w:hAnsi="Calibri"/>
                <w:color w:val="000000"/>
                <w:sz w:val="22"/>
                <w:szCs w:val="22"/>
                <w:lang w:val="en-IE" w:eastAsia="en-IE"/>
              </w:rPr>
              <w:t>-OA†</w:t>
            </w:r>
          </w:p>
        </w:tc>
      </w:tr>
      <w:tr w:rsidR="00B35124" w:rsidRPr="00584FAA" w:rsidTr="00341287">
        <w:trPr>
          <w:gridAfter w:val="1"/>
          <w:wAfter w:w="992" w:type="dxa"/>
          <w:trHeight w:val="300"/>
        </w:trPr>
        <w:tc>
          <w:tcPr>
            <w:tcW w:w="1419" w:type="dxa"/>
            <w:tcBorders>
              <w:top w:val="nil"/>
              <w:left w:val="nil"/>
              <w:bottom w:val="nil"/>
              <w:right w:val="nil"/>
            </w:tcBorders>
            <w:shd w:val="clear" w:color="auto" w:fill="auto"/>
            <w:noWrap/>
            <w:vAlign w:val="bottom"/>
            <w:hideMark/>
          </w:tcPr>
          <w:p w:rsidR="00B35124" w:rsidRPr="00584FAA" w:rsidRDefault="00B35124" w:rsidP="00A7496C">
            <w:pP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Knee OA</w:t>
            </w:r>
          </w:p>
        </w:tc>
        <w:tc>
          <w:tcPr>
            <w:tcW w:w="1242" w:type="dxa"/>
            <w:tcBorders>
              <w:top w:val="nil"/>
              <w:left w:val="nil"/>
              <w:bottom w:val="nil"/>
              <w:right w:val="nil"/>
            </w:tcBorders>
            <w:shd w:val="clear" w:color="auto" w:fill="auto"/>
            <w:noWrap/>
            <w:vAlign w:val="bottom"/>
            <w:hideMark/>
          </w:tcPr>
          <w:p w:rsidR="00B35124" w:rsidRPr="00584FAA" w:rsidRDefault="00B35124" w:rsidP="00A7496C">
            <w:pPr>
              <w:jc w:val="right"/>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rs4764133</w:t>
            </w:r>
          </w:p>
        </w:tc>
        <w:tc>
          <w:tcPr>
            <w:tcW w:w="601"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T</w:t>
            </w:r>
          </w:p>
        </w:tc>
        <w:tc>
          <w:tcPr>
            <w:tcW w:w="567"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C</w:t>
            </w:r>
          </w:p>
        </w:tc>
        <w:tc>
          <w:tcPr>
            <w:tcW w:w="850"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0.96</w:t>
            </w:r>
          </w:p>
        </w:tc>
        <w:tc>
          <w:tcPr>
            <w:tcW w:w="1134" w:type="dxa"/>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2.99E-01</w:t>
            </w:r>
          </w:p>
        </w:tc>
        <w:tc>
          <w:tcPr>
            <w:tcW w:w="992" w:type="dxa"/>
            <w:tcBorders>
              <w:top w:val="nil"/>
              <w:left w:val="nil"/>
              <w:bottom w:val="nil"/>
              <w:right w:val="nil"/>
            </w:tcBorders>
            <w:shd w:val="clear" w:color="auto" w:fill="auto"/>
            <w:noWrap/>
            <w:vAlign w:val="bottom"/>
            <w:hideMark/>
          </w:tcPr>
          <w:p w:rsidR="00B35124" w:rsidRPr="00584FAA" w:rsidRDefault="00B424E5" w:rsidP="00A7496C">
            <w:pPr>
              <w:jc w:val="cente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5,013</w:t>
            </w:r>
          </w:p>
        </w:tc>
        <w:tc>
          <w:tcPr>
            <w:tcW w:w="1134" w:type="dxa"/>
            <w:tcBorders>
              <w:top w:val="nil"/>
              <w:left w:val="nil"/>
              <w:bottom w:val="nil"/>
              <w:right w:val="nil"/>
            </w:tcBorders>
            <w:shd w:val="clear" w:color="auto" w:fill="auto"/>
            <w:noWrap/>
            <w:vAlign w:val="bottom"/>
            <w:hideMark/>
          </w:tcPr>
          <w:p w:rsidR="00B35124" w:rsidRPr="00584FAA" w:rsidRDefault="00B424E5" w:rsidP="00A7496C">
            <w:pPr>
              <w:jc w:val="cente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9,132</w:t>
            </w:r>
          </w:p>
        </w:tc>
        <w:tc>
          <w:tcPr>
            <w:tcW w:w="1701" w:type="dxa"/>
            <w:gridSpan w:val="2"/>
            <w:tcBorders>
              <w:top w:val="nil"/>
              <w:left w:val="nil"/>
              <w:bottom w:val="nil"/>
              <w:right w:val="nil"/>
            </w:tcBorders>
            <w:shd w:val="clear" w:color="auto" w:fill="auto"/>
            <w:noWrap/>
            <w:vAlign w:val="bottom"/>
            <w:hideMark/>
          </w:tcPr>
          <w:p w:rsidR="00B35124" w:rsidRPr="00584FAA" w:rsidRDefault="00B35124" w:rsidP="00A7496C">
            <w:pPr>
              <w:jc w:val="cente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T</w:t>
            </w:r>
            <w:r w:rsidR="008207FD">
              <w:rPr>
                <w:rFonts w:ascii="Calibri" w:eastAsia="Times New Roman" w:hAnsi="Calibri"/>
                <w:color w:val="000000"/>
                <w:sz w:val="22"/>
                <w:szCs w:val="22"/>
                <w:lang w:val="en-IE" w:eastAsia="en-IE"/>
              </w:rPr>
              <w:t>reat</w:t>
            </w:r>
            <w:r w:rsidR="000E3A74">
              <w:rPr>
                <w:rFonts w:ascii="Calibri" w:eastAsia="Times New Roman" w:hAnsi="Calibri"/>
                <w:color w:val="000000"/>
                <w:sz w:val="22"/>
                <w:szCs w:val="22"/>
                <w:lang w:val="en-IE" w:eastAsia="en-IE"/>
              </w:rPr>
              <w:t>-OA</w:t>
            </w:r>
            <w:r w:rsidR="000E3A74" w:rsidRPr="00584FAA">
              <w:rPr>
                <w:rFonts w:ascii="Calibri" w:eastAsia="Times New Roman" w:hAnsi="Calibri"/>
                <w:color w:val="000000"/>
                <w:sz w:val="22"/>
                <w:szCs w:val="22"/>
                <w:lang w:val="en-IE" w:eastAsia="en-IE"/>
              </w:rPr>
              <w:t>†</w:t>
            </w:r>
          </w:p>
        </w:tc>
      </w:tr>
      <w:tr w:rsidR="00B424E5" w:rsidRPr="00584FAA" w:rsidTr="00341287">
        <w:trPr>
          <w:gridAfter w:val="1"/>
          <w:wAfter w:w="992" w:type="dxa"/>
          <w:trHeight w:val="231"/>
        </w:trPr>
        <w:tc>
          <w:tcPr>
            <w:tcW w:w="1419" w:type="dxa"/>
            <w:tcBorders>
              <w:top w:val="nil"/>
              <w:left w:val="nil"/>
              <w:bottom w:val="nil"/>
              <w:right w:val="nil"/>
            </w:tcBorders>
            <w:shd w:val="clear" w:color="auto" w:fill="auto"/>
            <w:noWrap/>
            <w:vAlign w:val="bottom"/>
          </w:tcPr>
          <w:p w:rsidR="00B424E5" w:rsidRPr="00584FAA" w:rsidRDefault="00B424E5" w:rsidP="00A7496C">
            <w:pP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mJSW⁺</w:t>
            </w:r>
          </w:p>
        </w:tc>
        <w:tc>
          <w:tcPr>
            <w:tcW w:w="1242" w:type="dxa"/>
            <w:tcBorders>
              <w:top w:val="nil"/>
              <w:left w:val="nil"/>
              <w:bottom w:val="nil"/>
              <w:right w:val="nil"/>
            </w:tcBorders>
            <w:shd w:val="clear" w:color="auto" w:fill="auto"/>
            <w:noWrap/>
            <w:vAlign w:val="bottom"/>
          </w:tcPr>
          <w:p w:rsidR="00B424E5" w:rsidRPr="00584FAA" w:rsidRDefault="00B95824" w:rsidP="00341287">
            <w:pPr>
              <w:jc w:val="cente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r</w:t>
            </w:r>
            <w:r w:rsidR="00B424E5">
              <w:rPr>
                <w:rFonts w:ascii="Calibri" w:eastAsia="Times New Roman" w:hAnsi="Calibri"/>
                <w:color w:val="000000"/>
                <w:sz w:val="22"/>
                <w:szCs w:val="22"/>
                <w:lang w:val="en-IE" w:eastAsia="en-IE"/>
              </w:rPr>
              <w:t>s1049897</w:t>
            </w:r>
          </w:p>
        </w:tc>
        <w:tc>
          <w:tcPr>
            <w:tcW w:w="601" w:type="dxa"/>
            <w:tcBorders>
              <w:top w:val="nil"/>
              <w:left w:val="nil"/>
              <w:bottom w:val="nil"/>
              <w:right w:val="nil"/>
            </w:tcBorders>
            <w:shd w:val="clear" w:color="auto" w:fill="auto"/>
            <w:noWrap/>
            <w:vAlign w:val="bottom"/>
          </w:tcPr>
          <w:p w:rsidR="00B424E5" w:rsidRPr="00584FAA" w:rsidRDefault="00B95824" w:rsidP="00A7496C">
            <w:pPr>
              <w:jc w:val="cente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T</w:t>
            </w:r>
          </w:p>
        </w:tc>
        <w:tc>
          <w:tcPr>
            <w:tcW w:w="567" w:type="dxa"/>
            <w:tcBorders>
              <w:top w:val="nil"/>
              <w:left w:val="nil"/>
              <w:bottom w:val="nil"/>
              <w:right w:val="nil"/>
            </w:tcBorders>
            <w:shd w:val="clear" w:color="auto" w:fill="auto"/>
            <w:noWrap/>
            <w:vAlign w:val="bottom"/>
          </w:tcPr>
          <w:p w:rsidR="00B424E5" w:rsidRPr="00584FAA" w:rsidRDefault="00394F8E" w:rsidP="00A7496C">
            <w:pPr>
              <w:jc w:val="cente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A</w:t>
            </w:r>
          </w:p>
        </w:tc>
        <w:tc>
          <w:tcPr>
            <w:tcW w:w="850" w:type="dxa"/>
            <w:tcBorders>
              <w:top w:val="nil"/>
              <w:left w:val="nil"/>
              <w:bottom w:val="nil"/>
              <w:right w:val="nil"/>
            </w:tcBorders>
            <w:shd w:val="clear" w:color="auto" w:fill="auto"/>
            <w:noWrap/>
            <w:vAlign w:val="bottom"/>
          </w:tcPr>
          <w:p w:rsidR="00B424E5" w:rsidRDefault="00B95824" w:rsidP="00A7496C">
            <w:pPr>
              <w:jc w:val="cente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w:t>
            </w:r>
            <w:r w:rsidR="00B424E5">
              <w:rPr>
                <w:rFonts w:ascii="Calibri" w:eastAsia="Times New Roman" w:hAnsi="Calibri"/>
                <w:color w:val="000000"/>
                <w:sz w:val="22"/>
                <w:szCs w:val="22"/>
                <w:lang w:val="en-IE" w:eastAsia="en-IE"/>
              </w:rPr>
              <w:t>0.398</w:t>
            </w:r>
          </w:p>
        </w:tc>
        <w:tc>
          <w:tcPr>
            <w:tcW w:w="1134" w:type="dxa"/>
            <w:tcBorders>
              <w:top w:val="nil"/>
              <w:left w:val="nil"/>
              <w:bottom w:val="nil"/>
              <w:right w:val="nil"/>
            </w:tcBorders>
            <w:shd w:val="clear" w:color="auto" w:fill="auto"/>
            <w:noWrap/>
            <w:vAlign w:val="bottom"/>
          </w:tcPr>
          <w:p w:rsidR="00B424E5" w:rsidRPr="00584FAA" w:rsidRDefault="00B424E5" w:rsidP="00A7496C">
            <w:pPr>
              <w:jc w:val="cente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1.28E-02</w:t>
            </w:r>
          </w:p>
        </w:tc>
        <w:tc>
          <w:tcPr>
            <w:tcW w:w="2126" w:type="dxa"/>
            <w:gridSpan w:val="2"/>
            <w:tcBorders>
              <w:top w:val="nil"/>
              <w:left w:val="nil"/>
              <w:bottom w:val="nil"/>
              <w:right w:val="nil"/>
            </w:tcBorders>
            <w:shd w:val="clear" w:color="auto" w:fill="auto"/>
            <w:noWrap/>
            <w:vAlign w:val="bottom"/>
          </w:tcPr>
          <w:p w:rsidR="00B424E5" w:rsidRDefault="00B424E5" w:rsidP="00B95824">
            <w:pPr>
              <w:jc w:val="center"/>
              <w:rPr>
                <w:rFonts w:ascii="Calibri" w:eastAsia="Times New Roman" w:hAnsi="Calibri"/>
                <w:color w:val="000000"/>
                <w:sz w:val="22"/>
                <w:szCs w:val="22"/>
                <w:lang w:val="en-IE" w:eastAsia="en-IE"/>
              </w:rPr>
            </w:pPr>
            <w:r>
              <w:rPr>
                <w:rFonts w:ascii="Calibri" w:eastAsia="Times New Roman" w:hAnsi="Calibri"/>
                <w:i/>
                <w:color w:val="000000"/>
                <w:sz w:val="22"/>
                <w:szCs w:val="22"/>
                <w:lang w:val="en-IE" w:eastAsia="en-IE"/>
              </w:rPr>
              <w:t>n= 21,240</w:t>
            </w:r>
          </w:p>
        </w:tc>
        <w:tc>
          <w:tcPr>
            <w:tcW w:w="1701" w:type="dxa"/>
            <w:gridSpan w:val="2"/>
            <w:tcBorders>
              <w:top w:val="nil"/>
              <w:left w:val="nil"/>
              <w:bottom w:val="nil"/>
              <w:right w:val="nil"/>
            </w:tcBorders>
            <w:shd w:val="clear" w:color="auto" w:fill="auto"/>
            <w:noWrap/>
            <w:vAlign w:val="bottom"/>
          </w:tcPr>
          <w:p w:rsidR="00B424E5" w:rsidRPr="00341287" w:rsidRDefault="00B95824" w:rsidP="00B95824">
            <w:pPr>
              <w:keepNext/>
              <w:keepLines/>
              <w:spacing w:before="200"/>
              <w:jc w:val="center"/>
              <w:outlineLvl w:val="4"/>
              <w:rPr>
                <w:rFonts w:ascii="Calibri" w:eastAsia="Times New Roman" w:hAnsi="Calibri"/>
                <w:color w:val="000000"/>
                <w:sz w:val="22"/>
                <w:szCs w:val="22"/>
                <w:vertAlign w:val="superscript"/>
                <w:lang w:val="en-IE" w:eastAsia="en-IE"/>
              </w:rPr>
            </w:pPr>
            <w:r>
              <w:rPr>
                <w:rFonts w:ascii="Calibri" w:eastAsia="Times New Roman" w:hAnsi="Calibri"/>
                <w:color w:val="000000"/>
                <w:sz w:val="22"/>
                <w:szCs w:val="22"/>
                <w:lang w:val="en-IE" w:eastAsia="en-IE"/>
              </w:rPr>
              <w:t>5</w:t>
            </w:r>
            <w:r w:rsidR="003E42F9">
              <w:rPr>
                <w:rFonts w:ascii="Calibri" w:eastAsia="Times New Roman" w:hAnsi="Calibri"/>
                <w:color w:val="000000"/>
                <w:sz w:val="22"/>
                <w:szCs w:val="22"/>
                <w:lang w:val="en-IE" w:eastAsia="en-IE"/>
              </w:rPr>
              <w:t>-cohorts</w:t>
            </w:r>
            <w:r w:rsidR="003E42F9">
              <w:rPr>
                <w:rFonts w:ascii="Calibri" w:eastAsia="Times New Roman" w:hAnsi="Calibri"/>
                <w:color w:val="000000"/>
                <w:sz w:val="22"/>
                <w:szCs w:val="22"/>
                <w:vertAlign w:val="superscript"/>
                <w:lang w:val="en-IE" w:eastAsia="en-IE"/>
              </w:rPr>
              <w:t>12</w:t>
            </w:r>
          </w:p>
        </w:tc>
      </w:tr>
      <w:tr w:rsidR="00B35124" w:rsidRPr="00584FAA" w:rsidTr="00A7496C">
        <w:trPr>
          <w:trHeight w:val="300"/>
        </w:trPr>
        <w:tc>
          <w:tcPr>
            <w:tcW w:w="10632" w:type="dxa"/>
            <w:gridSpan w:val="11"/>
            <w:tcBorders>
              <w:top w:val="nil"/>
              <w:left w:val="nil"/>
              <w:bottom w:val="nil"/>
              <w:right w:val="nil"/>
            </w:tcBorders>
            <w:shd w:val="clear" w:color="auto" w:fill="auto"/>
            <w:noWrap/>
            <w:vAlign w:val="bottom"/>
            <w:hideMark/>
          </w:tcPr>
          <w:p w:rsidR="00B35124" w:rsidRPr="00584FAA" w:rsidRDefault="00B35124" w:rsidP="00A7496C">
            <w:pP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 fingerOA definition : KL score &gt; 2 in minimal one DIP or PIP joint in both left and right hand</w:t>
            </w:r>
          </w:p>
        </w:tc>
      </w:tr>
      <w:tr w:rsidR="00B35124" w:rsidRPr="00584FAA" w:rsidTr="00A7496C">
        <w:trPr>
          <w:gridAfter w:val="2"/>
          <w:wAfter w:w="1275" w:type="dxa"/>
          <w:trHeight w:val="300"/>
        </w:trPr>
        <w:tc>
          <w:tcPr>
            <w:tcW w:w="9357" w:type="dxa"/>
            <w:gridSpan w:val="9"/>
            <w:tcBorders>
              <w:top w:val="nil"/>
              <w:left w:val="nil"/>
              <w:bottom w:val="nil"/>
              <w:right w:val="nil"/>
            </w:tcBorders>
            <w:shd w:val="clear" w:color="auto" w:fill="auto"/>
            <w:noWrap/>
            <w:vAlign w:val="bottom"/>
            <w:hideMark/>
          </w:tcPr>
          <w:p w:rsidR="00B35124" w:rsidRDefault="00B35124" w:rsidP="008207FD">
            <w:pP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 xml:space="preserve">*** </w:t>
            </w:r>
            <w:r w:rsidR="00DA32C0">
              <w:rPr>
                <w:rFonts w:ascii="Calibri" w:eastAsia="Times New Roman" w:hAnsi="Calibri"/>
                <w:color w:val="000000"/>
                <w:sz w:val="22"/>
                <w:szCs w:val="22"/>
                <w:lang w:val="en-IE" w:eastAsia="en-IE"/>
              </w:rPr>
              <w:t xml:space="preserve">Severe </w:t>
            </w:r>
            <w:r w:rsidRPr="00584FAA">
              <w:rPr>
                <w:rFonts w:ascii="Calibri" w:eastAsia="Times New Roman" w:hAnsi="Calibri"/>
                <w:color w:val="000000"/>
                <w:sz w:val="22"/>
                <w:szCs w:val="22"/>
                <w:lang w:val="en-IE" w:eastAsia="en-IE"/>
              </w:rPr>
              <w:t>handOA definition same as in Styrkarsdottir et al. (2014) Nature Genetics</w:t>
            </w:r>
            <w:r w:rsidR="008207FD">
              <w:rPr>
                <w:rFonts w:ascii="Calibri" w:eastAsia="Times New Roman" w:hAnsi="Calibri"/>
                <w:color w:val="000000"/>
                <w:sz w:val="22"/>
                <w:szCs w:val="22"/>
                <w:lang w:val="en-IE" w:eastAsia="en-IE"/>
              </w:rPr>
              <w:fldChar w:fldCharType="begin" w:fldLock="1"/>
            </w:r>
            <w:r w:rsidR="000E3A74">
              <w:rPr>
                <w:rFonts w:ascii="Calibri" w:eastAsia="Times New Roman" w:hAnsi="Calibri"/>
                <w:color w:val="000000"/>
                <w:sz w:val="22"/>
                <w:szCs w:val="22"/>
                <w:lang w:val="en-IE" w:eastAsia="en-IE"/>
              </w:rPr>
              <w:instrText>ADDIN CSL_CITATION { "citationItems" : [ { "id" : "ITEM-1", "itemData" : { "DOI" : "10.1038/ng.2957", "ISBN" : "1546-1718 (Electronic)\\r1061-4036 (Linking)", "ISSN" : "1546-1718", "PMID" : "24728293", "abstract" : "Osteoarthritis is the most common form of arthritis and is a major cause of pain and disability in the elderly. To search for sequence variants that confer risk of osteoarthritis of the hand, we carried out a genome-wide association study (GWAS) in subjects with severe hand osteoarthritis, using variants identified through the whole-genome sequencing of 2,230 Icelanders. We found two significantly associated loci in the Icelandic discovery set: at 15q22 (frequency of 50.7%, odds ratio (OR) = 1.51, P = 3.99 x 10(-10)) in the ALDH1A2 gene and at 1p31 (frequency of 0.02%, OR = 50.6, P = 9.8 x 10(-10)). Among the carriers of the variant at 1p31 is a family with several members in whom the risk allele segregates with osteoarthritis. The variants within the ALDH1A2 gene were confirmed in replication sets from The Netherlands and the UK, yielding an overall association of OR = 1.46 and P = 1.1 x 10(-11) (rs3204689).", "author" : [ { "dropping-particle" : "", "family" : "Styrkarsdottir", "given" : "U", "non-dropping-particle" : "", "parse-names" : false, "suffix" : "" }, { "dropping-particle" : "", "family" : "Thorleifsson", "given" : "G", "non-dropping-particle" : "", "parse-names" : false, "suffix" : "" }, { "dropping-particle" : "", "family" : "Helgadottir", "given" : "H T", "non-dropping-particle" : "", "parse-names" : false, "suffix" : "" }, { "dropping-particle" : "", "family" : "Bomer", "given" : "N", "non-dropping-particle" : "", "parse-names" : false, "suffix" : "" }, { "dropping-particle" : "", "family" : "Metrustry", "given" : "S", "non-dropping-particle" : "", "parse-names" : false, "suffix" : "" }, { "dropping-particle" : "", "family" : "Bierma-Zeinstra", "given" : "S", "non-dropping-particle" : "", "parse-names" : false, "suffix" : "" }, { "dropping-particle" : "", "family" : "Strijbosch", "given" : "a M", "non-dropping-particle" : "", "parse-names" : false, "suffix" : "" }, { "dropping-particle" : "", "family" : "Evangelou", "given" : "E", "non-dropping-particle" : "", "parse-names" : false, "suffix" : "" }, { "dropping-particle" : "", "family" : "Hart", "given" : "D", "non-dropping-particle" : "", "parse-names" : false, "suffix" : "" }, { "dropping-particle" : "", "family" : "Beekman", "given" : "M", "non-dropping-particle" : "", "parse-names" : false, "suffix" : "" }, { "dropping-particle" : "", "family" : "Jonasdottir", "given" : "a", "non-dropping-particle" : "", "parse-names" : false, "suffix" : "" }, { "dropping-particle" : "", "family" : "Sigurdsson", "given" : "a", "non-dropping-particle" : "", "parse-names" : false, "suffix" : "" }, { "dropping-particle" : "", "family" : "Eiriksson", "given" : "F F", "non-dropping-particle" : "", "parse-names" : false, "suffix" : "" }, { "dropping-particle" : "", "family" : "Thorsteinsdottir", "given" : "M", "non-dropping-particle" : "", "parse-names" : false, "suffix" : "" }, { "dropping-particle" : "", "family" : "Frigge", "given" : "M L", "non-dropping-particle" : "", "parse-names" : false, "suffix" : "" }, { "dropping-particle" : "", "family" : "Kong", "given" : "a", "non-dropping-particle" : "", "parse-names" : false, "suffix" : "" }, { "dropping-particle" : "", "family" : "Gudjonsson", "given" : "S a", "non-dropping-particle" : "", "parse-names" : false, "suffix" : "" }, { "dropping-particle" : "", "family" : "Magnusson", "given" : "O T", "non-dropping-particle" : "", "parse-names" : false, "suffix" : "" }, { "dropping-particle" : "", "family" : "Masson", "given" : "G", "non-dropping-particle" : "", "parse-names" : false, "suffix" : "" }, { "dropping-particle" : "", "family" : "Consortium", "given" : "Treat-Oa", "non-dropping-particle" : "", "parse-names" : false, "suffix" : "" }, { "dropping-particle" : "", "family" : "Arc", "given" : "Ogen Consortium", "non-dropping-particle" : "", "parse-names" : false, "suffix" : "" }, { "dropping-particle" : "", "family" : "Hofman", "given" : "a", "non-dropping-particle" : "", "parse-names" : false, "suffix" : "" }, { "dropping-particle" : "", "family" : "Arden", "given" : "N K", "non-dropping-particle" : "", "parse-names" : false, "suffix" : "" }, { "dropping-particle" : "", "family" : "Ingvarsson", "given" : "T", "non-dropping-particle" : "", "parse-names" : false, "suffix" : "" }, { "dropping-particle" : "", "family" : "Lohmander", "given" : "S", "non-dropping-particle" : "", "parse-names" : false, "suffix" : "" }, { "dropping-particle" : "", "family" : "Kloppenburg", "given" : "M", "non-dropping-particle" : "", "parse-names" : false, "suffix" : "" }, { "dropping-particle" : "", "family" : "Rivadeneira", "given" : "F", "non-dropping-particle" : "", "parse-names" : false, "suffix" : "" }, { "dropping-particle" : "", "family" : "Nelissen", "given" : "R G", "non-dropping-particle" : "", "parse-names" : false, "suffix" : "" }, { "dropping-particle" : "", "family" : "Spector", "given" : "T", "non-dropping-particle" : "", "parse-names" : false, "suffix" : "" }, { "dropping-particle" : "", "family" : "Uitterlinden", "given" : "a", "non-dropping-particle" : "", "parse-names" : false, "suffix" : "" }, { "dropping-particle" : "", "family" : "Slagboom", "given" : "P E", "non-dropping-particle" : "", "parse-names" : false, "suffix" : "" }, { "dropping-particle" : "", "family" : "Thorsteinsdottir", "given" : "U", "non-dropping-particle" : "", "parse-names" : false, "suffix" : "" }, { "dropping-particle" : "", "family" : "Jonsdottir", "given" : "I", "non-dropping-particle" : "", "parse-names" : false, "suffix" : "" }, { "dropping-particle" : "", "family" : "Valdes", "given" : "a M", "non-dropping-particle" : "", "parse-names" : false, "suffix" : "" }, { "dropping-particle" : "", "family" : "Meulenbelt", "given" : "I", "non-dropping-particle" : "", "parse-names" : false, "suffix" : "" }, { "dropping-particle" : "", "family" : "Meurs", "given" : "J", "non-dropping-particle" : "van", "parse-names" : false, "suffix" : "" }, { "dropping-particle" : "", "family" : "Jonsson", "given" : "H", "non-dropping-particle" : "", "parse-names" : false, "suffix" : "" }, { "dropping-particle" : "", "family" : "Stefansson", "given" : "K", "non-dropping-particle" : "", "parse-names" : false, "suffix" : "" } ], "container-title" : "Nat Genet", "id" : "ITEM-1", "issue" : "5", "issued" : { "date-parts" : [ [ "2014" ] ] }, "page" : "498-502", "publisher" : "Nature Publishing Group", "title" : "Severe osteoarthritis of the hand associates with common variants within the ALDH1A2 gene and with rare variants at 1p31", "type" : "article-journal", "volume" : "46" }, "uris" : [ "http://www.mendeley.com/documents/?uuid=636bd5c6-2e5e-403c-8736-319fa32c1173" ] } ], "mendeley" : { "formattedCitation" : "&lt;sup&gt;11&lt;/sup&gt;", "plainTextFormattedCitation" : "11", "previouslyFormattedCitation" : "&lt;sup&gt;11&lt;/sup&gt;" }, "properties" : { "noteIndex" : 0 }, "schema" : "https://github.com/citation-style-language/schema/raw/master/csl-citation.json" }</w:instrText>
            </w:r>
            <w:r w:rsidR="008207FD">
              <w:rPr>
                <w:rFonts w:ascii="Calibri" w:eastAsia="Times New Roman" w:hAnsi="Calibri"/>
                <w:color w:val="000000"/>
                <w:sz w:val="22"/>
                <w:szCs w:val="22"/>
                <w:lang w:val="en-IE" w:eastAsia="en-IE"/>
              </w:rPr>
              <w:fldChar w:fldCharType="separate"/>
            </w:r>
            <w:r w:rsidR="008207FD" w:rsidRPr="008207FD">
              <w:rPr>
                <w:rFonts w:ascii="Calibri" w:eastAsia="Times New Roman" w:hAnsi="Calibri"/>
                <w:noProof/>
                <w:color w:val="000000"/>
                <w:sz w:val="22"/>
                <w:szCs w:val="22"/>
                <w:vertAlign w:val="superscript"/>
                <w:lang w:val="en-IE" w:eastAsia="en-IE"/>
              </w:rPr>
              <w:t>11</w:t>
            </w:r>
            <w:r w:rsidR="008207FD">
              <w:rPr>
                <w:rFonts w:ascii="Calibri" w:eastAsia="Times New Roman" w:hAnsi="Calibri"/>
                <w:color w:val="000000"/>
                <w:sz w:val="22"/>
                <w:szCs w:val="22"/>
                <w:lang w:val="en-IE" w:eastAsia="en-IE"/>
              </w:rPr>
              <w:fldChar w:fldCharType="end"/>
            </w:r>
            <w:r w:rsidR="008207FD">
              <w:rPr>
                <w:rFonts w:ascii="Calibri" w:eastAsia="Times New Roman" w:hAnsi="Calibri"/>
                <w:color w:val="000000"/>
                <w:sz w:val="22"/>
                <w:szCs w:val="22"/>
                <w:lang w:val="en-IE" w:eastAsia="en-IE"/>
              </w:rPr>
              <w:t>.</w:t>
            </w:r>
          </w:p>
          <w:p w:rsidR="000E3A74" w:rsidRDefault="000E3A74" w:rsidP="000E3A74">
            <w:pPr>
              <w:rPr>
                <w:rFonts w:ascii="Calibri" w:eastAsia="Times New Roman" w:hAnsi="Calibri"/>
                <w:color w:val="000000"/>
                <w:sz w:val="22"/>
                <w:szCs w:val="22"/>
                <w:lang w:val="en-IE" w:eastAsia="en-IE"/>
              </w:rPr>
            </w:pPr>
            <w:r>
              <w:rPr>
                <w:rFonts w:ascii="Calibri" w:eastAsia="Times New Roman" w:hAnsi="Calibri"/>
                <w:color w:val="000000"/>
                <w:sz w:val="22"/>
                <w:szCs w:val="22"/>
                <w:lang w:val="en-IE" w:eastAsia="en-IE"/>
              </w:rPr>
              <w:t>⁺ Minimal Joint Space Width(mJSW), no OR, but Beta Value, quantitative phenotype</w:t>
            </w:r>
            <w:r>
              <w:rPr>
                <w:rFonts w:ascii="Calibri" w:eastAsia="Times New Roman" w:hAnsi="Calibri"/>
                <w:color w:val="000000"/>
                <w:sz w:val="22"/>
                <w:szCs w:val="22"/>
                <w:lang w:val="en-IE" w:eastAsia="en-IE"/>
              </w:rPr>
              <w:fldChar w:fldCharType="begin" w:fldLock="1"/>
            </w:r>
            <w:r>
              <w:rPr>
                <w:rFonts w:ascii="Calibri" w:eastAsia="Times New Roman" w:hAnsi="Calibri"/>
                <w:color w:val="000000"/>
                <w:sz w:val="22"/>
                <w:szCs w:val="22"/>
                <w:lang w:val="en-IE" w:eastAsia="en-IE"/>
              </w:rPr>
              <w:instrText>ADDIN CSL_CITATION { "citationItems" : [ { "id" : "ITEM-1", "itemData" : { "DOI" : "10.1371/journal.pgen.1006260", "ISSN" : "1553-7404", "author" : [ { "dropping-particle" : "", "family" : "Casta\u00f1o-Betancourt", "given" : "Martha C.", "non-dropping-particle" : "", "parse-names" : false, "suffix" : "" }, { "dropping-particle" : "", "family" : "Evans", "given" : "Dan S.", "non-dropping-particle" : "", "parse-names" : false, "suffix" : "" }, { "dropping-particle" : "", "family" : "Ramos", "given" : "Yolande F. M.", "non-dropping-particle" : "", "parse-names" : false, "suffix" : "" }, { "dropping-particle" : "", "family" : "Boer", "given" : "Cindy G.", "non-dropping-particle" : "", "parse-names" : false, "suffix" : "" }, { "dropping-particle" : "", "family" : "Metrustry", "given" : "Sarah", "non-dropping-particle" : "", "parse-names" : false, "suffix" : "" }, { "dropping-particle" : "", "family" : "Liu", "given" : "Youfang", "non-dropping-particle" : "", "parse-names" : false, "suffix" : "" }, { "dropping-particle" : "", "family" : "Hollander", "given" : "Wouter", "non-dropping-particle" : "den", "parse-names" : false, "suffix" : "" }, { "dropping-particle" : "", "family" : "Rooij", "given" : "Jeroen", "non-dropping-particle" : "van", "parse-names" : false, "suffix" : "" }, { "dropping-particle" : "", "family" : "Kraus", "given" : "Virginia B.", "non-dropping-particle" : "", "parse-names" : false, "suffix" : "" }, { "dropping-particle" : "", "family" : "Yau", "given" : "Michelle S.", "non-dropping-particle" : "", "parse-names" : false, "suffix" : "" }, { "dropping-particle" : "", "family" : "Mitchell", "given" : "Braxton D.", "non-dropping-particle" : "", "parse-names" : false, "suffix" : "" }, { "dropping-particle" : "", "family" : "Muir", "given" : "Kenneth", "non-dropping-particle" : "", "parse-names" : false, "suffix" : "" }, { "dropping-particle" : "", "family" : "Hofman", "given" : "Albert", "non-dropping-particle" : "", "parse-names" : false, "suffix" : "" }, { "dropping-particle" : "", "family" : "Doherty", "given" : "Michael", "non-dropping-particle" : "", "parse-names" : false, "suffix" : "" }, { "dropping-particle" : "", "family" : "Doherty", "given" : "Sally", "non-dropping-particle" : "", "parse-names" : false, "suffix" : "" }, { "dropping-particle" : "", "family" : "Zhang", "given" : "Weiya", "non-dropping-particle" : "", "parse-names" : false, "suffix" : "" }, { "dropping-particle" : "", "family" : "Kraaij", "given" : "Robert", "non-dropping-particle" : "", "parse-names" : false, "suffix" : "" }, { "dropping-particle" : "", "family" : "Rivadeneira", "given" : "Fernando", "non-dropping-particle" : "", "parse-names" : false, "suffix" : "" }, { "dropping-particle" : "", "family" : "Barrett-Connor", "given" : "Elizabeth", "non-dropping-particle" : "", "parse-names" : false, "suffix" : "" }, { "dropping-particle" : "", "family" : "Maciewicz", "given" : "Rose A.", "non-dropping-particle" : "", "parse-names" : false, "suffix" : "" }, { "dropping-particle" : "", "family" : "Arden", "given" : "Nigel", "non-dropping-particle" : "", "parse-names" : false, "suffix" : "" }, { "dropping-particle" : "", "family" : "Nelissen", "given" : "Rob G. H. H.", "non-dropping-particle" : "", "parse-names" : false, "suffix" : "" }, { "dropping-particle" : "", "family" : "Kloppenburg", "given" : "Margreet", "non-dropping-particle" : "", "parse-names" : false, "suffix" : "" }, { "dropping-particle" : "", "family" : "Jordan", "given" : "Joanne M.", "non-dropping-particle" : "", "parse-names" : false, "suffix" : "" }, { "dropping-particle" : "", "family" : "Nevitt", "given" : "Michael C.", "non-dropping-particle" : "", "parse-names" : false, "suffix" : "" }, { "dropping-particle" : "", "family" : "Slagboom", "given" : "Eline P.", "non-dropping-particle" : "", "parse-names" : false, "suffix" : "" }, { "dropping-particle" : "", "family" : "Hart", "given" : "Deborah J.", "non-dropping-particle" : "", "parse-names" : false, "suffix" : "" }, { "dropping-particle" : "", "family" : "Lafeber", "given" : "Floris", "non-dropping-particle" : "", "parse-names" : false, "suffix" : "" }, { "dropping-particle" : "", "family" : "Styrkarsdottir", "given" : "Unnur", "non-dropping-particle" : "", "parse-names" : false, "suffix" : "" }, { "dropping-particle" : "", "family" : "Zeggini", "given" : "Eleftheria", "non-dropping-particle" : "", "parse-names" : false, "suffix" : "" }, { "dropping-particle" : "", "family" : "Evangelou", "given" : "Evangelos", "non-dropping-particle" : "", "parse-names" : false, "suffix" : "" }, { "dropping-particle" : "", "family" : "Spector", "given" : "Tim D.", "non-dropping-particle" : "", "parse-names" : false, "suffix" : "" }, { "dropping-particle" : "", "family" : "Uitterlinden", "given" : "Andre G.", "non-dropping-particle" : "", "parse-names" : false, "suffix" : "" }, { "dropping-particle" : "", "family" : "Lane", "given" : "Nancy E.", "non-dropping-particle" : "", "parse-names" : false, "suffix" : "" }, { "dropping-particle" : "", "family" : "Meulenbelt", "given" : "Ingrid", "non-dropping-particle" : "", "parse-names" : false, "suffix" : "" }, { "dropping-particle" : "", "family" : "Valdes", "given" : "Ana M.", "non-dropping-particle" : "", "parse-names" : false, "suffix" : "" }, { "dropping-particle" : "", "family" : "Meurs", "given" : "Joyce B. J.", "non-dropping-particle" : "van", "parse-names" : false, "suffix" : "" } ], "container-title" : "PLOS Genetics", "editor" : [ { "dropping-particle" : "", "family" : "Barsh", "given" : "Gregory S.", "non-dropping-particle" : "", "parse-names" : false, "suffix" : "" } ], "id" : "ITEM-1", "issue" : "10", "issued" : { "date-parts" : [ [ "2016", "10", "4" ] ] }, "page" : "e1006260", "title" : "Novel Genetic Variants for Cartilage Thickness and Hip Osteoarthritis", "type" : "article-journal", "volume" : "12" }, "uris" : [ "http://www.mendeley.com/documents/?uuid=d95dfa32-12e2-385d-870b-abe235c22362" ] } ], "mendeley" : { "formattedCitation" : "&lt;sup&gt;12&lt;/sup&gt;", "plainTextFormattedCitation" : "12", "previouslyFormattedCitation" : "&lt;sup&gt;12&lt;/sup&gt;" }, "properties" : { "noteIndex" : 0 }, "schema" : "https://github.com/citation-style-language/schema/raw/master/csl-citation.json" }</w:instrText>
            </w:r>
            <w:r>
              <w:rPr>
                <w:rFonts w:ascii="Calibri" w:eastAsia="Times New Roman" w:hAnsi="Calibri"/>
                <w:color w:val="000000"/>
                <w:sz w:val="22"/>
                <w:szCs w:val="22"/>
                <w:lang w:val="en-IE" w:eastAsia="en-IE"/>
              </w:rPr>
              <w:fldChar w:fldCharType="separate"/>
            </w:r>
            <w:r w:rsidRPr="000E3A74">
              <w:rPr>
                <w:rFonts w:ascii="Calibri" w:eastAsia="Times New Roman" w:hAnsi="Calibri"/>
                <w:noProof/>
                <w:color w:val="000000"/>
                <w:sz w:val="22"/>
                <w:szCs w:val="22"/>
                <w:vertAlign w:val="superscript"/>
                <w:lang w:val="en-IE" w:eastAsia="en-IE"/>
              </w:rPr>
              <w:t>12</w:t>
            </w:r>
            <w:r>
              <w:rPr>
                <w:rFonts w:ascii="Calibri" w:eastAsia="Times New Roman" w:hAnsi="Calibri"/>
                <w:color w:val="000000"/>
                <w:sz w:val="22"/>
                <w:szCs w:val="22"/>
                <w:lang w:val="en-IE" w:eastAsia="en-IE"/>
              </w:rPr>
              <w:fldChar w:fldCharType="end"/>
            </w:r>
          </w:p>
          <w:p w:rsidR="000E3A74" w:rsidRDefault="000E3A74" w:rsidP="000E3A74">
            <w:pPr>
              <w:rPr>
                <w:rFonts w:ascii="Calibri" w:eastAsia="Times New Roman" w:hAnsi="Calibri"/>
                <w:color w:val="000000"/>
                <w:sz w:val="22"/>
                <w:szCs w:val="22"/>
                <w:lang w:val="en-IE" w:eastAsia="en-IE"/>
              </w:rPr>
            </w:pPr>
            <w:r w:rsidRPr="00584FAA">
              <w:rPr>
                <w:rFonts w:ascii="Calibri" w:eastAsia="Times New Roman" w:hAnsi="Calibri"/>
                <w:color w:val="000000"/>
                <w:sz w:val="22"/>
                <w:szCs w:val="22"/>
                <w:lang w:val="en-IE" w:eastAsia="en-IE"/>
              </w:rPr>
              <w:t xml:space="preserve">‡ </w:t>
            </w:r>
            <w:r>
              <w:rPr>
                <w:rFonts w:ascii="Calibri" w:eastAsia="Times New Roman" w:hAnsi="Calibri"/>
                <w:color w:val="000000"/>
                <w:sz w:val="22"/>
                <w:szCs w:val="22"/>
                <w:lang w:val="en-IE" w:eastAsia="en-IE"/>
              </w:rPr>
              <w:t>Treat-OA consortium</w:t>
            </w:r>
            <w:r w:rsidR="00B424E5">
              <w:rPr>
                <w:rFonts w:ascii="Calibri" w:eastAsia="Times New Roman" w:hAnsi="Calibri"/>
                <w:color w:val="000000"/>
                <w:sz w:val="22"/>
                <w:szCs w:val="22"/>
                <w:lang w:val="en-IE" w:eastAsia="en-IE"/>
              </w:rPr>
              <w:fldChar w:fldCharType="begin" w:fldLock="1"/>
            </w:r>
            <w:r w:rsidR="000E4A75">
              <w:rPr>
                <w:rFonts w:ascii="Calibri" w:eastAsia="Times New Roman" w:hAnsi="Calibri"/>
                <w:color w:val="000000"/>
                <w:sz w:val="22"/>
                <w:szCs w:val="22"/>
                <w:lang w:val="en-IE" w:eastAsia="en-IE"/>
              </w:rPr>
              <w:instrText>ADDIN CSL_CITATION { "citationItems" : [ { "id" : "ITEM-1", "itemData" : { "DOI" : "10.1016/j.joca.2010.12.003", "ISSN" : "1522-9653", "PMID" : "21146623", "abstract" : "OBJECTIVE To clarify the role of common genetic variation in the Interleukin-1\u03b2 (IL1B) and Interleukin-1R antagonist (IL1RN) genes on risk of knee and hip osteoarthritis (OA) and severity of knee OA by means of large-scale meta-analyses. METHODS We searched PubMed for articles assessing the role of IL1B and IL1RN polymorphisms/haplotypes on the risk of hip and/or knee OA. Novel data were included from eight unpublished studies. Meta-analyses were performed using fixed- and random-effects models with a total of 3595 hip OA and 5013 knee OA cases, and 6559 and 9132 controls respectively. The role of ILRN haplotypes on radiographic severity of knee OA was tested in 1918 cases with Kellgren-Lawrence (K/L) 1 or 2 compared to 199 cases with K/L 3 or 4. RESULTS The meta-analysis of six published studies retrieved from the literature search and eight unpublished studies showed no evidence of association between common genetic variation in the IL1B or IL1RN genes and risk of hip OA or knee OA (P&gt;0.05 for rs16944, rs1143634, rs419598 and haplotype C-G-C (rs1143634, rs16944 and rs419598) previously implicated in risk of hip OA). The C-T-A haplotype formed by rs419598, rs315952 and rs9005, previously implicated in radiographic severity of knee OA, was associated with reduced severity of knee OA (odds ratio (OR)=0.71 95%CI 0.56-0.91; P=0.006, I(2)=74%), and achieved borderline statistical significance in a random-effects model (OR=0.61 95%CI 0.35-1.06 P=0.08). CONCLUSION Common genetic variation in the Interleukin-1 region is not associated with prevalence of hip or knee OA but our data suggest that IL1RN might have a role in severity of knee OA.", "author" : [ { "dropping-particle" : "", "family" : "Kerkhof", "given" : "H J M", "non-dropping-particle" : "", "parse-names" : false, "suffix" : "" }, { "dropping-particle" : "", "family" : "Doherty", "given" : "M", "non-dropping-particle" : "", "parse-names" : false, "suffix" : "" }, { "dropping-particle" : "", "family" : "Arden", "given" : "N K", "non-dropping-particle" : "", "parse-names" : false, "suffix" : "" }, { "dropping-particle" : "", "family" : "Abramson", "given" : "S B", "non-dropping-particle" : "", "parse-names" : false, "suffix" : "" }, { "dropping-particle" : "", "family" : "Attur", "given" : "M", "non-dropping-particle" : "", "parse-names" : false, "suffix" : "" }, { "dropping-particle" : "", "family" : "Bos", "given" : "S D", "non-dropping-particle" : "", "parse-names" : false, "suffix" : "" }, { "dropping-particle" : "", "family" : "Cooper", "given" : "C", "non-dropping-particle" : "", "parse-names" : false, "suffix" : "" }, { "dropping-particle" : "", "family" : "Dennison", "given" : "E M", "non-dropping-particle" : "", "parse-names" : false, "suffix" : "" }, { "dropping-particle" : "", "family" : "Doherty", "given" : "S A", "non-dropping-particle" : "", "parse-names" : false, "suffix" : "" }, { "dropping-particle" : "", "family" : "Evangelou", "given" : "E", "non-dropping-particle" : "", "parse-names" : false, "suffix" : "" }, { "dropping-particle" : "", "family" : "Hart", "given" : "D J", "non-dropping-particle" : "", "parse-names" : false, "suffix" : "" }, { "dropping-particle" : "", "family" : "Hofman", "given" : "A", "non-dropping-particle" : "", "parse-names" : false, "suffix" : "" }, { "dropping-particle" : "", "family" : "Javaid", "given" : "K", "non-dropping-particle" : "", "parse-names" : false, "suffix" : "" }, { "dropping-particle" : "", "family" : "Kerna", "given" : "I", "non-dropping-particle" : "", "parse-names" : false, "suffix" : "" }, { "dropping-particle" : "", "family" : "Kisand", "given" : "K", "non-dropping-particle" : "", "parse-names" : false, "suffix" : "" }, { "dropping-particle" : "", "family" : "Kloppenburg", "given" : "M", "non-dropping-particle" : "", "parse-names" : false, "suffix" : "" }, { "dropping-particle" : "", "family" : "Krasnokutsky", "given" : "S", "non-dropping-particle" : "", "parse-names" : false, "suffix" : "" }, { "dropping-particle" : "", "family" : "Maciewicz", "given" : "R A", "non-dropping-particle" : "", "parse-names" : false, "suffix" : "" }, { "dropping-particle" : "", "family" : "Meulenbelt", "given" : "I", "non-dropping-particle" : "", "parse-names" : false, "suffix" : "" }, { "dropping-particle" : "", "family" : "Muir", "given" : "K R", "non-dropping-particle" : "", "parse-names" : false, "suffix" : "" }, { "dropping-particle" : "", "family" : "Rivadeneira", "given" : "F", "non-dropping-particle" : "", "parse-names" : false, "suffix" : "" }, { "dropping-particle" : "", "family" : "Samuels", "given" : "J", "non-dropping-particle" : "", "parse-names" : false, "suffix" : "" }, { "dropping-particle" : "", "family" : "Sezgin", "given" : "M", "non-dropping-particle" : "", "parse-names" : false, "suffix" : "" }, { "dropping-particle" : "", "family" : "Slagboom", "given" : "E", "non-dropping-particle" : "", "parse-names" : false, "suffix" : "" }, { "dropping-particle" : "", "family" : "Smith", "given" : "A J P", "non-dropping-particle" : "", "parse-names" : false, "suffix" : "" }, { "dropping-particle" : "", "family" : "Spector", "given" : "T D", "non-dropping-particle" : "", "parse-names" : false, "suffix" : "" }, { "dropping-particle" : "", "family" : "Tamm", "given" : "A", "non-dropping-particle" : "", "parse-names" : false, "suffix" : "" }, { "dropping-particle" : "", "family" : "Tamm", "given" : "A", "non-dropping-particle" : "", "parse-names" : false, "suffix" : "" }, { "dropping-particle" : "", "family" : "Uitterlinden", "given" : "A G", "non-dropping-particle" : "", "parse-names" : false, "suffix" : "" }, { "dropping-particle" : "", "family" : "Wheeler", "given" : "M", "non-dropping-particle" : "", "parse-names" : false, "suffix" : "" }, { "dropping-particle" : "", "family" : "Zhai", "given" : "G", "non-dropping-particle" : "", "parse-names" : false, "suffix" : "" }, { "dropping-particle" : "", "family" : "Zhang", "given" : "W", "non-dropping-particle" : "", "parse-names" : false, "suffix" : "" }, { "dropping-particle" : "", "family" : "Meurs", "given" : "J B J", "non-dropping-particle" : "van", "parse-names" : false, "suffix" : "" }, { "dropping-particle" : "", "family" : "Valdes", "given" : "A M", "non-dropping-particle" : "", "parse-names" : false, "suffix" : "" } ], "container-title" : "Osteoarthritis and cartilage", "id" : "ITEM-1", "issue" : "3", "issued" : { "date-parts" : [ [ "2011", "3" ] ] }, "page" : "265-71", "title" : "Large-scale meta-analysis of interleukin-1 beta and interleukin-1 receptor antagonist polymorphisms on risk of radiographic hip and knee osteoarthritis and severity of knee osteoarthritis.", "type" : "article-journal", "volume" : "19" }, "uris" : [ "http://www.mendeley.com/documents/?uuid=04909d26-ae30-3bf4-abe3-aebc11383ebf" ] } ], "mendeley" : { "formattedCitation" : "&lt;sup&gt;13&lt;/sup&gt;", "plainTextFormattedCitation" : "13", "previouslyFormattedCitation" : "&lt;sup&gt;13&lt;/sup&gt;" }, "properties" : { "noteIndex" : 0 }, "schema" : "https://github.com/citation-style-language/schema/raw/master/csl-citation.json" }</w:instrText>
            </w:r>
            <w:r w:rsidR="00B424E5">
              <w:rPr>
                <w:rFonts w:ascii="Calibri" w:eastAsia="Times New Roman" w:hAnsi="Calibri"/>
                <w:color w:val="000000"/>
                <w:sz w:val="22"/>
                <w:szCs w:val="22"/>
                <w:lang w:val="en-IE" w:eastAsia="en-IE"/>
              </w:rPr>
              <w:fldChar w:fldCharType="separate"/>
            </w:r>
            <w:r w:rsidR="00B424E5" w:rsidRPr="00B424E5">
              <w:rPr>
                <w:rFonts w:ascii="Calibri" w:eastAsia="Times New Roman" w:hAnsi="Calibri"/>
                <w:noProof/>
                <w:color w:val="000000"/>
                <w:sz w:val="22"/>
                <w:szCs w:val="22"/>
                <w:vertAlign w:val="superscript"/>
                <w:lang w:val="en-IE" w:eastAsia="en-IE"/>
              </w:rPr>
              <w:t>13</w:t>
            </w:r>
            <w:r w:rsidR="00B424E5">
              <w:rPr>
                <w:rFonts w:ascii="Calibri" w:eastAsia="Times New Roman" w:hAnsi="Calibri"/>
                <w:color w:val="000000"/>
                <w:sz w:val="22"/>
                <w:szCs w:val="22"/>
                <w:lang w:val="en-IE" w:eastAsia="en-IE"/>
              </w:rPr>
              <w:fldChar w:fldCharType="end"/>
            </w:r>
          </w:p>
          <w:p w:rsidR="000E3A74" w:rsidRPr="00584FAA" w:rsidRDefault="000E3A74" w:rsidP="000E3A74">
            <w:pPr>
              <w:rPr>
                <w:rFonts w:ascii="Calibri" w:eastAsia="Times New Roman" w:hAnsi="Calibri"/>
                <w:color w:val="000000"/>
                <w:sz w:val="22"/>
                <w:szCs w:val="22"/>
                <w:lang w:val="en-IE" w:eastAsia="en-IE"/>
              </w:rPr>
            </w:pPr>
          </w:p>
        </w:tc>
      </w:tr>
    </w:tbl>
    <w:p w:rsidR="00FB703A" w:rsidRPr="00FB703A" w:rsidRDefault="00FB703A">
      <w:pPr>
        <w:spacing w:after="200" w:line="276" w:lineRule="auto"/>
        <w:rPr>
          <w:rFonts w:asciiTheme="minorHAnsi" w:hAnsiTheme="minorHAnsi"/>
          <w:b/>
          <w:sz w:val="16"/>
          <w:szCs w:val="16"/>
        </w:rPr>
        <w:sectPr w:rsidR="00FB703A" w:rsidRPr="00FB703A">
          <w:pgSz w:w="12240" w:h="15840"/>
          <w:pgMar w:top="1440" w:right="1440" w:bottom="1440" w:left="1440" w:header="708" w:footer="708" w:gutter="0"/>
          <w:cols w:space="708"/>
          <w:docGrid w:linePitch="360"/>
        </w:sectPr>
      </w:pPr>
    </w:p>
    <w:tbl>
      <w:tblPr>
        <w:tblW w:w="13194" w:type="dxa"/>
        <w:tblInd w:w="93" w:type="dxa"/>
        <w:tblLook w:val="04A0" w:firstRow="1" w:lastRow="0" w:firstColumn="1" w:lastColumn="0" w:noHBand="0" w:noVBand="1"/>
      </w:tblPr>
      <w:tblGrid>
        <w:gridCol w:w="1275"/>
        <w:gridCol w:w="804"/>
        <w:gridCol w:w="788"/>
        <w:gridCol w:w="689"/>
        <w:gridCol w:w="779"/>
        <w:gridCol w:w="919"/>
        <w:gridCol w:w="1064"/>
        <w:gridCol w:w="846"/>
        <w:gridCol w:w="730"/>
        <w:gridCol w:w="954"/>
        <w:gridCol w:w="1065"/>
        <w:gridCol w:w="768"/>
        <w:gridCol w:w="994"/>
        <w:gridCol w:w="702"/>
        <w:gridCol w:w="885"/>
      </w:tblGrid>
      <w:tr w:rsidR="00FB703A" w:rsidRPr="00FB703A" w:rsidTr="00341287">
        <w:trPr>
          <w:trHeight w:val="315"/>
        </w:trPr>
        <w:tc>
          <w:tcPr>
            <w:tcW w:w="9869" w:type="dxa"/>
            <w:gridSpan w:val="11"/>
            <w:tcBorders>
              <w:top w:val="nil"/>
              <w:left w:val="nil"/>
              <w:right w:val="nil"/>
            </w:tcBorders>
            <w:shd w:val="clear" w:color="auto" w:fill="auto"/>
            <w:noWrap/>
            <w:vAlign w:val="bottom"/>
            <w:hideMark/>
          </w:tcPr>
          <w:p w:rsidR="00FB703A" w:rsidRPr="00FB703A" w:rsidRDefault="00FB703A" w:rsidP="00FB703A">
            <w:pPr>
              <w:rPr>
                <w:rFonts w:ascii="Calibri" w:eastAsia="Times New Roman" w:hAnsi="Calibri"/>
                <w:b/>
                <w:bCs/>
                <w:color w:val="000000"/>
                <w:sz w:val="20"/>
                <w:szCs w:val="20"/>
              </w:rPr>
            </w:pPr>
            <w:r w:rsidRPr="00FB703A">
              <w:rPr>
                <w:rFonts w:ascii="Calibri" w:eastAsia="Times New Roman" w:hAnsi="Calibri"/>
                <w:b/>
                <w:bCs/>
                <w:color w:val="000000"/>
                <w:sz w:val="20"/>
                <w:szCs w:val="20"/>
              </w:rPr>
              <w:lastRenderedPageBreak/>
              <w:t>Supplementary Table S</w:t>
            </w:r>
            <w:r w:rsidR="000E3A74">
              <w:rPr>
                <w:rFonts w:ascii="Calibri" w:eastAsia="Times New Roman" w:hAnsi="Calibri"/>
                <w:b/>
                <w:bCs/>
                <w:color w:val="000000"/>
                <w:sz w:val="20"/>
                <w:szCs w:val="20"/>
              </w:rPr>
              <w:t>5</w:t>
            </w:r>
            <w:r w:rsidRPr="00FB703A">
              <w:rPr>
                <w:rFonts w:ascii="Calibri" w:eastAsia="Times New Roman" w:hAnsi="Calibri"/>
                <w:b/>
                <w:bCs/>
                <w:color w:val="000000"/>
                <w:sz w:val="20"/>
                <w:szCs w:val="20"/>
              </w:rPr>
              <w:t xml:space="preserve">. </w:t>
            </w:r>
            <w:r w:rsidRPr="00FB703A">
              <w:rPr>
                <w:rFonts w:ascii="Calibri" w:eastAsia="Times New Roman" w:hAnsi="Calibri"/>
                <w:color w:val="000000"/>
                <w:sz w:val="20"/>
                <w:szCs w:val="20"/>
              </w:rPr>
              <w:t xml:space="preserve">Variants in the ALDH1A2 gene and their association with the </w:t>
            </w:r>
            <w:proofErr w:type="spellStart"/>
            <w:r w:rsidRPr="00FB703A">
              <w:rPr>
                <w:rFonts w:ascii="Calibri" w:eastAsia="Times New Roman" w:hAnsi="Calibri"/>
                <w:color w:val="000000"/>
                <w:sz w:val="20"/>
                <w:szCs w:val="20"/>
              </w:rPr>
              <w:t>Klsum</w:t>
            </w:r>
            <w:proofErr w:type="spellEnd"/>
            <w:r w:rsidRPr="00FB703A">
              <w:rPr>
                <w:rFonts w:ascii="Calibri" w:eastAsia="Times New Roman" w:hAnsi="Calibri"/>
                <w:color w:val="000000"/>
                <w:sz w:val="20"/>
                <w:szCs w:val="20"/>
              </w:rPr>
              <w:t>-score measure</w:t>
            </w:r>
            <w:r w:rsidR="00203B25">
              <w:rPr>
                <w:rFonts w:ascii="Calibri" w:eastAsia="Times New Roman" w:hAnsi="Calibri"/>
                <w:color w:val="000000"/>
                <w:sz w:val="20"/>
                <w:szCs w:val="20"/>
              </w:rPr>
              <w:t xml:space="preserve"> in meta-analysis of discovery cohorts (RS-I, RS-II and RS-III)</w:t>
            </w:r>
            <w:r w:rsidRPr="00FB703A">
              <w:rPr>
                <w:rFonts w:ascii="Calibri" w:eastAsia="Times New Roman" w:hAnsi="Calibri"/>
                <w:color w:val="000000"/>
                <w:sz w:val="20"/>
                <w:szCs w:val="20"/>
              </w:rPr>
              <w:t>.</w:t>
            </w:r>
          </w:p>
        </w:tc>
        <w:tc>
          <w:tcPr>
            <w:tcW w:w="762" w:type="dxa"/>
            <w:tcBorders>
              <w:top w:val="nil"/>
              <w:left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p>
        </w:tc>
        <w:tc>
          <w:tcPr>
            <w:tcW w:w="994" w:type="dxa"/>
            <w:tcBorders>
              <w:top w:val="nil"/>
              <w:left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p>
        </w:tc>
        <w:tc>
          <w:tcPr>
            <w:tcW w:w="692" w:type="dxa"/>
            <w:tcBorders>
              <w:top w:val="nil"/>
              <w:left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p>
        </w:tc>
        <w:tc>
          <w:tcPr>
            <w:tcW w:w="877" w:type="dxa"/>
            <w:tcBorders>
              <w:top w:val="nil"/>
              <w:left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p>
        </w:tc>
      </w:tr>
      <w:tr w:rsidR="00FB703A" w:rsidRPr="00FB703A" w:rsidTr="00341287">
        <w:trPr>
          <w:trHeight w:val="315"/>
        </w:trPr>
        <w:tc>
          <w:tcPr>
            <w:tcW w:w="1275" w:type="dxa"/>
            <w:tcBorders>
              <w:top w:val="nil"/>
              <w:left w:val="nil"/>
              <w:bottom w:val="single" w:sz="4" w:space="0" w:color="auto"/>
              <w:right w:val="nil"/>
            </w:tcBorders>
            <w:shd w:val="clear" w:color="auto" w:fill="auto"/>
            <w:noWrap/>
            <w:vAlign w:val="bottom"/>
            <w:hideMark/>
          </w:tcPr>
          <w:p w:rsidR="00FB703A" w:rsidRPr="00341287" w:rsidRDefault="00203B25" w:rsidP="00FB703A">
            <w:pPr>
              <w:keepNext/>
              <w:keepLines/>
              <w:spacing w:before="200"/>
              <w:outlineLvl w:val="4"/>
              <w:rPr>
                <w:rFonts w:ascii="Calibri" w:eastAsia="Times New Roman" w:hAnsi="Calibri"/>
                <w:b/>
                <w:color w:val="000000"/>
                <w:sz w:val="20"/>
                <w:szCs w:val="20"/>
              </w:rPr>
            </w:pPr>
            <w:r w:rsidRPr="00341287">
              <w:rPr>
                <w:rFonts w:ascii="Calibri" w:eastAsia="Times New Roman" w:hAnsi="Calibri"/>
                <w:b/>
                <w:color w:val="000000"/>
                <w:sz w:val="20"/>
                <w:szCs w:val="20"/>
              </w:rPr>
              <w:t>SNP</w:t>
            </w:r>
          </w:p>
        </w:tc>
        <w:tc>
          <w:tcPr>
            <w:tcW w:w="804" w:type="dxa"/>
            <w:tcBorders>
              <w:top w:val="nil"/>
              <w:left w:val="nil"/>
              <w:bottom w:val="single" w:sz="4" w:space="0" w:color="auto"/>
              <w:right w:val="nil"/>
            </w:tcBorders>
            <w:shd w:val="clear" w:color="auto" w:fill="auto"/>
            <w:noWrap/>
            <w:vAlign w:val="bottom"/>
            <w:hideMark/>
          </w:tcPr>
          <w:p w:rsidR="00FB703A" w:rsidRPr="00341287" w:rsidRDefault="00FB703A" w:rsidP="00FB703A">
            <w:pPr>
              <w:ind w:left="-495" w:firstLine="495"/>
              <w:rPr>
                <w:rFonts w:ascii="Calibri" w:eastAsia="Times New Roman" w:hAnsi="Calibri"/>
                <w:b/>
                <w:color w:val="000000"/>
                <w:sz w:val="20"/>
                <w:szCs w:val="20"/>
              </w:rPr>
            </w:pPr>
            <w:r w:rsidRPr="00341287">
              <w:rPr>
                <w:rFonts w:ascii="Calibri" w:eastAsia="Times New Roman" w:hAnsi="Calibri"/>
                <w:b/>
                <w:color w:val="000000"/>
                <w:sz w:val="20"/>
                <w:szCs w:val="20"/>
              </w:rPr>
              <w:t>Allele1</w:t>
            </w:r>
          </w:p>
        </w:tc>
        <w:tc>
          <w:tcPr>
            <w:tcW w:w="770" w:type="dxa"/>
            <w:tcBorders>
              <w:top w:val="nil"/>
              <w:left w:val="nil"/>
              <w:bottom w:val="single" w:sz="4" w:space="0" w:color="auto"/>
              <w:right w:val="nil"/>
            </w:tcBorders>
            <w:shd w:val="clear" w:color="auto" w:fill="auto"/>
            <w:noWrap/>
            <w:vAlign w:val="bottom"/>
            <w:hideMark/>
          </w:tcPr>
          <w:p w:rsidR="00FB703A" w:rsidRPr="00341287" w:rsidRDefault="00FB703A" w:rsidP="00FB703A">
            <w:pPr>
              <w:rPr>
                <w:rFonts w:ascii="Calibri" w:eastAsia="Times New Roman" w:hAnsi="Calibri"/>
                <w:b/>
                <w:color w:val="000000"/>
                <w:sz w:val="20"/>
                <w:szCs w:val="20"/>
              </w:rPr>
            </w:pPr>
            <w:r w:rsidRPr="00341287">
              <w:rPr>
                <w:rFonts w:ascii="Calibri" w:eastAsia="Times New Roman" w:hAnsi="Calibri"/>
                <w:b/>
                <w:color w:val="000000"/>
                <w:sz w:val="20"/>
                <w:szCs w:val="20"/>
              </w:rPr>
              <w:t>Allele2</w:t>
            </w:r>
          </w:p>
        </w:tc>
        <w:tc>
          <w:tcPr>
            <w:tcW w:w="684" w:type="dxa"/>
            <w:tcBorders>
              <w:top w:val="nil"/>
              <w:left w:val="nil"/>
              <w:bottom w:val="single" w:sz="4" w:space="0" w:color="auto"/>
              <w:right w:val="nil"/>
            </w:tcBorders>
            <w:shd w:val="clear" w:color="auto" w:fill="auto"/>
            <w:noWrap/>
            <w:vAlign w:val="bottom"/>
            <w:hideMark/>
          </w:tcPr>
          <w:p w:rsidR="00FB703A" w:rsidRPr="00341287" w:rsidRDefault="00FB703A" w:rsidP="00FB703A">
            <w:pPr>
              <w:rPr>
                <w:rFonts w:ascii="Calibri" w:eastAsia="Times New Roman" w:hAnsi="Calibri"/>
                <w:b/>
                <w:color w:val="000000"/>
                <w:sz w:val="20"/>
                <w:szCs w:val="20"/>
              </w:rPr>
            </w:pPr>
            <w:r w:rsidRPr="00341287">
              <w:rPr>
                <w:rFonts w:ascii="Calibri" w:eastAsia="Times New Roman" w:hAnsi="Calibri"/>
                <w:b/>
                <w:color w:val="000000"/>
                <w:sz w:val="20"/>
                <w:szCs w:val="20"/>
              </w:rPr>
              <w:t>Freq1</w:t>
            </w:r>
          </w:p>
        </w:tc>
        <w:tc>
          <w:tcPr>
            <w:tcW w:w="772" w:type="dxa"/>
            <w:tcBorders>
              <w:top w:val="nil"/>
              <w:left w:val="nil"/>
              <w:bottom w:val="single" w:sz="4" w:space="0" w:color="auto"/>
              <w:right w:val="nil"/>
            </w:tcBorders>
            <w:shd w:val="clear" w:color="auto" w:fill="auto"/>
            <w:noWrap/>
            <w:vAlign w:val="bottom"/>
            <w:hideMark/>
          </w:tcPr>
          <w:p w:rsidR="00FB703A" w:rsidRPr="00341287" w:rsidRDefault="00FB703A" w:rsidP="00FB703A">
            <w:pPr>
              <w:rPr>
                <w:rFonts w:ascii="Calibri" w:eastAsia="Times New Roman" w:hAnsi="Calibri"/>
                <w:b/>
                <w:color w:val="000000"/>
                <w:sz w:val="20"/>
                <w:szCs w:val="20"/>
              </w:rPr>
            </w:pPr>
            <w:proofErr w:type="spellStart"/>
            <w:r w:rsidRPr="00341287">
              <w:rPr>
                <w:rFonts w:ascii="Calibri" w:eastAsia="Times New Roman" w:hAnsi="Calibri"/>
                <w:b/>
                <w:color w:val="000000"/>
                <w:sz w:val="20"/>
                <w:szCs w:val="20"/>
              </w:rPr>
              <w:t>FreqSE</w:t>
            </w:r>
            <w:proofErr w:type="spellEnd"/>
          </w:p>
        </w:tc>
        <w:tc>
          <w:tcPr>
            <w:tcW w:w="905" w:type="dxa"/>
            <w:tcBorders>
              <w:top w:val="nil"/>
              <w:left w:val="nil"/>
              <w:bottom w:val="single" w:sz="4" w:space="0" w:color="auto"/>
              <w:right w:val="nil"/>
            </w:tcBorders>
            <w:shd w:val="clear" w:color="auto" w:fill="auto"/>
            <w:noWrap/>
            <w:vAlign w:val="bottom"/>
            <w:hideMark/>
          </w:tcPr>
          <w:p w:rsidR="00FB703A" w:rsidRPr="00341287" w:rsidRDefault="00FB703A" w:rsidP="00FB703A">
            <w:pPr>
              <w:rPr>
                <w:rFonts w:ascii="Calibri" w:eastAsia="Times New Roman" w:hAnsi="Calibri"/>
                <w:b/>
                <w:color w:val="000000"/>
                <w:sz w:val="20"/>
                <w:szCs w:val="20"/>
              </w:rPr>
            </w:pPr>
            <w:proofErr w:type="spellStart"/>
            <w:r w:rsidRPr="00341287">
              <w:rPr>
                <w:rFonts w:ascii="Calibri" w:eastAsia="Times New Roman" w:hAnsi="Calibri"/>
                <w:b/>
                <w:color w:val="000000"/>
                <w:sz w:val="20"/>
                <w:szCs w:val="20"/>
              </w:rPr>
              <w:t>MinFreq</w:t>
            </w:r>
            <w:proofErr w:type="spellEnd"/>
          </w:p>
        </w:tc>
        <w:tc>
          <w:tcPr>
            <w:tcW w:w="1064" w:type="dxa"/>
            <w:tcBorders>
              <w:top w:val="nil"/>
              <w:left w:val="nil"/>
              <w:bottom w:val="single" w:sz="4" w:space="0" w:color="auto"/>
              <w:right w:val="nil"/>
            </w:tcBorders>
            <w:shd w:val="clear" w:color="auto" w:fill="auto"/>
            <w:noWrap/>
            <w:vAlign w:val="bottom"/>
            <w:hideMark/>
          </w:tcPr>
          <w:p w:rsidR="00FB703A" w:rsidRPr="00341287" w:rsidRDefault="00FB703A" w:rsidP="00FB703A">
            <w:pPr>
              <w:rPr>
                <w:rFonts w:ascii="Calibri" w:eastAsia="Times New Roman" w:hAnsi="Calibri"/>
                <w:b/>
                <w:color w:val="000000"/>
                <w:sz w:val="20"/>
                <w:szCs w:val="20"/>
              </w:rPr>
            </w:pPr>
            <w:proofErr w:type="spellStart"/>
            <w:r w:rsidRPr="00341287">
              <w:rPr>
                <w:rFonts w:ascii="Calibri" w:eastAsia="Times New Roman" w:hAnsi="Calibri"/>
                <w:b/>
                <w:color w:val="000000"/>
                <w:sz w:val="20"/>
                <w:szCs w:val="20"/>
              </w:rPr>
              <w:t>MaxFreq</w:t>
            </w:r>
            <w:proofErr w:type="spellEnd"/>
          </w:p>
        </w:tc>
        <w:tc>
          <w:tcPr>
            <w:tcW w:w="846" w:type="dxa"/>
            <w:tcBorders>
              <w:top w:val="nil"/>
              <w:left w:val="nil"/>
              <w:bottom w:val="single" w:sz="4" w:space="0" w:color="auto"/>
              <w:right w:val="nil"/>
            </w:tcBorders>
            <w:shd w:val="clear" w:color="auto" w:fill="auto"/>
            <w:noWrap/>
            <w:vAlign w:val="bottom"/>
            <w:hideMark/>
          </w:tcPr>
          <w:p w:rsidR="00FB703A" w:rsidRPr="00341287" w:rsidRDefault="00FB703A" w:rsidP="00FB703A">
            <w:pPr>
              <w:rPr>
                <w:rFonts w:ascii="Calibri" w:eastAsia="Times New Roman" w:hAnsi="Calibri"/>
                <w:b/>
                <w:color w:val="000000"/>
                <w:sz w:val="20"/>
                <w:szCs w:val="20"/>
              </w:rPr>
            </w:pPr>
            <w:r w:rsidRPr="00341287">
              <w:rPr>
                <w:rFonts w:ascii="Calibri" w:eastAsia="Times New Roman" w:hAnsi="Calibri"/>
                <w:b/>
                <w:color w:val="000000"/>
                <w:sz w:val="20"/>
                <w:szCs w:val="20"/>
              </w:rPr>
              <w:t>Effect</w:t>
            </w:r>
          </w:p>
        </w:tc>
        <w:tc>
          <w:tcPr>
            <w:tcW w:w="730" w:type="dxa"/>
            <w:tcBorders>
              <w:top w:val="nil"/>
              <w:left w:val="nil"/>
              <w:bottom w:val="single" w:sz="4" w:space="0" w:color="auto"/>
              <w:right w:val="nil"/>
            </w:tcBorders>
            <w:shd w:val="clear" w:color="auto" w:fill="auto"/>
            <w:noWrap/>
            <w:vAlign w:val="bottom"/>
            <w:hideMark/>
          </w:tcPr>
          <w:p w:rsidR="00FB703A" w:rsidRPr="00341287" w:rsidRDefault="00FB703A" w:rsidP="00FB703A">
            <w:pPr>
              <w:rPr>
                <w:rFonts w:ascii="Calibri" w:eastAsia="Times New Roman" w:hAnsi="Calibri"/>
                <w:b/>
                <w:color w:val="000000"/>
                <w:sz w:val="20"/>
                <w:szCs w:val="20"/>
              </w:rPr>
            </w:pPr>
            <w:proofErr w:type="spellStart"/>
            <w:r w:rsidRPr="00341287">
              <w:rPr>
                <w:rFonts w:ascii="Calibri" w:eastAsia="Times New Roman" w:hAnsi="Calibri"/>
                <w:b/>
                <w:color w:val="000000"/>
                <w:sz w:val="20"/>
                <w:szCs w:val="20"/>
              </w:rPr>
              <w:t>StdErr</w:t>
            </w:r>
            <w:proofErr w:type="spellEnd"/>
          </w:p>
        </w:tc>
        <w:tc>
          <w:tcPr>
            <w:tcW w:w="954" w:type="dxa"/>
            <w:tcBorders>
              <w:top w:val="nil"/>
              <w:left w:val="nil"/>
              <w:bottom w:val="single" w:sz="4" w:space="0" w:color="auto"/>
              <w:right w:val="nil"/>
            </w:tcBorders>
            <w:shd w:val="clear" w:color="auto" w:fill="auto"/>
            <w:noWrap/>
            <w:vAlign w:val="bottom"/>
            <w:hideMark/>
          </w:tcPr>
          <w:p w:rsidR="00FB703A" w:rsidRPr="00341287" w:rsidRDefault="00FB703A" w:rsidP="00FB703A">
            <w:pPr>
              <w:rPr>
                <w:rFonts w:ascii="Calibri" w:eastAsia="Times New Roman" w:hAnsi="Calibri"/>
                <w:b/>
                <w:color w:val="000000"/>
                <w:sz w:val="20"/>
                <w:szCs w:val="20"/>
              </w:rPr>
            </w:pPr>
            <w:r w:rsidRPr="00341287">
              <w:rPr>
                <w:rFonts w:ascii="Calibri" w:eastAsia="Times New Roman" w:hAnsi="Calibri"/>
                <w:b/>
                <w:color w:val="000000"/>
                <w:sz w:val="20"/>
                <w:szCs w:val="20"/>
              </w:rPr>
              <w:t>P-value</w:t>
            </w:r>
          </w:p>
        </w:tc>
        <w:tc>
          <w:tcPr>
            <w:tcW w:w="1065" w:type="dxa"/>
            <w:tcBorders>
              <w:top w:val="nil"/>
              <w:left w:val="nil"/>
              <w:bottom w:val="single" w:sz="4" w:space="0" w:color="auto"/>
              <w:right w:val="nil"/>
            </w:tcBorders>
            <w:shd w:val="clear" w:color="auto" w:fill="auto"/>
            <w:noWrap/>
            <w:vAlign w:val="bottom"/>
            <w:hideMark/>
          </w:tcPr>
          <w:p w:rsidR="00FB703A" w:rsidRPr="00341287" w:rsidRDefault="00FB703A" w:rsidP="00FB703A">
            <w:pPr>
              <w:rPr>
                <w:rFonts w:ascii="Calibri" w:eastAsia="Times New Roman" w:hAnsi="Calibri"/>
                <w:b/>
                <w:color w:val="000000"/>
                <w:sz w:val="20"/>
                <w:szCs w:val="20"/>
              </w:rPr>
            </w:pPr>
            <w:r w:rsidRPr="00341287">
              <w:rPr>
                <w:rFonts w:ascii="Calibri" w:eastAsia="Times New Roman" w:hAnsi="Calibri"/>
                <w:b/>
                <w:color w:val="000000"/>
                <w:sz w:val="20"/>
                <w:szCs w:val="20"/>
              </w:rPr>
              <w:t>Direction</w:t>
            </w:r>
          </w:p>
        </w:tc>
        <w:tc>
          <w:tcPr>
            <w:tcW w:w="762" w:type="dxa"/>
            <w:tcBorders>
              <w:top w:val="nil"/>
              <w:left w:val="nil"/>
              <w:bottom w:val="single" w:sz="4" w:space="0" w:color="auto"/>
              <w:right w:val="nil"/>
            </w:tcBorders>
            <w:shd w:val="clear" w:color="auto" w:fill="auto"/>
            <w:noWrap/>
            <w:vAlign w:val="bottom"/>
            <w:hideMark/>
          </w:tcPr>
          <w:p w:rsidR="00FB703A" w:rsidRPr="00341287" w:rsidRDefault="00FB703A" w:rsidP="00FB703A">
            <w:pPr>
              <w:rPr>
                <w:rFonts w:ascii="Calibri" w:eastAsia="Times New Roman" w:hAnsi="Calibri"/>
                <w:b/>
                <w:color w:val="000000"/>
                <w:sz w:val="20"/>
                <w:szCs w:val="20"/>
              </w:rPr>
            </w:pPr>
            <w:proofErr w:type="spellStart"/>
            <w:r w:rsidRPr="00341287">
              <w:rPr>
                <w:rFonts w:ascii="Calibri" w:eastAsia="Times New Roman" w:hAnsi="Calibri"/>
                <w:b/>
                <w:color w:val="000000"/>
                <w:sz w:val="20"/>
                <w:szCs w:val="20"/>
              </w:rPr>
              <w:t>HetISq</w:t>
            </w:r>
            <w:proofErr w:type="spellEnd"/>
          </w:p>
        </w:tc>
        <w:tc>
          <w:tcPr>
            <w:tcW w:w="994" w:type="dxa"/>
            <w:tcBorders>
              <w:top w:val="nil"/>
              <w:left w:val="nil"/>
              <w:bottom w:val="single" w:sz="4" w:space="0" w:color="auto"/>
              <w:right w:val="nil"/>
            </w:tcBorders>
            <w:shd w:val="clear" w:color="auto" w:fill="auto"/>
            <w:noWrap/>
            <w:vAlign w:val="bottom"/>
            <w:hideMark/>
          </w:tcPr>
          <w:p w:rsidR="00FB703A" w:rsidRPr="00341287" w:rsidRDefault="00FB703A" w:rsidP="00FB703A">
            <w:pPr>
              <w:rPr>
                <w:rFonts w:ascii="Calibri" w:eastAsia="Times New Roman" w:hAnsi="Calibri"/>
                <w:b/>
                <w:color w:val="000000"/>
                <w:sz w:val="20"/>
                <w:szCs w:val="20"/>
              </w:rPr>
            </w:pPr>
            <w:proofErr w:type="spellStart"/>
            <w:r w:rsidRPr="00341287">
              <w:rPr>
                <w:rFonts w:ascii="Calibri" w:eastAsia="Times New Roman" w:hAnsi="Calibri"/>
                <w:b/>
                <w:color w:val="000000"/>
                <w:sz w:val="20"/>
                <w:szCs w:val="20"/>
              </w:rPr>
              <w:t>HetChiSq</w:t>
            </w:r>
            <w:proofErr w:type="spellEnd"/>
          </w:p>
        </w:tc>
        <w:tc>
          <w:tcPr>
            <w:tcW w:w="692" w:type="dxa"/>
            <w:tcBorders>
              <w:top w:val="nil"/>
              <w:left w:val="nil"/>
              <w:bottom w:val="single" w:sz="4" w:space="0" w:color="auto"/>
              <w:right w:val="nil"/>
            </w:tcBorders>
            <w:shd w:val="clear" w:color="auto" w:fill="auto"/>
            <w:noWrap/>
            <w:vAlign w:val="bottom"/>
            <w:hideMark/>
          </w:tcPr>
          <w:p w:rsidR="00FB703A" w:rsidRPr="00341287" w:rsidRDefault="00FB703A" w:rsidP="00FB703A">
            <w:pPr>
              <w:rPr>
                <w:rFonts w:ascii="Calibri" w:eastAsia="Times New Roman" w:hAnsi="Calibri"/>
                <w:b/>
                <w:color w:val="000000"/>
                <w:sz w:val="20"/>
                <w:szCs w:val="20"/>
              </w:rPr>
            </w:pPr>
            <w:proofErr w:type="spellStart"/>
            <w:r w:rsidRPr="00341287">
              <w:rPr>
                <w:rFonts w:ascii="Calibri" w:eastAsia="Times New Roman" w:hAnsi="Calibri"/>
                <w:b/>
                <w:color w:val="000000"/>
                <w:sz w:val="20"/>
                <w:szCs w:val="20"/>
              </w:rPr>
              <w:t>HetDf</w:t>
            </w:r>
            <w:proofErr w:type="spellEnd"/>
          </w:p>
        </w:tc>
        <w:tc>
          <w:tcPr>
            <w:tcW w:w="877" w:type="dxa"/>
            <w:tcBorders>
              <w:top w:val="nil"/>
              <w:left w:val="nil"/>
              <w:bottom w:val="single" w:sz="4" w:space="0" w:color="auto"/>
              <w:right w:val="nil"/>
            </w:tcBorders>
            <w:shd w:val="clear" w:color="auto" w:fill="auto"/>
            <w:noWrap/>
            <w:vAlign w:val="bottom"/>
            <w:hideMark/>
          </w:tcPr>
          <w:p w:rsidR="00FB703A" w:rsidRPr="00341287" w:rsidRDefault="00FB703A" w:rsidP="00FB703A">
            <w:pPr>
              <w:rPr>
                <w:rFonts w:ascii="Calibri" w:eastAsia="Times New Roman" w:hAnsi="Calibri"/>
                <w:b/>
                <w:color w:val="000000"/>
                <w:sz w:val="20"/>
                <w:szCs w:val="20"/>
              </w:rPr>
            </w:pPr>
            <w:proofErr w:type="spellStart"/>
            <w:r w:rsidRPr="00341287">
              <w:rPr>
                <w:rFonts w:ascii="Calibri" w:eastAsia="Times New Roman" w:hAnsi="Calibri"/>
                <w:b/>
                <w:color w:val="000000"/>
                <w:sz w:val="20"/>
                <w:szCs w:val="20"/>
              </w:rPr>
              <w:t>HetPVal</w:t>
            </w:r>
            <w:proofErr w:type="spellEnd"/>
          </w:p>
        </w:tc>
      </w:tr>
      <w:tr w:rsidR="00FB703A" w:rsidRPr="00FB703A" w:rsidTr="00341287">
        <w:trPr>
          <w:trHeight w:val="315"/>
        </w:trPr>
        <w:tc>
          <w:tcPr>
            <w:tcW w:w="1275" w:type="dxa"/>
            <w:tcBorders>
              <w:top w:val="single" w:sz="4" w:space="0" w:color="auto"/>
              <w:left w:val="nil"/>
              <w:bottom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r w:rsidRPr="00FB703A">
              <w:rPr>
                <w:rFonts w:ascii="Calibri" w:eastAsia="Times New Roman" w:hAnsi="Calibri"/>
                <w:color w:val="000000"/>
                <w:sz w:val="20"/>
                <w:szCs w:val="20"/>
              </w:rPr>
              <w:t>rs12907038*</w:t>
            </w:r>
          </w:p>
        </w:tc>
        <w:tc>
          <w:tcPr>
            <w:tcW w:w="804" w:type="dxa"/>
            <w:tcBorders>
              <w:top w:val="single" w:sz="4" w:space="0" w:color="auto"/>
              <w:left w:val="nil"/>
              <w:bottom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r w:rsidRPr="00FB703A">
              <w:rPr>
                <w:rFonts w:ascii="Calibri" w:eastAsia="Times New Roman" w:hAnsi="Calibri"/>
                <w:color w:val="000000"/>
                <w:sz w:val="20"/>
                <w:szCs w:val="20"/>
              </w:rPr>
              <w:t>C</w:t>
            </w:r>
          </w:p>
        </w:tc>
        <w:tc>
          <w:tcPr>
            <w:tcW w:w="770" w:type="dxa"/>
            <w:tcBorders>
              <w:top w:val="single" w:sz="4" w:space="0" w:color="auto"/>
              <w:left w:val="nil"/>
              <w:bottom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r w:rsidRPr="00FB703A">
              <w:rPr>
                <w:rFonts w:ascii="Calibri" w:eastAsia="Times New Roman" w:hAnsi="Calibri"/>
                <w:color w:val="000000"/>
                <w:sz w:val="20"/>
                <w:szCs w:val="20"/>
              </w:rPr>
              <w:t>G</w:t>
            </w:r>
          </w:p>
        </w:tc>
        <w:tc>
          <w:tcPr>
            <w:tcW w:w="684" w:type="dxa"/>
            <w:tcBorders>
              <w:top w:val="single" w:sz="4" w:space="0" w:color="auto"/>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0.553</w:t>
            </w:r>
          </w:p>
        </w:tc>
        <w:tc>
          <w:tcPr>
            <w:tcW w:w="772" w:type="dxa"/>
            <w:tcBorders>
              <w:top w:val="single" w:sz="4" w:space="0" w:color="auto"/>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0.005</w:t>
            </w:r>
          </w:p>
        </w:tc>
        <w:tc>
          <w:tcPr>
            <w:tcW w:w="905" w:type="dxa"/>
            <w:tcBorders>
              <w:top w:val="single" w:sz="4" w:space="0" w:color="auto"/>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0.548</w:t>
            </w:r>
          </w:p>
        </w:tc>
        <w:tc>
          <w:tcPr>
            <w:tcW w:w="1064" w:type="dxa"/>
            <w:tcBorders>
              <w:top w:val="single" w:sz="4" w:space="0" w:color="auto"/>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0.560</w:t>
            </w:r>
          </w:p>
        </w:tc>
        <w:tc>
          <w:tcPr>
            <w:tcW w:w="846" w:type="dxa"/>
            <w:tcBorders>
              <w:top w:val="single" w:sz="4" w:space="0" w:color="auto"/>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-0.434</w:t>
            </w:r>
          </w:p>
        </w:tc>
        <w:tc>
          <w:tcPr>
            <w:tcW w:w="730" w:type="dxa"/>
            <w:tcBorders>
              <w:top w:val="single" w:sz="4" w:space="0" w:color="auto"/>
              <w:left w:val="nil"/>
              <w:bottom w:val="nil"/>
              <w:right w:val="nil"/>
            </w:tcBorders>
            <w:shd w:val="clear" w:color="auto" w:fill="auto"/>
            <w:noWrap/>
            <w:vAlign w:val="bottom"/>
            <w:hideMark/>
          </w:tcPr>
          <w:p w:rsidR="00FB703A" w:rsidRPr="00FB703A" w:rsidRDefault="00FB703A" w:rsidP="00FB703A">
            <w:pPr>
              <w:jc w:val="right"/>
              <w:rPr>
                <w:rFonts w:ascii="Calibri" w:eastAsia="Times New Roman" w:hAnsi="Calibri"/>
                <w:color w:val="000000"/>
                <w:sz w:val="20"/>
                <w:szCs w:val="20"/>
              </w:rPr>
            </w:pPr>
            <w:r w:rsidRPr="00FB703A">
              <w:rPr>
                <w:rFonts w:ascii="Calibri" w:eastAsia="Times New Roman" w:hAnsi="Calibri"/>
                <w:color w:val="000000"/>
                <w:sz w:val="20"/>
                <w:szCs w:val="20"/>
              </w:rPr>
              <w:t>0.119</w:t>
            </w:r>
          </w:p>
        </w:tc>
        <w:tc>
          <w:tcPr>
            <w:tcW w:w="954" w:type="dxa"/>
            <w:tcBorders>
              <w:top w:val="single" w:sz="4" w:space="0" w:color="auto"/>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2.68E-04</w:t>
            </w:r>
          </w:p>
        </w:tc>
        <w:tc>
          <w:tcPr>
            <w:tcW w:w="1065" w:type="dxa"/>
            <w:tcBorders>
              <w:top w:val="single" w:sz="4" w:space="0" w:color="auto"/>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w:t>
            </w:r>
          </w:p>
        </w:tc>
        <w:tc>
          <w:tcPr>
            <w:tcW w:w="762" w:type="dxa"/>
            <w:tcBorders>
              <w:top w:val="single" w:sz="4" w:space="0" w:color="auto"/>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w:t>
            </w:r>
          </w:p>
        </w:tc>
        <w:tc>
          <w:tcPr>
            <w:tcW w:w="994" w:type="dxa"/>
            <w:tcBorders>
              <w:top w:val="single" w:sz="4" w:space="0" w:color="auto"/>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0.154</w:t>
            </w:r>
          </w:p>
        </w:tc>
        <w:tc>
          <w:tcPr>
            <w:tcW w:w="692" w:type="dxa"/>
            <w:tcBorders>
              <w:top w:val="single" w:sz="4" w:space="0" w:color="auto"/>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2</w:t>
            </w:r>
          </w:p>
        </w:tc>
        <w:tc>
          <w:tcPr>
            <w:tcW w:w="877" w:type="dxa"/>
            <w:tcBorders>
              <w:top w:val="single" w:sz="4" w:space="0" w:color="auto"/>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0.926</w:t>
            </w:r>
          </w:p>
        </w:tc>
      </w:tr>
      <w:tr w:rsidR="00FB703A" w:rsidRPr="00FB703A" w:rsidTr="00FB703A">
        <w:trPr>
          <w:trHeight w:val="315"/>
        </w:trPr>
        <w:tc>
          <w:tcPr>
            <w:tcW w:w="1275" w:type="dxa"/>
            <w:tcBorders>
              <w:top w:val="nil"/>
              <w:left w:val="nil"/>
              <w:bottom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r w:rsidRPr="00FB703A">
              <w:rPr>
                <w:rFonts w:ascii="Calibri" w:eastAsia="Times New Roman" w:hAnsi="Calibri"/>
                <w:color w:val="000000"/>
                <w:sz w:val="20"/>
                <w:szCs w:val="20"/>
              </w:rPr>
              <w:t>rs4238326*</w:t>
            </w:r>
          </w:p>
        </w:tc>
        <w:tc>
          <w:tcPr>
            <w:tcW w:w="804" w:type="dxa"/>
            <w:tcBorders>
              <w:top w:val="nil"/>
              <w:left w:val="nil"/>
              <w:bottom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r w:rsidRPr="00FB703A">
              <w:rPr>
                <w:rFonts w:ascii="Calibri" w:eastAsia="Times New Roman" w:hAnsi="Calibri"/>
                <w:color w:val="000000"/>
                <w:sz w:val="20"/>
                <w:szCs w:val="20"/>
              </w:rPr>
              <w:t>T</w:t>
            </w:r>
          </w:p>
        </w:tc>
        <w:tc>
          <w:tcPr>
            <w:tcW w:w="770" w:type="dxa"/>
            <w:tcBorders>
              <w:top w:val="nil"/>
              <w:left w:val="nil"/>
              <w:bottom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r w:rsidRPr="00FB703A">
              <w:rPr>
                <w:rFonts w:ascii="Calibri" w:eastAsia="Times New Roman" w:hAnsi="Calibri"/>
                <w:color w:val="000000"/>
                <w:sz w:val="20"/>
                <w:szCs w:val="20"/>
              </w:rPr>
              <w:t>C</w:t>
            </w:r>
          </w:p>
        </w:tc>
        <w:tc>
          <w:tcPr>
            <w:tcW w:w="684"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0.644</w:t>
            </w:r>
          </w:p>
        </w:tc>
        <w:tc>
          <w:tcPr>
            <w:tcW w:w="772"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0.004</w:t>
            </w:r>
          </w:p>
        </w:tc>
        <w:tc>
          <w:tcPr>
            <w:tcW w:w="905"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0.641</w:t>
            </w:r>
          </w:p>
        </w:tc>
        <w:tc>
          <w:tcPr>
            <w:tcW w:w="1064"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0.651</w:t>
            </w:r>
          </w:p>
        </w:tc>
        <w:tc>
          <w:tcPr>
            <w:tcW w:w="846"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-0.475</w:t>
            </w:r>
          </w:p>
        </w:tc>
        <w:tc>
          <w:tcPr>
            <w:tcW w:w="730" w:type="dxa"/>
            <w:tcBorders>
              <w:top w:val="nil"/>
              <w:left w:val="nil"/>
              <w:bottom w:val="nil"/>
              <w:right w:val="nil"/>
            </w:tcBorders>
            <w:shd w:val="clear" w:color="auto" w:fill="auto"/>
            <w:noWrap/>
            <w:vAlign w:val="bottom"/>
            <w:hideMark/>
          </w:tcPr>
          <w:p w:rsidR="00FB703A" w:rsidRPr="00FB703A" w:rsidRDefault="00FB703A" w:rsidP="00FB703A">
            <w:pPr>
              <w:jc w:val="right"/>
              <w:rPr>
                <w:rFonts w:ascii="Calibri" w:eastAsia="Times New Roman" w:hAnsi="Calibri"/>
                <w:color w:val="000000"/>
                <w:sz w:val="20"/>
                <w:szCs w:val="20"/>
              </w:rPr>
            </w:pPr>
            <w:r w:rsidRPr="00FB703A">
              <w:rPr>
                <w:rFonts w:ascii="Calibri" w:eastAsia="Times New Roman" w:hAnsi="Calibri"/>
                <w:color w:val="000000"/>
                <w:sz w:val="20"/>
                <w:szCs w:val="20"/>
              </w:rPr>
              <w:t>0.123</w:t>
            </w:r>
          </w:p>
        </w:tc>
        <w:tc>
          <w:tcPr>
            <w:tcW w:w="954"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1.10E-04</w:t>
            </w:r>
          </w:p>
        </w:tc>
        <w:tc>
          <w:tcPr>
            <w:tcW w:w="1065"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w:t>
            </w:r>
          </w:p>
        </w:tc>
        <w:tc>
          <w:tcPr>
            <w:tcW w:w="762"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0.1</w:t>
            </w:r>
          </w:p>
        </w:tc>
        <w:tc>
          <w:tcPr>
            <w:tcW w:w="994"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2003.000</w:t>
            </w:r>
          </w:p>
        </w:tc>
        <w:tc>
          <w:tcPr>
            <w:tcW w:w="692"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2</w:t>
            </w:r>
          </w:p>
        </w:tc>
        <w:tc>
          <w:tcPr>
            <w:tcW w:w="877"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0.367</w:t>
            </w:r>
          </w:p>
        </w:tc>
      </w:tr>
      <w:tr w:rsidR="00FB703A" w:rsidRPr="00FB703A" w:rsidTr="00FB703A">
        <w:trPr>
          <w:trHeight w:val="315"/>
        </w:trPr>
        <w:tc>
          <w:tcPr>
            <w:tcW w:w="1275" w:type="dxa"/>
            <w:tcBorders>
              <w:top w:val="nil"/>
              <w:left w:val="nil"/>
              <w:bottom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r w:rsidRPr="00FB703A">
              <w:rPr>
                <w:rFonts w:ascii="Calibri" w:eastAsia="Times New Roman" w:hAnsi="Calibri"/>
                <w:color w:val="000000"/>
                <w:sz w:val="20"/>
                <w:szCs w:val="20"/>
              </w:rPr>
              <w:t>rs3204689*</w:t>
            </w:r>
          </w:p>
        </w:tc>
        <w:tc>
          <w:tcPr>
            <w:tcW w:w="804" w:type="dxa"/>
            <w:tcBorders>
              <w:top w:val="nil"/>
              <w:left w:val="nil"/>
              <w:bottom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r w:rsidRPr="00FB703A">
              <w:rPr>
                <w:rFonts w:ascii="Calibri" w:eastAsia="Times New Roman" w:hAnsi="Calibri"/>
                <w:color w:val="000000"/>
                <w:sz w:val="20"/>
                <w:szCs w:val="20"/>
              </w:rPr>
              <w:t>C</w:t>
            </w:r>
          </w:p>
        </w:tc>
        <w:tc>
          <w:tcPr>
            <w:tcW w:w="770" w:type="dxa"/>
            <w:tcBorders>
              <w:top w:val="nil"/>
              <w:left w:val="nil"/>
              <w:bottom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r w:rsidRPr="00FB703A">
              <w:rPr>
                <w:rFonts w:ascii="Calibri" w:eastAsia="Times New Roman" w:hAnsi="Calibri"/>
                <w:color w:val="000000"/>
                <w:sz w:val="20"/>
                <w:szCs w:val="20"/>
              </w:rPr>
              <w:t>G</w:t>
            </w:r>
          </w:p>
        </w:tc>
        <w:tc>
          <w:tcPr>
            <w:tcW w:w="684"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0.453</w:t>
            </w:r>
          </w:p>
        </w:tc>
        <w:tc>
          <w:tcPr>
            <w:tcW w:w="772"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0.005</w:t>
            </w:r>
          </w:p>
        </w:tc>
        <w:tc>
          <w:tcPr>
            <w:tcW w:w="905"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0.447</w:t>
            </w:r>
          </w:p>
        </w:tc>
        <w:tc>
          <w:tcPr>
            <w:tcW w:w="1064"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0.458</w:t>
            </w:r>
          </w:p>
        </w:tc>
        <w:tc>
          <w:tcPr>
            <w:tcW w:w="846"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0.422</w:t>
            </w:r>
          </w:p>
        </w:tc>
        <w:tc>
          <w:tcPr>
            <w:tcW w:w="730" w:type="dxa"/>
            <w:tcBorders>
              <w:top w:val="nil"/>
              <w:left w:val="nil"/>
              <w:bottom w:val="nil"/>
              <w:right w:val="nil"/>
            </w:tcBorders>
            <w:shd w:val="clear" w:color="auto" w:fill="auto"/>
            <w:noWrap/>
            <w:vAlign w:val="bottom"/>
            <w:hideMark/>
          </w:tcPr>
          <w:p w:rsidR="00FB703A" w:rsidRPr="00FB703A" w:rsidRDefault="00FB703A" w:rsidP="00FB703A">
            <w:pPr>
              <w:jc w:val="right"/>
              <w:rPr>
                <w:rFonts w:ascii="Calibri" w:eastAsia="Times New Roman" w:hAnsi="Calibri"/>
                <w:color w:val="000000"/>
                <w:sz w:val="20"/>
                <w:szCs w:val="20"/>
              </w:rPr>
            </w:pPr>
            <w:r w:rsidRPr="00FB703A">
              <w:rPr>
                <w:rFonts w:ascii="Calibri" w:eastAsia="Times New Roman" w:hAnsi="Calibri"/>
                <w:color w:val="000000"/>
                <w:sz w:val="20"/>
                <w:szCs w:val="20"/>
              </w:rPr>
              <w:t>0.118</w:t>
            </w:r>
          </w:p>
        </w:tc>
        <w:tc>
          <w:tcPr>
            <w:tcW w:w="954"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3.69E-04</w:t>
            </w:r>
          </w:p>
        </w:tc>
        <w:tc>
          <w:tcPr>
            <w:tcW w:w="1065"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w:t>
            </w:r>
          </w:p>
        </w:tc>
        <w:tc>
          <w:tcPr>
            <w:tcW w:w="762"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w:t>
            </w:r>
          </w:p>
        </w:tc>
        <w:tc>
          <w:tcPr>
            <w:tcW w:w="994"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0.323</w:t>
            </w:r>
          </w:p>
        </w:tc>
        <w:tc>
          <w:tcPr>
            <w:tcW w:w="692"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2</w:t>
            </w:r>
          </w:p>
        </w:tc>
        <w:tc>
          <w:tcPr>
            <w:tcW w:w="877" w:type="dxa"/>
            <w:tcBorders>
              <w:top w:val="nil"/>
              <w:left w:val="nil"/>
              <w:bottom w:val="nil"/>
              <w:right w:val="nil"/>
            </w:tcBorders>
            <w:shd w:val="clear" w:color="auto" w:fill="auto"/>
            <w:noWrap/>
            <w:vAlign w:val="bottom"/>
            <w:hideMark/>
          </w:tcPr>
          <w:p w:rsidR="00FB703A" w:rsidRPr="00FB703A" w:rsidRDefault="00FB703A" w:rsidP="00FB703A">
            <w:pPr>
              <w:jc w:val="center"/>
              <w:rPr>
                <w:rFonts w:ascii="Calibri" w:eastAsia="Times New Roman" w:hAnsi="Calibri"/>
                <w:color w:val="000000"/>
                <w:sz w:val="20"/>
                <w:szCs w:val="20"/>
              </w:rPr>
            </w:pPr>
            <w:r w:rsidRPr="00FB703A">
              <w:rPr>
                <w:rFonts w:ascii="Calibri" w:eastAsia="Times New Roman" w:hAnsi="Calibri"/>
                <w:color w:val="000000"/>
                <w:sz w:val="20"/>
                <w:szCs w:val="20"/>
              </w:rPr>
              <w:t>0.851</w:t>
            </w:r>
          </w:p>
        </w:tc>
      </w:tr>
      <w:tr w:rsidR="00FB703A" w:rsidRPr="00FB703A" w:rsidTr="00FB703A">
        <w:trPr>
          <w:trHeight w:val="315"/>
        </w:trPr>
        <w:tc>
          <w:tcPr>
            <w:tcW w:w="7120" w:type="dxa"/>
            <w:gridSpan w:val="8"/>
            <w:tcBorders>
              <w:top w:val="nil"/>
              <w:left w:val="nil"/>
              <w:bottom w:val="nil"/>
              <w:right w:val="nil"/>
            </w:tcBorders>
            <w:shd w:val="clear" w:color="auto" w:fill="auto"/>
            <w:noWrap/>
            <w:vAlign w:val="bottom"/>
            <w:hideMark/>
          </w:tcPr>
          <w:p w:rsidR="00FB703A" w:rsidRPr="00FB703A" w:rsidRDefault="00FB703A" w:rsidP="008207FD">
            <w:pPr>
              <w:rPr>
                <w:rFonts w:ascii="Calibri" w:eastAsia="Times New Roman" w:hAnsi="Calibri"/>
                <w:color w:val="000000"/>
                <w:sz w:val="20"/>
                <w:szCs w:val="20"/>
              </w:rPr>
            </w:pPr>
            <w:r w:rsidRPr="00FB703A">
              <w:rPr>
                <w:rFonts w:ascii="Calibri" w:eastAsia="Times New Roman" w:hAnsi="Calibri"/>
                <w:color w:val="000000"/>
                <w:sz w:val="20"/>
                <w:szCs w:val="20"/>
              </w:rPr>
              <w:t xml:space="preserve">* Variants associated with Hand OA by </w:t>
            </w:r>
            <w:proofErr w:type="spellStart"/>
            <w:r w:rsidRPr="00FB703A">
              <w:rPr>
                <w:rFonts w:ascii="Calibri" w:eastAsia="Times New Roman" w:hAnsi="Calibri"/>
                <w:color w:val="000000"/>
                <w:sz w:val="20"/>
                <w:szCs w:val="20"/>
              </w:rPr>
              <w:t>Styrkarsdottir</w:t>
            </w:r>
            <w:proofErr w:type="spellEnd"/>
            <w:r w:rsidRPr="00FB703A">
              <w:rPr>
                <w:rFonts w:ascii="Calibri" w:eastAsia="Times New Roman" w:hAnsi="Calibri"/>
                <w:color w:val="000000"/>
                <w:sz w:val="20"/>
                <w:szCs w:val="20"/>
              </w:rPr>
              <w:t xml:space="preserve"> et al. (2014)</w:t>
            </w:r>
            <w:r w:rsidRPr="00FB703A">
              <w:rPr>
                <w:rFonts w:ascii="Calibri" w:eastAsia="Times New Roman" w:hAnsi="Calibri"/>
                <w:i/>
                <w:iCs/>
                <w:color w:val="000000"/>
                <w:sz w:val="20"/>
                <w:szCs w:val="20"/>
              </w:rPr>
              <w:t xml:space="preserve"> Nature Genetics</w:t>
            </w:r>
            <w:r w:rsidR="008207FD">
              <w:rPr>
                <w:rFonts w:ascii="Calibri" w:eastAsia="Times New Roman" w:hAnsi="Calibri"/>
                <w:i/>
                <w:iCs/>
                <w:color w:val="000000"/>
                <w:sz w:val="20"/>
                <w:szCs w:val="20"/>
              </w:rPr>
              <w:fldChar w:fldCharType="begin" w:fldLock="1"/>
            </w:r>
            <w:r w:rsidR="008207FD">
              <w:rPr>
                <w:rFonts w:ascii="Calibri" w:eastAsia="Times New Roman" w:hAnsi="Calibri"/>
                <w:i/>
                <w:iCs/>
                <w:color w:val="000000"/>
                <w:sz w:val="20"/>
                <w:szCs w:val="20"/>
              </w:rPr>
              <w:instrText>ADDIN CSL_CITATION { "citationItems" : [ { "id" : "ITEM-1", "itemData" : { "DOI" : "10.1038/ng.2957", "ISBN" : "1546-1718 (Electronic)\\r1061-4036 (Linking)", "ISSN" : "1546-1718", "PMID" : "24728293", "abstract" : "Osteoarthritis is the most common form of arthritis and is a major cause of pain and disability in the elderly. To search for sequence variants that confer risk of osteoarthritis of the hand, we carried out a genome-wide association study (GWAS) in subjects with severe hand osteoarthritis, using variants identified through the whole-genome sequencing of 2,230 Icelanders. We found two significantly associated loci in the Icelandic discovery set: at 15q22 (frequency of 50.7%, odds ratio (OR) = 1.51, P = 3.99 x 10(-10)) in the ALDH1A2 gene and at 1p31 (frequency of 0.02%, OR = 50.6, P = 9.8 x 10(-10)). Among the carriers of the variant at 1p31 is a family with several members in whom the risk allele segregates with osteoarthritis. The variants within the ALDH1A2 gene were confirmed in replication sets from The Netherlands and the UK, yielding an overall association of OR = 1.46 and P = 1.1 x 10(-11) (rs3204689).", "author" : [ { "dropping-particle" : "", "family" : "Styrkarsdottir", "given" : "U", "non-dropping-particle" : "", "parse-names" : false, "suffix" : "" }, { "dropping-particle" : "", "family" : "Thorleifsson", "given" : "G", "non-dropping-particle" : "", "parse-names" : false, "suffix" : "" }, { "dropping-particle" : "", "family" : "Helgadottir", "given" : "H T", "non-dropping-particle" : "", "parse-names" : false, "suffix" : "" }, { "dropping-particle" : "", "family" : "Bomer", "given" : "N", "non-dropping-particle" : "", "parse-names" : false, "suffix" : "" }, { "dropping-particle" : "", "family" : "Metrustry", "given" : "S", "non-dropping-particle" : "", "parse-names" : false, "suffix" : "" }, { "dropping-particle" : "", "family" : "Bierma-Zeinstra", "given" : "S", "non-dropping-particle" : "", "parse-names" : false, "suffix" : "" }, { "dropping-particle" : "", "family" : "Strijbosch", "given" : "a M", "non-dropping-particle" : "", "parse-names" : false, "suffix" : "" }, { "dropping-particle" : "", "family" : "Evangelou", "given" : "E", "non-dropping-particle" : "", "parse-names" : false, "suffix" : "" }, { "dropping-particle" : "", "family" : "Hart", "given" : "D", "non-dropping-particle" : "", "parse-names" : false, "suffix" : "" }, { "dropping-particle" : "", "family" : "Beekman", "given" : "M", "non-dropping-particle" : "", "parse-names" : false, "suffix" : "" }, { "dropping-particle" : "", "family" : "Jonasdottir", "given" : "a", "non-dropping-particle" : "", "parse-names" : false, "suffix" : "" }, { "dropping-particle" : "", "family" : "Sigurdsson", "given" : "a", "non-dropping-particle" : "", "parse-names" : false, "suffix" : "" }, { "dropping-particle" : "", "family" : "Eiriksson", "given" : "F F", "non-dropping-particle" : "", "parse-names" : false, "suffix" : "" }, { "dropping-particle" : "", "family" : "Thorsteinsdottir", "given" : "M", "non-dropping-particle" : "", "parse-names" : false, "suffix" : "" }, { "dropping-particle" : "", "family" : "Frigge", "given" : "M L", "non-dropping-particle" : "", "parse-names" : false, "suffix" : "" }, { "dropping-particle" : "", "family" : "Kong", "given" : "a", "non-dropping-particle" : "", "parse-names" : false, "suffix" : "" }, { "dropping-particle" : "", "family" : "Gudjonsson", "given" : "S a", "non-dropping-particle" : "", "parse-names" : false, "suffix" : "" }, { "dropping-particle" : "", "family" : "Magnusson", "given" : "O T", "non-dropping-particle" : "", "parse-names" : false, "suffix" : "" }, { "dropping-particle" : "", "family" : "Masson", "given" : "G", "non-dropping-particle" : "", "parse-names" : false, "suffix" : "" }, { "dropping-particle" : "", "family" : "Consortium", "given" : "Treat-Oa", "non-dropping-particle" : "", "parse-names" : false, "suffix" : "" }, { "dropping-particle" : "", "family" : "Arc", "given" : "Ogen Consortium", "non-dropping-particle" : "", "parse-names" : false, "suffix" : "" }, { "dropping-particle" : "", "family" : "Hofman", "given" : "a", "non-dropping-particle" : "", "parse-names" : false, "suffix" : "" }, { "dropping-particle" : "", "family" : "Arden", "given" : "N K", "non-dropping-particle" : "", "parse-names" : false, "suffix" : "" }, { "dropping-particle" : "", "family" : "Ingvarsson", "given" : "T", "non-dropping-particle" : "", "parse-names" : false, "suffix" : "" }, { "dropping-particle" : "", "family" : "Lohmander", "given" : "S", "non-dropping-particle" : "", "parse-names" : false, "suffix" : "" }, { "dropping-particle" : "", "family" : "Kloppenburg", "given" : "M", "non-dropping-particle" : "", "parse-names" : false, "suffix" : "" }, { "dropping-particle" : "", "family" : "Rivadeneira", "given" : "F", "non-dropping-particle" : "", "parse-names" : false, "suffix" : "" }, { "dropping-particle" : "", "family" : "Nelissen", "given" : "R G", "non-dropping-particle" : "", "parse-names" : false, "suffix" : "" }, { "dropping-particle" : "", "family" : "Spector", "given" : "T", "non-dropping-particle" : "", "parse-names" : false, "suffix" : "" }, { "dropping-particle" : "", "family" : "Uitterlinden", "given" : "a", "non-dropping-particle" : "", "parse-names" : false, "suffix" : "" }, { "dropping-particle" : "", "family" : "Slagboom", "given" : "P E", "non-dropping-particle" : "", "parse-names" : false, "suffix" : "" }, { "dropping-particle" : "", "family" : "Thorsteinsdottir", "given" : "U", "non-dropping-particle" : "", "parse-names" : false, "suffix" : "" }, { "dropping-particle" : "", "family" : "Jonsdottir", "given" : "I", "non-dropping-particle" : "", "parse-names" : false, "suffix" : "" }, { "dropping-particle" : "", "family" : "Valdes", "given" : "a M", "non-dropping-particle" : "", "parse-names" : false, "suffix" : "" }, { "dropping-particle" : "", "family" : "Meulenbelt", "given" : "I", "non-dropping-particle" : "", "parse-names" : false, "suffix" : "" }, { "dropping-particle" : "", "family" : "Meurs", "given" : "J", "non-dropping-particle" : "van", "parse-names" : false, "suffix" : "" }, { "dropping-particle" : "", "family" : "Jonsson", "given" : "H", "non-dropping-particle" : "", "parse-names" : false, "suffix" : "" }, { "dropping-particle" : "", "family" : "Stefansson", "given" : "K", "non-dropping-particle" : "", "parse-names" : false, "suffix" : "" } ], "container-title" : "Nat Genet", "id" : "ITEM-1", "issue" : "5", "issued" : { "date-parts" : [ [ "2014" ] ] }, "page" : "498-502", "publisher" : "Nature Publishing Group", "title" : "Severe osteoarthritis of the hand associates with common variants within the ALDH1A2 gene and with rare variants at 1p31", "type" : "article-journal", "volume" : "46" }, "uris" : [ "http://www.mendeley.com/documents/?uuid=636bd5c6-2e5e-403c-8736-319fa32c1173" ] } ], "mendeley" : { "formattedCitation" : "&lt;sup&gt;11&lt;/sup&gt;", "plainTextFormattedCitation" : "11", "previouslyFormattedCitation" : "&lt;sup&gt;11&lt;/sup&gt;" }, "properties" : { "noteIndex" : 0 }, "schema" : "https://github.com/citation-style-language/schema/raw/master/csl-citation.json" }</w:instrText>
            </w:r>
            <w:r w:rsidR="008207FD">
              <w:rPr>
                <w:rFonts w:ascii="Calibri" w:eastAsia="Times New Roman" w:hAnsi="Calibri"/>
                <w:i/>
                <w:iCs/>
                <w:color w:val="000000"/>
                <w:sz w:val="20"/>
                <w:szCs w:val="20"/>
              </w:rPr>
              <w:fldChar w:fldCharType="separate"/>
            </w:r>
            <w:r w:rsidR="008207FD" w:rsidRPr="008207FD">
              <w:rPr>
                <w:rFonts w:ascii="Calibri" w:eastAsia="Times New Roman" w:hAnsi="Calibri"/>
                <w:iCs/>
                <w:noProof/>
                <w:color w:val="000000"/>
                <w:sz w:val="20"/>
                <w:szCs w:val="20"/>
                <w:vertAlign w:val="superscript"/>
              </w:rPr>
              <w:t>11</w:t>
            </w:r>
            <w:r w:rsidR="008207FD">
              <w:rPr>
                <w:rFonts w:ascii="Calibri" w:eastAsia="Times New Roman" w:hAnsi="Calibri"/>
                <w:i/>
                <w:iCs/>
                <w:color w:val="000000"/>
                <w:sz w:val="20"/>
                <w:szCs w:val="20"/>
              </w:rPr>
              <w:fldChar w:fldCharType="end"/>
            </w:r>
            <w:r w:rsidRPr="00FB703A">
              <w:rPr>
                <w:rFonts w:ascii="Calibri" w:eastAsia="Times New Roman" w:hAnsi="Calibri"/>
                <w:i/>
                <w:iCs/>
                <w:color w:val="000000"/>
                <w:sz w:val="20"/>
                <w:szCs w:val="20"/>
              </w:rPr>
              <w:t>.</w:t>
            </w:r>
            <w:r w:rsidRPr="00FB703A">
              <w:rPr>
                <w:rFonts w:ascii="Calibri" w:eastAsia="Times New Roman" w:hAnsi="Calibri"/>
                <w:color w:val="000000"/>
                <w:sz w:val="20"/>
                <w:szCs w:val="20"/>
              </w:rPr>
              <w:t xml:space="preserve"> </w:t>
            </w:r>
          </w:p>
        </w:tc>
        <w:tc>
          <w:tcPr>
            <w:tcW w:w="730" w:type="dxa"/>
            <w:tcBorders>
              <w:top w:val="nil"/>
              <w:left w:val="nil"/>
              <w:bottom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p>
        </w:tc>
        <w:tc>
          <w:tcPr>
            <w:tcW w:w="954" w:type="dxa"/>
            <w:tcBorders>
              <w:top w:val="nil"/>
              <w:left w:val="nil"/>
              <w:bottom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p>
        </w:tc>
        <w:tc>
          <w:tcPr>
            <w:tcW w:w="1065" w:type="dxa"/>
            <w:tcBorders>
              <w:top w:val="nil"/>
              <w:left w:val="nil"/>
              <w:bottom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p>
        </w:tc>
        <w:tc>
          <w:tcPr>
            <w:tcW w:w="762" w:type="dxa"/>
            <w:tcBorders>
              <w:top w:val="nil"/>
              <w:left w:val="nil"/>
              <w:bottom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p>
        </w:tc>
        <w:tc>
          <w:tcPr>
            <w:tcW w:w="994" w:type="dxa"/>
            <w:tcBorders>
              <w:top w:val="nil"/>
              <w:left w:val="nil"/>
              <w:bottom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p>
        </w:tc>
        <w:tc>
          <w:tcPr>
            <w:tcW w:w="692" w:type="dxa"/>
            <w:tcBorders>
              <w:top w:val="nil"/>
              <w:left w:val="nil"/>
              <w:bottom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p>
        </w:tc>
        <w:tc>
          <w:tcPr>
            <w:tcW w:w="877" w:type="dxa"/>
            <w:tcBorders>
              <w:top w:val="nil"/>
              <w:left w:val="nil"/>
              <w:bottom w:val="nil"/>
              <w:right w:val="nil"/>
            </w:tcBorders>
            <w:shd w:val="clear" w:color="auto" w:fill="auto"/>
            <w:noWrap/>
            <w:vAlign w:val="bottom"/>
            <w:hideMark/>
          </w:tcPr>
          <w:p w:rsidR="00FB703A" w:rsidRPr="00FB703A" w:rsidRDefault="00FB703A" w:rsidP="00FB703A">
            <w:pPr>
              <w:rPr>
                <w:rFonts w:ascii="Calibri" w:eastAsia="Times New Roman" w:hAnsi="Calibri"/>
                <w:color w:val="000000"/>
                <w:sz w:val="20"/>
                <w:szCs w:val="20"/>
              </w:rPr>
            </w:pPr>
          </w:p>
        </w:tc>
      </w:tr>
    </w:tbl>
    <w:p w:rsidR="00FB703A" w:rsidRDefault="00FB703A" w:rsidP="0022517C">
      <w:pPr>
        <w:spacing w:after="200" w:line="276" w:lineRule="auto"/>
        <w:rPr>
          <w:rFonts w:ascii="Calibri" w:eastAsia="Times New Roman" w:hAnsi="Calibri"/>
          <w:color w:val="000000"/>
          <w:sz w:val="20"/>
          <w:szCs w:val="22"/>
        </w:rPr>
        <w:sectPr w:rsidR="00FB703A" w:rsidSect="00FB703A">
          <w:pgSz w:w="15840" w:h="12240" w:orient="landscape"/>
          <w:pgMar w:top="1440" w:right="1440" w:bottom="1440" w:left="1440" w:header="708" w:footer="708" w:gutter="0"/>
          <w:cols w:space="708"/>
          <w:docGrid w:linePitch="360"/>
        </w:sectPr>
      </w:pPr>
    </w:p>
    <w:p w:rsidR="00B91903" w:rsidRPr="000E4A75" w:rsidRDefault="008207FD" w:rsidP="00341287">
      <w:pPr>
        <w:spacing w:after="200" w:line="276" w:lineRule="auto"/>
        <w:rPr>
          <w:rFonts w:asciiTheme="minorHAnsi" w:hAnsiTheme="minorHAnsi"/>
          <w:sz w:val="18"/>
          <w:szCs w:val="16"/>
        </w:rPr>
      </w:pPr>
      <w:r>
        <w:rPr>
          <w:rFonts w:asciiTheme="minorHAnsi" w:hAnsiTheme="minorHAnsi"/>
          <w:b/>
          <w:sz w:val="22"/>
          <w:szCs w:val="22"/>
        </w:rPr>
        <w:lastRenderedPageBreak/>
        <w:t>References</w:t>
      </w:r>
    </w:p>
    <w:p w:rsidR="000E4A75" w:rsidRPr="000E4A75" w:rsidRDefault="000E4A75" w:rsidP="000E4A75">
      <w:pPr>
        <w:widowControl w:val="0"/>
        <w:autoSpaceDE w:val="0"/>
        <w:autoSpaceDN w:val="0"/>
        <w:adjustRightInd w:val="0"/>
        <w:spacing w:after="200"/>
        <w:ind w:left="640" w:hanging="640"/>
        <w:rPr>
          <w:rFonts w:ascii="Calibri" w:hAnsi="Calibri"/>
          <w:noProof/>
          <w:sz w:val="22"/>
        </w:rPr>
      </w:pPr>
      <w:r>
        <w:rPr>
          <w:rFonts w:asciiTheme="minorHAnsi" w:hAnsiTheme="minorHAnsi"/>
          <w:b/>
          <w:sz w:val="22"/>
          <w:szCs w:val="22"/>
        </w:rPr>
        <w:fldChar w:fldCharType="begin" w:fldLock="1"/>
      </w:r>
      <w:r>
        <w:rPr>
          <w:rFonts w:asciiTheme="minorHAnsi" w:hAnsiTheme="minorHAnsi"/>
          <w:b/>
          <w:sz w:val="22"/>
          <w:szCs w:val="22"/>
        </w:rPr>
        <w:instrText xml:space="preserve">ADDIN Mendeley Bibliography CSL_BIBLIOGRAPHY </w:instrText>
      </w:r>
      <w:r>
        <w:rPr>
          <w:rFonts w:asciiTheme="minorHAnsi" w:hAnsiTheme="minorHAnsi"/>
          <w:b/>
          <w:sz w:val="22"/>
          <w:szCs w:val="22"/>
        </w:rPr>
        <w:fldChar w:fldCharType="separate"/>
      </w:r>
      <w:r w:rsidRPr="000E4A75">
        <w:rPr>
          <w:rFonts w:ascii="Calibri" w:hAnsi="Calibri"/>
          <w:noProof/>
          <w:sz w:val="22"/>
        </w:rPr>
        <w:t>1.</w:t>
      </w:r>
      <w:r w:rsidRPr="000E4A75">
        <w:rPr>
          <w:rFonts w:ascii="Calibri" w:hAnsi="Calibri"/>
          <w:noProof/>
          <w:sz w:val="22"/>
        </w:rPr>
        <w:tab/>
        <w:t xml:space="preserve">Hofman, A. </w:t>
      </w:r>
      <w:r w:rsidRPr="000E4A75">
        <w:rPr>
          <w:rFonts w:ascii="Calibri" w:hAnsi="Calibri"/>
          <w:i/>
          <w:iCs/>
          <w:noProof/>
          <w:sz w:val="22"/>
        </w:rPr>
        <w:t>et al.</w:t>
      </w:r>
      <w:r w:rsidRPr="000E4A75">
        <w:rPr>
          <w:rFonts w:ascii="Calibri" w:hAnsi="Calibri"/>
          <w:noProof/>
          <w:sz w:val="22"/>
        </w:rPr>
        <w:t xml:space="preserve"> The Rotterdam Study: 2016 objectives and design update. </w:t>
      </w:r>
      <w:r w:rsidRPr="000E4A75">
        <w:rPr>
          <w:rFonts w:ascii="Calibri" w:hAnsi="Calibri"/>
          <w:i/>
          <w:iCs/>
          <w:noProof/>
          <w:sz w:val="22"/>
        </w:rPr>
        <w:t>Eur. J. Epidemiol.</w:t>
      </w:r>
      <w:r w:rsidRPr="000E4A75">
        <w:rPr>
          <w:rFonts w:ascii="Calibri" w:hAnsi="Calibri"/>
          <w:noProof/>
          <w:sz w:val="22"/>
        </w:rPr>
        <w:t xml:space="preserve"> </w:t>
      </w:r>
      <w:r w:rsidRPr="000E4A75">
        <w:rPr>
          <w:rFonts w:ascii="Calibri" w:hAnsi="Calibri"/>
          <w:b/>
          <w:bCs/>
          <w:noProof/>
          <w:sz w:val="22"/>
        </w:rPr>
        <w:t>30,</w:t>
      </w:r>
      <w:r w:rsidRPr="000E4A75">
        <w:rPr>
          <w:rFonts w:ascii="Calibri" w:hAnsi="Calibri"/>
          <w:noProof/>
          <w:sz w:val="22"/>
        </w:rPr>
        <w:t xml:space="preserve"> 661–708 (2015).</w:t>
      </w:r>
    </w:p>
    <w:p w:rsidR="000E4A75" w:rsidRPr="000E4A75" w:rsidRDefault="000E4A75" w:rsidP="000E4A75">
      <w:pPr>
        <w:widowControl w:val="0"/>
        <w:autoSpaceDE w:val="0"/>
        <w:autoSpaceDN w:val="0"/>
        <w:adjustRightInd w:val="0"/>
        <w:spacing w:after="200"/>
        <w:ind w:left="640" w:hanging="640"/>
        <w:rPr>
          <w:rFonts w:ascii="Calibri" w:hAnsi="Calibri"/>
          <w:noProof/>
          <w:sz w:val="22"/>
        </w:rPr>
      </w:pPr>
      <w:r w:rsidRPr="000E4A75">
        <w:rPr>
          <w:rFonts w:ascii="Calibri" w:hAnsi="Calibri"/>
          <w:noProof/>
          <w:sz w:val="22"/>
        </w:rPr>
        <w:t>2.</w:t>
      </w:r>
      <w:r w:rsidRPr="000E4A75">
        <w:rPr>
          <w:rFonts w:ascii="Calibri" w:hAnsi="Calibri"/>
          <w:noProof/>
          <w:sz w:val="22"/>
        </w:rPr>
        <w:tab/>
        <w:t xml:space="preserve">Estrada, K. </w:t>
      </w:r>
      <w:r w:rsidRPr="000E4A75">
        <w:rPr>
          <w:rFonts w:ascii="Calibri" w:hAnsi="Calibri"/>
          <w:i/>
          <w:iCs/>
          <w:noProof/>
          <w:sz w:val="22"/>
        </w:rPr>
        <w:t>et al.</w:t>
      </w:r>
      <w:r w:rsidRPr="000E4A75">
        <w:rPr>
          <w:rFonts w:ascii="Calibri" w:hAnsi="Calibri"/>
          <w:noProof/>
          <w:sz w:val="22"/>
        </w:rPr>
        <w:t xml:space="preserve"> GRIMP: A web- and grid-based tool for high-speed analysis of large-scale genome-wide association using imputed data. </w:t>
      </w:r>
      <w:r w:rsidRPr="000E4A75">
        <w:rPr>
          <w:rFonts w:ascii="Calibri" w:hAnsi="Calibri"/>
          <w:i/>
          <w:iCs/>
          <w:noProof/>
          <w:sz w:val="22"/>
        </w:rPr>
        <w:t>Bioinformatics</w:t>
      </w:r>
      <w:r w:rsidRPr="000E4A75">
        <w:rPr>
          <w:rFonts w:ascii="Calibri" w:hAnsi="Calibri"/>
          <w:noProof/>
          <w:sz w:val="22"/>
        </w:rPr>
        <w:t xml:space="preserve"> </w:t>
      </w:r>
      <w:r w:rsidRPr="000E4A75">
        <w:rPr>
          <w:rFonts w:ascii="Calibri" w:hAnsi="Calibri"/>
          <w:b/>
          <w:bCs/>
          <w:noProof/>
          <w:sz w:val="22"/>
        </w:rPr>
        <w:t>25,</w:t>
      </w:r>
      <w:r w:rsidRPr="000E4A75">
        <w:rPr>
          <w:rFonts w:ascii="Calibri" w:hAnsi="Calibri"/>
          <w:noProof/>
          <w:sz w:val="22"/>
        </w:rPr>
        <w:t xml:space="preserve"> 2750–2752 (2009).</w:t>
      </w:r>
    </w:p>
    <w:p w:rsidR="000E4A75" w:rsidRPr="000E4A75" w:rsidRDefault="000E4A75" w:rsidP="000E4A75">
      <w:pPr>
        <w:widowControl w:val="0"/>
        <w:autoSpaceDE w:val="0"/>
        <w:autoSpaceDN w:val="0"/>
        <w:adjustRightInd w:val="0"/>
        <w:spacing w:after="200"/>
        <w:ind w:left="640" w:hanging="640"/>
        <w:rPr>
          <w:rFonts w:ascii="Calibri" w:hAnsi="Calibri"/>
          <w:noProof/>
          <w:sz w:val="22"/>
        </w:rPr>
      </w:pPr>
      <w:r w:rsidRPr="000E4A75">
        <w:rPr>
          <w:rFonts w:ascii="Calibri" w:hAnsi="Calibri"/>
          <w:noProof/>
          <w:sz w:val="22"/>
        </w:rPr>
        <w:t>3.</w:t>
      </w:r>
      <w:r w:rsidRPr="000E4A75">
        <w:rPr>
          <w:rFonts w:ascii="Calibri" w:hAnsi="Calibri"/>
          <w:noProof/>
          <w:sz w:val="22"/>
        </w:rPr>
        <w:tab/>
        <w:t xml:space="preserve">Willer, C. J., Li, Y. &amp; Abecasis, G. R. METAL: Fast and efficient meta-analysis of genomewide association scans. </w:t>
      </w:r>
      <w:r w:rsidRPr="000E4A75">
        <w:rPr>
          <w:rFonts w:ascii="Calibri" w:hAnsi="Calibri"/>
          <w:i/>
          <w:iCs/>
          <w:noProof/>
          <w:sz w:val="22"/>
        </w:rPr>
        <w:t>Bioinformatics</w:t>
      </w:r>
      <w:r w:rsidRPr="000E4A75">
        <w:rPr>
          <w:rFonts w:ascii="Calibri" w:hAnsi="Calibri"/>
          <w:noProof/>
          <w:sz w:val="22"/>
        </w:rPr>
        <w:t xml:space="preserve"> </w:t>
      </w:r>
      <w:r w:rsidRPr="000E4A75">
        <w:rPr>
          <w:rFonts w:ascii="Calibri" w:hAnsi="Calibri"/>
          <w:b/>
          <w:bCs/>
          <w:noProof/>
          <w:sz w:val="22"/>
        </w:rPr>
        <w:t>26,</w:t>
      </w:r>
      <w:r w:rsidRPr="000E4A75">
        <w:rPr>
          <w:rFonts w:ascii="Calibri" w:hAnsi="Calibri"/>
          <w:noProof/>
          <w:sz w:val="22"/>
        </w:rPr>
        <w:t xml:space="preserve"> 2190–2191 (2010).</w:t>
      </w:r>
    </w:p>
    <w:p w:rsidR="000E4A75" w:rsidRPr="000E4A75" w:rsidRDefault="000E4A75" w:rsidP="000E4A75">
      <w:pPr>
        <w:widowControl w:val="0"/>
        <w:autoSpaceDE w:val="0"/>
        <w:autoSpaceDN w:val="0"/>
        <w:adjustRightInd w:val="0"/>
        <w:spacing w:after="200"/>
        <w:ind w:left="640" w:hanging="640"/>
        <w:rPr>
          <w:rFonts w:ascii="Calibri" w:hAnsi="Calibri"/>
          <w:noProof/>
          <w:sz w:val="22"/>
        </w:rPr>
      </w:pPr>
      <w:r w:rsidRPr="000E4A75">
        <w:rPr>
          <w:rFonts w:ascii="Calibri" w:hAnsi="Calibri"/>
          <w:noProof/>
          <w:sz w:val="22"/>
        </w:rPr>
        <w:t>4.</w:t>
      </w:r>
      <w:r w:rsidRPr="000E4A75">
        <w:rPr>
          <w:rFonts w:ascii="Calibri" w:hAnsi="Calibri"/>
          <w:noProof/>
          <w:sz w:val="22"/>
        </w:rPr>
        <w:tab/>
        <w:t xml:space="preserve">Riyazi, N. </w:t>
      </w:r>
      <w:r w:rsidRPr="000E4A75">
        <w:rPr>
          <w:rFonts w:ascii="Calibri" w:hAnsi="Calibri"/>
          <w:i/>
          <w:iCs/>
          <w:noProof/>
          <w:sz w:val="22"/>
        </w:rPr>
        <w:t>et al.</w:t>
      </w:r>
      <w:r w:rsidRPr="000E4A75">
        <w:rPr>
          <w:rFonts w:ascii="Calibri" w:hAnsi="Calibri"/>
          <w:noProof/>
          <w:sz w:val="22"/>
        </w:rPr>
        <w:t xml:space="preserve"> Evidence for familial aggregation of hand, hip, and spine but not knee osteoarthritis in siblings with multiple joint involvement: the GARP study. </w:t>
      </w:r>
      <w:r w:rsidRPr="000E4A75">
        <w:rPr>
          <w:rFonts w:ascii="Calibri" w:hAnsi="Calibri"/>
          <w:i/>
          <w:iCs/>
          <w:noProof/>
          <w:sz w:val="22"/>
        </w:rPr>
        <w:t>Ann. Rheum. Dis.</w:t>
      </w:r>
      <w:r w:rsidRPr="000E4A75">
        <w:rPr>
          <w:rFonts w:ascii="Calibri" w:hAnsi="Calibri"/>
          <w:noProof/>
          <w:sz w:val="22"/>
        </w:rPr>
        <w:t xml:space="preserve"> </w:t>
      </w:r>
      <w:r w:rsidRPr="000E4A75">
        <w:rPr>
          <w:rFonts w:ascii="Calibri" w:hAnsi="Calibri"/>
          <w:b/>
          <w:bCs/>
          <w:noProof/>
          <w:sz w:val="22"/>
        </w:rPr>
        <w:t>64,</w:t>
      </w:r>
      <w:r w:rsidRPr="000E4A75">
        <w:rPr>
          <w:rFonts w:ascii="Calibri" w:hAnsi="Calibri"/>
          <w:noProof/>
          <w:sz w:val="22"/>
        </w:rPr>
        <w:t xml:space="preserve"> 438–43 (2005).</w:t>
      </w:r>
    </w:p>
    <w:p w:rsidR="000E4A75" w:rsidRPr="000E4A75" w:rsidRDefault="000E4A75" w:rsidP="000E4A75">
      <w:pPr>
        <w:widowControl w:val="0"/>
        <w:autoSpaceDE w:val="0"/>
        <w:autoSpaceDN w:val="0"/>
        <w:adjustRightInd w:val="0"/>
        <w:spacing w:after="200"/>
        <w:ind w:left="640" w:hanging="640"/>
        <w:rPr>
          <w:rFonts w:ascii="Calibri" w:hAnsi="Calibri"/>
          <w:noProof/>
          <w:sz w:val="22"/>
        </w:rPr>
      </w:pPr>
      <w:r w:rsidRPr="000E4A75">
        <w:rPr>
          <w:rFonts w:ascii="Calibri" w:hAnsi="Calibri"/>
          <w:noProof/>
          <w:sz w:val="22"/>
        </w:rPr>
        <w:t>5.</w:t>
      </w:r>
      <w:r w:rsidRPr="000E4A75">
        <w:rPr>
          <w:rFonts w:ascii="Calibri" w:hAnsi="Calibri"/>
          <w:noProof/>
          <w:sz w:val="22"/>
        </w:rPr>
        <w:tab/>
        <w:t xml:space="preserve">Schoenmaker, M. </w:t>
      </w:r>
      <w:r w:rsidRPr="000E4A75">
        <w:rPr>
          <w:rFonts w:ascii="Calibri" w:hAnsi="Calibri"/>
          <w:i/>
          <w:iCs/>
          <w:noProof/>
          <w:sz w:val="22"/>
        </w:rPr>
        <w:t>et al.</w:t>
      </w:r>
      <w:r w:rsidRPr="000E4A75">
        <w:rPr>
          <w:rFonts w:ascii="Calibri" w:hAnsi="Calibri"/>
          <w:noProof/>
          <w:sz w:val="22"/>
        </w:rPr>
        <w:t xml:space="preserve"> Evidence of genetic enrichment for exceptional survival using a family approach: the Leiden Longevity Study. </w:t>
      </w:r>
      <w:r w:rsidRPr="000E4A75">
        <w:rPr>
          <w:rFonts w:ascii="Calibri" w:hAnsi="Calibri"/>
          <w:i/>
          <w:iCs/>
          <w:noProof/>
          <w:sz w:val="22"/>
        </w:rPr>
        <w:t>Eur. J. Hum. Genet.</w:t>
      </w:r>
      <w:r w:rsidRPr="000E4A75">
        <w:rPr>
          <w:rFonts w:ascii="Calibri" w:hAnsi="Calibri"/>
          <w:noProof/>
          <w:sz w:val="22"/>
        </w:rPr>
        <w:t xml:space="preserve"> (2005). doi:10.1038/sj.ejhg.5201508</w:t>
      </w:r>
    </w:p>
    <w:p w:rsidR="000E4A75" w:rsidRPr="000E4A75" w:rsidRDefault="000E4A75" w:rsidP="000E4A75">
      <w:pPr>
        <w:widowControl w:val="0"/>
        <w:autoSpaceDE w:val="0"/>
        <w:autoSpaceDN w:val="0"/>
        <w:adjustRightInd w:val="0"/>
        <w:spacing w:after="200"/>
        <w:ind w:left="640" w:hanging="640"/>
        <w:rPr>
          <w:rFonts w:ascii="Calibri" w:hAnsi="Calibri"/>
          <w:noProof/>
          <w:sz w:val="22"/>
        </w:rPr>
      </w:pPr>
      <w:r w:rsidRPr="000E4A75">
        <w:rPr>
          <w:rFonts w:ascii="Calibri" w:hAnsi="Calibri"/>
          <w:noProof/>
          <w:sz w:val="22"/>
        </w:rPr>
        <w:t>6.</w:t>
      </w:r>
      <w:r w:rsidRPr="000E4A75">
        <w:rPr>
          <w:rFonts w:ascii="Calibri" w:hAnsi="Calibri"/>
          <w:noProof/>
          <w:sz w:val="22"/>
        </w:rPr>
        <w:tab/>
        <w:t xml:space="preserve">Moayyeri, A., Hammond, C. J., Valdes, A. M. &amp; Spector, T. D. Cohort Profile: TwinsUK and healthy ageing twin study. </w:t>
      </w:r>
      <w:r w:rsidRPr="000E4A75">
        <w:rPr>
          <w:rFonts w:ascii="Calibri" w:hAnsi="Calibri"/>
          <w:i/>
          <w:iCs/>
          <w:noProof/>
          <w:sz w:val="22"/>
        </w:rPr>
        <w:t>Int. J. Epidemiol.</w:t>
      </w:r>
      <w:r w:rsidRPr="000E4A75">
        <w:rPr>
          <w:rFonts w:ascii="Calibri" w:hAnsi="Calibri"/>
          <w:noProof/>
          <w:sz w:val="22"/>
        </w:rPr>
        <w:t xml:space="preserve"> </w:t>
      </w:r>
      <w:r w:rsidRPr="000E4A75">
        <w:rPr>
          <w:rFonts w:ascii="Calibri" w:hAnsi="Calibri"/>
          <w:b/>
          <w:bCs/>
          <w:noProof/>
          <w:sz w:val="22"/>
        </w:rPr>
        <w:t>42,</w:t>
      </w:r>
      <w:r w:rsidRPr="000E4A75">
        <w:rPr>
          <w:rFonts w:ascii="Calibri" w:hAnsi="Calibri"/>
          <w:noProof/>
          <w:sz w:val="22"/>
        </w:rPr>
        <w:t xml:space="preserve"> 76–85 (2013).</w:t>
      </w:r>
    </w:p>
    <w:p w:rsidR="000E4A75" w:rsidRPr="000E4A75" w:rsidRDefault="000E4A75" w:rsidP="000E4A75">
      <w:pPr>
        <w:widowControl w:val="0"/>
        <w:autoSpaceDE w:val="0"/>
        <w:autoSpaceDN w:val="0"/>
        <w:adjustRightInd w:val="0"/>
        <w:spacing w:after="200"/>
        <w:ind w:left="640" w:hanging="640"/>
        <w:rPr>
          <w:rFonts w:ascii="Calibri" w:hAnsi="Calibri"/>
          <w:noProof/>
          <w:sz w:val="22"/>
        </w:rPr>
      </w:pPr>
      <w:r w:rsidRPr="000E4A75">
        <w:rPr>
          <w:rFonts w:ascii="Calibri" w:hAnsi="Calibri"/>
          <w:noProof/>
          <w:sz w:val="22"/>
        </w:rPr>
        <w:t>7.</w:t>
      </w:r>
      <w:r w:rsidRPr="000E4A75">
        <w:rPr>
          <w:rFonts w:ascii="Calibri" w:hAnsi="Calibri"/>
          <w:noProof/>
          <w:sz w:val="22"/>
        </w:rPr>
        <w:tab/>
        <w:t xml:space="preserve">Dawber, T. R., Meadors, G. F. &amp; Moore, F. E. Epidemiological approaches to heart disease: the Framingham Study. </w:t>
      </w:r>
      <w:r w:rsidRPr="000E4A75">
        <w:rPr>
          <w:rFonts w:ascii="Calibri" w:hAnsi="Calibri"/>
          <w:i/>
          <w:iCs/>
          <w:noProof/>
          <w:sz w:val="22"/>
        </w:rPr>
        <w:t>Am. J. Public Health</w:t>
      </w:r>
      <w:r w:rsidRPr="000E4A75">
        <w:rPr>
          <w:rFonts w:ascii="Calibri" w:hAnsi="Calibri"/>
          <w:noProof/>
          <w:sz w:val="22"/>
        </w:rPr>
        <w:t xml:space="preserve"> </w:t>
      </w:r>
      <w:r w:rsidRPr="000E4A75">
        <w:rPr>
          <w:rFonts w:ascii="Calibri" w:hAnsi="Calibri"/>
          <w:b/>
          <w:bCs/>
          <w:noProof/>
          <w:sz w:val="22"/>
        </w:rPr>
        <w:t>41,</w:t>
      </w:r>
      <w:r w:rsidRPr="000E4A75">
        <w:rPr>
          <w:rFonts w:ascii="Calibri" w:hAnsi="Calibri"/>
          <w:noProof/>
          <w:sz w:val="22"/>
        </w:rPr>
        <w:t xml:space="preserve"> 279–281 (1951).</w:t>
      </w:r>
    </w:p>
    <w:p w:rsidR="000E4A75" w:rsidRPr="000E4A75" w:rsidRDefault="000E4A75" w:rsidP="000E4A75">
      <w:pPr>
        <w:widowControl w:val="0"/>
        <w:autoSpaceDE w:val="0"/>
        <w:autoSpaceDN w:val="0"/>
        <w:adjustRightInd w:val="0"/>
        <w:spacing w:after="200"/>
        <w:ind w:left="640" w:hanging="640"/>
        <w:rPr>
          <w:rFonts w:ascii="Calibri" w:hAnsi="Calibri"/>
          <w:noProof/>
          <w:sz w:val="22"/>
        </w:rPr>
      </w:pPr>
      <w:r w:rsidRPr="000E4A75">
        <w:rPr>
          <w:rFonts w:ascii="Calibri" w:hAnsi="Calibri"/>
          <w:noProof/>
          <w:sz w:val="22"/>
        </w:rPr>
        <w:t>8.</w:t>
      </w:r>
      <w:r w:rsidRPr="000E4A75">
        <w:rPr>
          <w:rFonts w:ascii="Calibri" w:hAnsi="Calibri"/>
          <w:noProof/>
          <w:sz w:val="22"/>
        </w:rPr>
        <w:tab/>
        <w:t xml:space="preserve">Kannel, W. B., Feinleib, M., McNamara, P. M., Garrison, R. J. &amp; Castelli, W. P. An investigation of coronary heart disease in families. The Framingham offspring study. </w:t>
      </w:r>
      <w:r w:rsidRPr="000E4A75">
        <w:rPr>
          <w:rFonts w:ascii="Calibri" w:hAnsi="Calibri"/>
          <w:i/>
          <w:iCs/>
          <w:noProof/>
          <w:sz w:val="22"/>
        </w:rPr>
        <w:t>Am. J. Epidemiol.</w:t>
      </w:r>
      <w:r w:rsidRPr="000E4A75">
        <w:rPr>
          <w:rFonts w:ascii="Calibri" w:hAnsi="Calibri"/>
          <w:noProof/>
          <w:sz w:val="22"/>
        </w:rPr>
        <w:t xml:space="preserve"> </w:t>
      </w:r>
      <w:r w:rsidRPr="000E4A75">
        <w:rPr>
          <w:rFonts w:ascii="Calibri" w:hAnsi="Calibri"/>
          <w:b/>
          <w:bCs/>
          <w:noProof/>
          <w:sz w:val="22"/>
        </w:rPr>
        <w:t>110,</w:t>
      </w:r>
      <w:r w:rsidRPr="000E4A75">
        <w:rPr>
          <w:rFonts w:ascii="Calibri" w:hAnsi="Calibri"/>
          <w:noProof/>
          <w:sz w:val="22"/>
        </w:rPr>
        <w:t xml:space="preserve"> 281–90 (1979).</w:t>
      </w:r>
    </w:p>
    <w:p w:rsidR="000E4A75" w:rsidRPr="000E4A75" w:rsidRDefault="000E4A75" w:rsidP="000E4A75">
      <w:pPr>
        <w:widowControl w:val="0"/>
        <w:autoSpaceDE w:val="0"/>
        <w:autoSpaceDN w:val="0"/>
        <w:adjustRightInd w:val="0"/>
        <w:spacing w:after="200"/>
        <w:ind w:left="640" w:hanging="640"/>
        <w:rPr>
          <w:rFonts w:ascii="Calibri" w:hAnsi="Calibri"/>
          <w:noProof/>
          <w:sz w:val="22"/>
        </w:rPr>
      </w:pPr>
      <w:r w:rsidRPr="000E4A75">
        <w:rPr>
          <w:rFonts w:ascii="Calibri" w:hAnsi="Calibri"/>
          <w:noProof/>
          <w:sz w:val="22"/>
        </w:rPr>
        <w:t>9.</w:t>
      </w:r>
      <w:r w:rsidRPr="000E4A75">
        <w:rPr>
          <w:rFonts w:ascii="Calibri" w:hAnsi="Calibri"/>
          <w:noProof/>
          <w:sz w:val="22"/>
        </w:rPr>
        <w:tab/>
        <w:t xml:space="preserve">Haugen, I. K. </w:t>
      </w:r>
      <w:r w:rsidRPr="000E4A75">
        <w:rPr>
          <w:rFonts w:ascii="Calibri" w:hAnsi="Calibri"/>
          <w:i/>
          <w:iCs/>
          <w:noProof/>
          <w:sz w:val="22"/>
        </w:rPr>
        <w:t>et al.</w:t>
      </w:r>
      <w:r w:rsidRPr="000E4A75">
        <w:rPr>
          <w:rFonts w:ascii="Calibri" w:hAnsi="Calibri"/>
          <w:noProof/>
          <w:sz w:val="22"/>
        </w:rPr>
        <w:t xml:space="preserve"> Prevalence, incidence and progression of hand osteoarthritis in the general population: the Framingham Osteoarthritis Study. </w:t>
      </w:r>
      <w:r w:rsidRPr="000E4A75">
        <w:rPr>
          <w:rFonts w:ascii="Calibri" w:hAnsi="Calibri"/>
          <w:i/>
          <w:iCs/>
          <w:noProof/>
          <w:sz w:val="22"/>
        </w:rPr>
        <w:t>Ann. Rheum. Dis.</w:t>
      </w:r>
      <w:r w:rsidRPr="000E4A75">
        <w:rPr>
          <w:rFonts w:ascii="Calibri" w:hAnsi="Calibri"/>
          <w:noProof/>
          <w:sz w:val="22"/>
        </w:rPr>
        <w:t xml:space="preserve"> </w:t>
      </w:r>
      <w:r w:rsidRPr="000E4A75">
        <w:rPr>
          <w:rFonts w:ascii="Calibri" w:hAnsi="Calibri"/>
          <w:b/>
          <w:bCs/>
          <w:noProof/>
          <w:sz w:val="22"/>
        </w:rPr>
        <w:t>70,</w:t>
      </w:r>
      <w:r w:rsidRPr="000E4A75">
        <w:rPr>
          <w:rFonts w:ascii="Calibri" w:hAnsi="Calibri"/>
          <w:noProof/>
          <w:sz w:val="22"/>
        </w:rPr>
        <w:t xml:space="preserve"> 1581–1586 (2011).</w:t>
      </w:r>
    </w:p>
    <w:p w:rsidR="000E4A75" w:rsidRPr="000E4A75" w:rsidRDefault="000E4A75" w:rsidP="000E4A75">
      <w:pPr>
        <w:widowControl w:val="0"/>
        <w:autoSpaceDE w:val="0"/>
        <w:autoSpaceDN w:val="0"/>
        <w:adjustRightInd w:val="0"/>
        <w:spacing w:after="200"/>
        <w:ind w:left="640" w:hanging="640"/>
        <w:rPr>
          <w:rFonts w:ascii="Calibri" w:hAnsi="Calibri"/>
          <w:noProof/>
          <w:sz w:val="22"/>
        </w:rPr>
      </w:pPr>
      <w:r w:rsidRPr="000E4A75">
        <w:rPr>
          <w:rFonts w:ascii="Calibri" w:hAnsi="Calibri"/>
          <w:noProof/>
          <w:sz w:val="22"/>
        </w:rPr>
        <w:t>10.</w:t>
      </w:r>
      <w:r w:rsidRPr="000E4A75">
        <w:rPr>
          <w:rFonts w:ascii="Calibri" w:hAnsi="Calibri"/>
          <w:noProof/>
          <w:sz w:val="22"/>
        </w:rPr>
        <w:tab/>
        <w:t xml:space="preserve">Kellgren, J. H. &amp; Lawrence, J. S. Radiological Assessment of Osteo-Arthrosis. </w:t>
      </w:r>
      <w:r w:rsidRPr="000E4A75">
        <w:rPr>
          <w:rFonts w:ascii="Calibri" w:hAnsi="Calibri"/>
          <w:i/>
          <w:iCs/>
          <w:noProof/>
          <w:sz w:val="22"/>
        </w:rPr>
        <w:t>Ann. Rheum. Dis.</w:t>
      </w:r>
      <w:r w:rsidRPr="000E4A75">
        <w:rPr>
          <w:rFonts w:ascii="Calibri" w:hAnsi="Calibri"/>
          <w:noProof/>
          <w:sz w:val="22"/>
        </w:rPr>
        <w:t xml:space="preserve"> </w:t>
      </w:r>
      <w:r w:rsidRPr="000E4A75">
        <w:rPr>
          <w:rFonts w:ascii="Calibri" w:hAnsi="Calibri"/>
          <w:b/>
          <w:bCs/>
          <w:noProof/>
          <w:sz w:val="22"/>
        </w:rPr>
        <w:t>16,</w:t>
      </w:r>
      <w:r w:rsidRPr="000E4A75">
        <w:rPr>
          <w:rFonts w:ascii="Calibri" w:hAnsi="Calibri"/>
          <w:noProof/>
          <w:sz w:val="22"/>
        </w:rPr>
        <w:t xml:space="preserve"> 494–502 (1957).</w:t>
      </w:r>
    </w:p>
    <w:p w:rsidR="000E4A75" w:rsidRPr="000E4A75" w:rsidRDefault="000E4A75" w:rsidP="000E4A75">
      <w:pPr>
        <w:widowControl w:val="0"/>
        <w:autoSpaceDE w:val="0"/>
        <w:autoSpaceDN w:val="0"/>
        <w:adjustRightInd w:val="0"/>
        <w:spacing w:after="200"/>
        <w:ind w:left="640" w:hanging="640"/>
        <w:rPr>
          <w:rFonts w:ascii="Calibri" w:hAnsi="Calibri"/>
          <w:noProof/>
          <w:sz w:val="22"/>
        </w:rPr>
      </w:pPr>
      <w:r w:rsidRPr="000E4A75">
        <w:rPr>
          <w:rFonts w:ascii="Calibri" w:hAnsi="Calibri"/>
          <w:noProof/>
          <w:sz w:val="22"/>
        </w:rPr>
        <w:t>11.</w:t>
      </w:r>
      <w:r w:rsidRPr="000E4A75">
        <w:rPr>
          <w:rFonts w:ascii="Calibri" w:hAnsi="Calibri"/>
          <w:noProof/>
          <w:sz w:val="22"/>
        </w:rPr>
        <w:tab/>
        <w:t xml:space="preserve">Styrkarsdottir, U. </w:t>
      </w:r>
      <w:r w:rsidRPr="000E4A75">
        <w:rPr>
          <w:rFonts w:ascii="Calibri" w:hAnsi="Calibri"/>
          <w:i/>
          <w:iCs/>
          <w:noProof/>
          <w:sz w:val="22"/>
        </w:rPr>
        <w:t>et al.</w:t>
      </w:r>
      <w:r w:rsidRPr="000E4A75">
        <w:rPr>
          <w:rFonts w:ascii="Calibri" w:hAnsi="Calibri"/>
          <w:noProof/>
          <w:sz w:val="22"/>
        </w:rPr>
        <w:t xml:space="preserve"> Severe osteoarthritis of the hand associates with common variants within the ALDH1A2 gene and with rare variants at 1p31. </w:t>
      </w:r>
      <w:r w:rsidRPr="000E4A75">
        <w:rPr>
          <w:rFonts w:ascii="Calibri" w:hAnsi="Calibri"/>
          <w:i/>
          <w:iCs/>
          <w:noProof/>
          <w:sz w:val="22"/>
        </w:rPr>
        <w:t>Nat Genet</w:t>
      </w:r>
      <w:r w:rsidRPr="000E4A75">
        <w:rPr>
          <w:rFonts w:ascii="Calibri" w:hAnsi="Calibri"/>
          <w:noProof/>
          <w:sz w:val="22"/>
        </w:rPr>
        <w:t xml:space="preserve"> </w:t>
      </w:r>
      <w:r w:rsidRPr="000E4A75">
        <w:rPr>
          <w:rFonts w:ascii="Calibri" w:hAnsi="Calibri"/>
          <w:b/>
          <w:bCs/>
          <w:noProof/>
          <w:sz w:val="22"/>
        </w:rPr>
        <w:t>46,</w:t>
      </w:r>
      <w:r w:rsidRPr="000E4A75">
        <w:rPr>
          <w:rFonts w:ascii="Calibri" w:hAnsi="Calibri"/>
          <w:noProof/>
          <w:sz w:val="22"/>
        </w:rPr>
        <w:t xml:space="preserve"> 498–502 (2014).</w:t>
      </w:r>
    </w:p>
    <w:p w:rsidR="000E4A75" w:rsidRPr="000E4A75" w:rsidRDefault="000E4A75" w:rsidP="000E4A75">
      <w:pPr>
        <w:widowControl w:val="0"/>
        <w:autoSpaceDE w:val="0"/>
        <w:autoSpaceDN w:val="0"/>
        <w:adjustRightInd w:val="0"/>
        <w:spacing w:after="200"/>
        <w:ind w:left="640" w:hanging="640"/>
        <w:rPr>
          <w:rFonts w:ascii="Calibri" w:hAnsi="Calibri"/>
          <w:noProof/>
          <w:sz w:val="22"/>
        </w:rPr>
      </w:pPr>
      <w:r w:rsidRPr="000E4A75">
        <w:rPr>
          <w:rFonts w:ascii="Calibri" w:hAnsi="Calibri"/>
          <w:noProof/>
          <w:sz w:val="22"/>
        </w:rPr>
        <w:t>12.</w:t>
      </w:r>
      <w:r w:rsidRPr="000E4A75">
        <w:rPr>
          <w:rFonts w:ascii="Calibri" w:hAnsi="Calibri"/>
          <w:noProof/>
          <w:sz w:val="22"/>
        </w:rPr>
        <w:tab/>
        <w:t xml:space="preserve">Castaño-Betancourt, M. C. </w:t>
      </w:r>
      <w:r w:rsidRPr="000E4A75">
        <w:rPr>
          <w:rFonts w:ascii="Calibri" w:hAnsi="Calibri"/>
          <w:i/>
          <w:iCs/>
          <w:noProof/>
          <w:sz w:val="22"/>
        </w:rPr>
        <w:t>et al.</w:t>
      </w:r>
      <w:r w:rsidRPr="000E4A75">
        <w:rPr>
          <w:rFonts w:ascii="Calibri" w:hAnsi="Calibri"/>
          <w:noProof/>
          <w:sz w:val="22"/>
        </w:rPr>
        <w:t xml:space="preserve"> Novel Genetic Variants for Cartilage Thickness and Hip Osteoarthritis. </w:t>
      </w:r>
      <w:r w:rsidRPr="000E4A75">
        <w:rPr>
          <w:rFonts w:ascii="Calibri" w:hAnsi="Calibri"/>
          <w:i/>
          <w:iCs/>
          <w:noProof/>
          <w:sz w:val="22"/>
        </w:rPr>
        <w:t>PLOS Genet.</w:t>
      </w:r>
      <w:r w:rsidRPr="000E4A75">
        <w:rPr>
          <w:rFonts w:ascii="Calibri" w:hAnsi="Calibri"/>
          <w:noProof/>
          <w:sz w:val="22"/>
        </w:rPr>
        <w:t xml:space="preserve"> </w:t>
      </w:r>
      <w:r w:rsidRPr="000E4A75">
        <w:rPr>
          <w:rFonts w:ascii="Calibri" w:hAnsi="Calibri"/>
          <w:b/>
          <w:bCs/>
          <w:noProof/>
          <w:sz w:val="22"/>
        </w:rPr>
        <w:t>12,</w:t>
      </w:r>
      <w:r w:rsidRPr="000E4A75">
        <w:rPr>
          <w:rFonts w:ascii="Calibri" w:hAnsi="Calibri"/>
          <w:noProof/>
          <w:sz w:val="22"/>
        </w:rPr>
        <w:t xml:space="preserve"> e1006260 (2016).</w:t>
      </w:r>
    </w:p>
    <w:p w:rsidR="000E4A75" w:rsidRPr="000E4A75" w:rsidRDefault="000E4A75" w:rsidP="000E4A75">
      <w:pPr>
        <w:widowControl w:val="0"/>
        <w:autoSpaceDE w:val="0"/>
        <w:autoSpaceDN w:val="0"/>
        <w:adjustRightInd w:val="0"/>
        <w:spacing w:after="200"/>
        <w:ind w:left="640" w:hanging="640"/>
        <w:rPr>
          <w:rFonts w:ascii="Calibri" w:hAnsi="Calibri"/>
          <w:noProof/>
          <w:sz w:val="22"/>
        </w:rPr>
      </w:pPr>
      <w:r w:rsidRPr="000E4A75">
        <w:rPr>
          <w:rFonts w:ascii="Calibri" w:hAnsi="Calibri"/>
          <w:noProof/>
          <w:sz w:val="22"/>
        </w:rPr>
        <w:t>13.</w:t>
      </w:r>
      <w:r w:rsidRPr="000E4A75">
        <w:rPr>
          <w:rFonts w:ascii="Calibri" w:hAnsi="Calibri"/>
          <w:noProof/>
          <w:sz w:val="22"/>
        </w:rPr>
        <w:tab/>
        <w:t xml:space="preserve">Kerkhof, H. J. M. </w:t>
      </w:r>
      <w:r w:rsidRPr="000E4A75">
        <w:rPr>
          <w:rFonts w:ascii="Calibri" w:hAnsi="Calibri"/>
          <w:i/>
          <w:iCs/>
          <w:noProof/>
          <w:sz w:val="22"/>
        </w:rPr>
        <w:t>et al.</w:t>
      </w:r>
      <w:r w:rsidRPr="000E4A75">
        <w:rPr>
          <w:rFonts w:ascii="Calibri" w:hAnsi="Calibri"/>
          <w:noProof/>
          <w:sz w:val="22"/>
        </w:rPr>
        <w:t xml:space="preserve"> Large-scale meta-analysis of interleukin-1 beta and interleukin-1 receptor antagonist polymorphisms on risk of radiographic hip and knee osteoarthritis and severity of knee osteoarthritis. </w:t>
      </w:r>
      <w:r w:rsidRPr="000E4A75">
        <w:rPr>
          <w:rFonts w:ascii="Calibri" w:hAnsi="Calibri"/>
          <w:i/>
          <w:iCs/>
          <w:noProof/>
          <w:sz w:val="22"/>
        </w:rPr>
        <w:t>Osteoarthr. Cartil.</w:t>
      </w:r>
      <w:r w:rsidRPr="000E4A75">
        <w:rPr>
          <w:rFonts w:ascii="Calibri" w:hAnsi="Calibri"/>
          <w:noProof/>
          <w:sz w:val="22"/>
        </w:rPr>
        <w:t xml:space="preserve"> </w:t>
      </w:r>
      <w:r w:rsidRPr="000E4A75">
        <w:rPr>
          <w:rFonts w:ascii="Calibri" w:hAnsi="Calibri"/>
          <w:b/>
          <w:bCs/>
          <w:noProof/>
          <w:sz w:val="22"/>
        </w:rPr>
        <w:t>19,</w:t>
      </w:r>
      <w:r w:rsidRPr="000E4A75">
        <w:rPr>
          <w:rFonts w:ascii="Calibri" w:hAnsi="Calibri"/>
          <w:noProof/>
          <w:sz w:val="22"/>
        </w:rPr>
        <w:t xml:space="preserve"> 265–71 (2011).</w:t>
      </w:r>
    </w:p>
    <w:p w:rsidR="00B8014A" w:rsidRDefault="000E4A75" w:rsidP="000E3A74">
      <w:pPr>
        <w:widowControl w:val="0"/>
        <w:autoSpaceDE w:val="0"/>
        <w:autoSpaceDN w:val="0"/>
        <w:adjustRightInd w:val="0"/>
        <w:spacing w:after="200"/>
        <w:ind w:left="640" w:hanging="640"/>
        <w:rPr>
          <w:rFonts w:asciiTheme="minorHAnsi" w:hAnsiTheme="minorHAnsi"/>
          <w:sz w:val="18"/>
          <w:szCs w:val="16"/>
        </w:rPr>
      </w:pPr>
      <w:r>
        <w:rPr>
          <w:rFonts w:asciiTheme="minorHAnsi" w:hAnsiTheme="minorHAnsi"/>
          <w:b/>
          <w:sz w:val="22"/>
          <w:szCs w:val="22"/>
        </w:rPr>
        <w:fldChar w:fldCharType="end"/>
      </w:r>
    </w:p>
    <w:sectPr w:rsidR="00B8014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revisionView w:markup="0"/>
  <w:trackRevision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03A"/>
    <w:rsid w:val="00063B2B"/>
    <w:rsid w:val="000849CE"/>
    <w:rsid w:val="000E3A74"/>
    <w:rsid w:val="000E4A75"/>
    <w:rsid w:val="001C0F0E"/>
    <w:rsid w:val="00203B25"/>
    <w:rsid w:val="0022517C"/>
    <w:rsid w:val="00276C1B"/>
    <w:rsid w:val="002A0E56"/>
    <w:rsid w:val="002B1F9F"/>
    <w:rsid w:val="002C256D"/>
    <w:rsid w:val="002D7B9F"/>
    <w:rsid w:val="003228C6"/>
    <w:rsid w:val="003316A7"/>
    <w:rsid w:val="00341287"/>
    <w:rsid w:val="003545D5"/>
    <w:rsid w:val="00394F8E"/>
    <w:rsid w:val="00396C79"/>
    <w:rsid w:val="003E42F9"/>
    <w:rsid w:val="00451389"/>
    <w:rsid w:val="00480597"/>
    <w:rsid w:val="004F524E"/>
    <w:rsid w:val="00506C92"/>
    <w:rsid w:val="00514741"/>
    <w:rsid w:val="00572B5C"/>
    <w:rsid w:val="00584FAA"/>
    <w:rsid w:val="00616694"/>
    <w:rsid w:val="00694F1E"/>
    <w:rsid w:val="006B679F"/>
    <w:rsid w:val="006F751D"/>
    <w:rsid w:val="007468B8"/>
    <w:rsid w:val="008207FD"/>
    <w:rsid w:val="00846897"/>
    <w:rsid w:val="008976F1"/>
    <w:rsid w:val="008A1785"/>
    <w:rsid w:val="008A2C3B"/>
    <w:rsid w:val="008F6F36"/>
    <w:rsid w:val="0093697B"/>
    <w:rsid w:val="0094767F"/>
    <w:rsid w:val="009A5D5A"/>
    <w:rsid w:val="009E4AFA"/>
    <w:rsid w:val="00A7496C"/>
    <w:rsid w:val="00B04D8E"/>
    <w:rsid w:val="00B33450"/>
    <w:rsid w:val="00B35124"/>
    <w:rsid w:val="00B424E5"/>
    <w:rsid w:val="00B8014A"/>
    <w:rsid w:val="00B91903"/>
    <w:rsid w:val="00B95824"/>
    <w:rsid w:val="00BB26B8"/>
    <w:rsid w:val="00C354AB"/>
    <w:rsid w:val="00C609C8"/>
    <w:rsid w:val="00CA437C"/>
    <w:rsid w:val="00CA6AF5"/>
    <w:rsid w:val="00CB751B"/>
    <w:rsid w:val="00D0516A"/>
    <w:rsid w:val="00D526C0"/>
    <w:rsid w:val="00D54692"/>
    <w:rsid w:val="00D72F47"/>
    <w:rsid w:val="00D869B4"/>
    <w:rsid w:val="00DA32C0"/>
    <w:rsid w:val="00E12322"/>
    <w:rsid w:val="00E20E81"/>
    <w:rsid w:val="00E31585"/>
    <w:rsid w:val="00E32C79"/>
    <w:rsid w:val="00E756E6"/>
    <w:rsid w:val="00FB1594"/>
    <w:rsid w:val="00FB70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16A"/>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03A"/>
    <w:rPr>
      <w:rFonts w:ascii="Tahoma" w:hAnsi="Tahoma" w:cs="Tahoma"/>
      <w:sz w:val="16"/>
      <w:szCs w:val="16"/>
    </w:rPr>
  </w:style>
  <w:style w:type="character" w:customStyle="1" w:styleId="BalloonTextChar">
    <w:name w:val="Balloon Text Char"/>
    <w:basedOn w:val="DefaultParagraphFont"/>
    <w:link w:val="BalloonText"/>
    <w:uiPriority w:val="99"/>
    <w:semiHidden/>
    <w:rsid w:val="00FB703A"/>
    <w:rPr>
      <w:rFonts w:ascii="Tahoma" w:hAnsi="Tahoma" w:cs="Tahoma"/>
      <w:sz w:val="16"/>
      <w:szCs w:val="16"/>
    </w:rPr>
  </w:style>
  <w:style w:type="character" w:styleId="Hyperlink">
    <w:name w:val="Hyperlink"/>
    <w:basedOn w:val="DefaultParagraphFont"/>
    <w:uiPriority w:val="99"/>
    <w:unhideWhenUsed/>
    <w:rsid w:val="009E4AFA"/>
    <w:rPr>
      <w:color w:val="0000FF" w:themeColor="hyperlink"/>
      <w:u w:val="single"/>
    </w:rPr>
  </w:style>
  <w:style w:type="paragraph" w:styleId="NoSpacing">
    <w:name w:val="No Spacing"/>
    <w:uiPriority w:val="1"/>
    <w:qFormat/>
    <w:rsid w:val="002A0E56"/>
    <w:pPr>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DA32C0"/>
    <w:rPr>
      <w:sz w:val="18"/>
      <w:szCs w:val="18"/>
    </w:rPr>
  </w:style>
  <w:style w:type="paragraph" w:styleId="CommentText">
    <w:name w:val="annotation text"/>
    <w:basedOn w:val="Normal"/>
    <w:link w:val="CommentTextChar"/>
    <w:uiPriority w:val="99"/>
    <w:semiHidden/>
    <w:unhideWhenUsed/>
    <w:rsid w:val="00DA32C0"/>
  </w:style>
  <w:style w:type="character" w:customStyle="1" w:styleId="CommentTextChar">
    <w:name w:val="Comment Text Char"/>
    <w:basedOn w:val="DefaultParagraphFont"/>
    <w:link w:val="CommentText"/>
    <w:uiPriority w:val="99"/>
    <w:semiHidden/>
    <w:rsid w:val="00DA32C0"/>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A32C0"/>
    <w:rPr>
      <w:b/>
      <w:bCs/>
      <w:sz w:val="20"/>
      <w:szCs w:val="20"/>
    </w:rPr>
  </w:style>
  <w:style w:type="character" w:customStyle="1" w:styleId="CommentSubjectChar">
    <w:name w:val="Comment Subject Char"/>
    <w:basedOn w:val="CommentTextChar"/>
    <w:link w:val="CommentSubject"/>
    <w:uiPriority w:val="99"/>
    <w:semiHidden/>
    <w:rsid w:val="00DA32C0"/>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16A"/>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03A"/>
    <w:rPr>
      <w:rFonts w:ascii="Tahoma" w:hAnsi="Tahoma" w:cs="Tahoma"/>
      <w:sz w:val="16"/>
      <w:szCs w:val="16"/>
    </w:rPr>
  </w:style>
  <w:style w:type="character" w:customStyle="1" w:styleId="BalloonTextChar">
    <w:name w:val="Balloon Text Char"/>
    <w:basedOn w:val="DefaultParagraphFont"/>
    <w:link w:val="BalloonText"/>
    <w:uiPriority w:val="99"/>
    <w:semiHidden/>
    <w:rsid w:val="00FB703A"/>
    <w:rPr>
      <w:rFonts w:ascii="Tahoma" w:hAnsi="Tahoma" w:cs="Tahoma"/>
      <w:sz w:val="16"/>
      <w:szCs w:val="16"/>
    </w:rPr>
  </w:style>
  <w:style w:type="character" w:styleId="Hyperlink">
    <w:name w:val="Hyperlink"/>
    <w:basedOn w:val="DefaultParagraphFont"/>
    <w:uiPriority w:val="99"/>
    <w:unhideWhenUsed/>
    <w:rsid w:val="009E4AFA"/>
    <w:rPr>
      <w:color w:val="0000FF" w:themeColor="hyperlink"/>
      <w:u w:val="single"/>
    </w:rPr>
  </w:style>
  <w:style w:type="paragraph" w:styleId="NoSpacing">
    <w:name w:val="No Spacing"/>
    <w:uiPriority w:val="1"/>
    <w:qFormat/>
    <w:rsid w:val="002A0E56"/>
    <w:pPr>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DA32C0"/>
    <w:rPr>
      <w:sz w:val="18"/>
      <w:szCs w:val="18"/>
    </w:rPr>
  </w:style>
  <w:style w:type="paragraph" w:styleId="CommentText">
    <w:name w:val="annotation text"/>
    <w:basedOn w:val="Normal"/>
    <w:link w:val="CommentTextChar"/>
    <w:uiPriority w:val="99"/>
    <w:semiHidden/>
    <w:unhideWhenUsed/>
    <w:rsid w:val="00DA32C0"/>
  </w:style>
  <w:style w:type="character" w:customStyle="1" w:styleId="CommentTextChar">
    <w:name w:val="Comment Text Char"/>
    <w:basedOn w:val="DefaultParagraphFont"/>
    <w:link w:val="CommentText"/>
    <w:uiPriority w:val="99"/>
    <w:semiHidden/>
    <w:rsid w:val="00DA32C0"/>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A32C0"/>
    <w:rPr>
      <w:b/>
      <w:bCs/>
      <w:sz w:val="20"/>
      <w:szCs w:val="20"/>
    </w:rPr>
  </w:style>
  <w:style w:type="character" w:customStyle="1" w:styleId="CommentSubjectChar">
    <w:name w:val="Comment Subject Char"/>
    <w:basedOn w:val="CommentTextChar"/>
    <w:link w:val="CommentSubject"/>
    <w:uiPriority w:val="99"/>
    <w:semiHidden/>
    <w:rsid w:val="00DA32C0"/>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0005">
      <w:bodyDiv w:val="1"/>
      <w:marLeft w:val="0"/>
      <w:marRight w:val="0"/>
      <w:marTop w:val="0"/>
      <w:marBottom w:val="0"/>
      <w:divBdr>
        <w:top w:val="none" w:sz="0" w:space="0" w:color="auto"/>
        <w:left w:val="none" w:sz="0" w:space="0" w:color="auto"/>
        <w:bottom w:val="none" w:sz="0" w:space="0" w:color="auto"/>
        <w:right w:val="none" w:sz="0" w:space="0" w:color="auto"/>
      </w:divBdr>
    </w:div>
    <w:div w:id="52774393">
      <w:bodyDiv w:val="1"/>
      <w:marLeft w:val="0"/>
      <w:marRight w:val="0"/>
      <w:marTop w:val="0"/>
      <w:marBottom w:val="0"/>
      <w:divBdr>
        <w:top w:val="none" w:sz="0" w:space="0" w:color="auto"/>
        <w:left w:val="none" w:sz="0" w:space="0" w:color="auto"/>
        <w:bottom w:val="none" w:sz="0" w:space="0" w:color="auto"/>
        <w:right w:val="none" w:sz="0" w:space="0" w:color="auto"/>
      </w:divBdr>
    </w:div>
    <w:div w:id="75981013">
      <w:bodyDiv w:val="1"/>
      <w:marLeft w:val="0"/>
      <w:marRight w:val="0"/>
      <w:marTop w:val="0"/>
      <w:marBottom w:val="0"/>
      <w:divBdr>
        <w:top w:val="none" w:sz="0" w:space="0" w:color="auto"/>
        <w:left w:val="none" w:sz="0" w:space="0" w:color="auto"/>
        <w:bottom w:val="none" w:sz="0" w:space="0" w:color="auto"/>
        <w:right w:val="none" w:sz="0" w:space="0" w:color="auto"/>
      </w:divBdr>
    </w:div>
    <w:div w:id="217672024">
      <w:bodyDiv w:val="1"/>
      <w:marLeft w:val="0"/>
      <w:marRight w:val="0"/>
      <w:marTop w:val="0"/>
      <w:marBottom w:val="0"/>
      <w:divBdr>
        <w:top w:val="none" w:sz="0" w:space="0" w:color="auto"/>
        <w:left w:val="none" w:sz="0" w:space="0" w:color="auto"/>
        <w:bottom w:val="none" w:sz="0" w:space="0" w:color="auto"/>
        <w:right w:val="none" w:sz="0" w:space="0" w:color="auto"/>
      </w:divBdr>
    </w:div>
    <w:div w:id="399527038">
      <w:bodyDiv w:val="1"/>
      <w:marLeft w:val="0"/>
      <w:marRight w:val="0"/>
      <w:marTop w:val="0"/>
      <w:marBottom w:val="0"/>
      <w:divBdr>
        <w:top w:val="none" w:sz="0" w:space="0" w:color="auto"/>
        <w:left w:val="none" w:sz="0" w:space="0" w:color="auto"/>
        <w:bottom w:val="none" w:sz="0" w:space="0" w:color="auto"/>
        <w:right w:val="none" w:sz="0" w:space="0" w:color="auto"/>
      </w:divBdr>
    </w:div>
    <w:div w:id="861745594">
      <w:bodyDiv w:val="1"/>
      <w:marLeft w:val="0"/>
      <w:marRight w:val="0"/>
      <w:marTop w:val="0"/>
      <w:marBottom w:val="0"/>
      <w:divBdr>
        <w:top w:val="none" w:sz="0" w:space="0" w:color="auto"/>
        <w:left w:val="none" w:sz="0" w:space="0" w:color="auto"/>
        <w:bottom w:val="none" w:sz="0" w:space="0" w:color="auto"/>
        <w:right w:val="none" w:sz="0" w:space="0" w:color="auto"/>
      </w:divBdr>
    </w:div>
    <w:div w:id="1047990316">
      <w:bodyDiv w:val="1"/>
      <w:marLeft w:val="0"/>
      <w:marRight w:val="0"/>
      <w:marTop w:val="0"/>
      <w:marBottom w:val="0"/>
      <w:divBdr>
        <w:top w:val="none" w:sz="0" w:space="0" w:color="auto"/>
        <w:left w:val="none" w:sz="0" w:space="0" w:color="auto"/>
        <w:bottom w:val="none" w:sz="0" w:space="0" w:color="auto"/>
        <w:right w:val="none" w:sz="0" w:space="0" w:color="auto"/>
      </w:divBdr>
    </w:div>
    <w:div w:id="1560088726">
      <w:bodyDiv w:val="1"/>
      <w:marLeft w:val="0"/>
      <w:marRight w:val="0"/>
      <w:marTop w:val="0"/>
      <w:marBottom w:val="0"/>
      <w:divBdr>
        <w:top w:val="none" w:sz="0" w:space="0" w:color="auto"/>
        <w:left w:val="none" w:sz="0" w:space="0" w:color="auto"/>
        <w:bottom w:val="none" w:sz="0" w:space="0" w:color="auto"/>
        <w:right w:val="none" w:sz="0" w:space="0" w:color="auto"/>
      </w:divBdr>
    </w:div>
    <w:div w:id="1646662719">
      <w:bodyDiv w:val="1"/>
      <w:marLeft w:val="0"/>
      <w:marRight w:val="0"/>
      <w:marTop w:val="0"/>
      <w:marBottom w:val="0"/>
      <w:divBdr>
        <w:top w:val="none" w:sz="0" w:space="0" w:color="auto"/>
        <w:left w:val="none" w:sz="0" w:space="0" w:color="auto"/>
        <w:bottom w:val="none" w:sz="0" w:space="0" w:color="auto"/>
        <w:right w:val="none" w:sz="0" w:space="0" w:color="auto"/>
      </w:divBdr>
    </w:div>
    <w:div w:id="1771047475">
      <w:bodyDiv w:val="1"/>
      <w:marLeft w:val="0"/>
      <w:marRight w:val="0"/>
      <w:marTop w:val="0"/>
      <w:marBottom w:val="0"/>
      <w:divBdr>
        <w:top w:val="none" w:sz="0" w:space="0" w:color="auto"/>
        <w:left w:val="none" w:sz="0" w:space="0" w:color="auto"/>
        <w:bottom w:val="none" w:sz="0" w:space="0" w:color="auto"/>
        <w:right w:val="none" w:sz="0" w:space="0" w:color="auto"/>
      </w:divBdr>
    </w:div>
    <w:div w:id="207893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sph.umich.edu/csg/abecasis/MACH/download/1000G.2012-03-14.html"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tif"/><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9D90E-D8D3-468C-B2C0-BDA10A9A5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10330</Words>
  <Characters>58881</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Erasmus MC</Company>
  <LinksUpToDate>false</LinksUpToDate>
  <CharactersWithSpaces>69073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 Boer</dc:creator>
  <cp:lastModifiedBy>C.G. Boer</cp:lastModifiedBy>
  <cp:revision>2</cp:revision>
  <dcterms:created xsi:type="dcterms:W3CDTF">2017-04-24T13:25:00Z</dcterms:created>
  <dcterms:modified xsi:type="dcterms:W3CDTF">2017-04-24T13:25:00Z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cindyboer@gmail.com@www.mendeley.com</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http://www.zotero.org/styles/plos-genetics</vt:lpwstr>
  </property>
  <property fmtid="{D5CDD505-2E9C-101B-9397-08002B2CF9AE}" pid="22" name="Mendeley Recent Style Name 8_1">
    <vt:lpwstr>PLOS Genetics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