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B5" w:rsidRPr="001A5305" w:rsidRDefault="005C3ACF" w:rsidP="00215E4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</w:pPr>
      <w:r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Table </w:t>
      </w:r>
      <w:proofErr w:type="spellStart"/>
      <w:r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S1</w:t>
      </w:r>
      <w:proofErr w:type="spellEnd"/>
      <w:r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: Validation</w:t>
      </w:r>
      <w:r w:rsidR="00215E49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analysis using the 36-Item Short Form Survey – Physical Component Score</w:t>
      </w:r>
      <w:r w:rsid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(SF-36 PCS)</w:t>
      </w:r>
      <w:r w:rsidR="00215E49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</w:t>
      </w:r>
      <w:r w:rsidR="00FE5A4A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and SF-36 PCS relative change from baseline</w:t>
      </w:r>
      <w:r w:rsidR="00FE5A4A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</w:t>
      </w:r>
      <w:r w:rsidR="00215E49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instead of the </w:t>
      </w:r>
      <w:r w:rsidR="001A5305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Health Assessment Questionnaire</w:t>
      </w:r>
      <w:r w:rsidR="00215E49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</w:t>
      </w:r>
      <w:r w:rsidR="001A5305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Disability In</w:t>
      </w:r>
      <w:bookmarkStart w:id="0" w:name="_GoBack"/>
      <w:bookmarkEnd w:id="0"/>
      <w:r w:rsidR="001A5305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dex</w:t>
      </w:r>
      <w:r w:rsid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(</w:t>
      </w:r>
      <w:proofErr w:type="spellStart"/>
      <w:r w:rsid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HAQ</w:t>
      </w:r>
      <w:proofErr w:type="spellEnd"/>
      <w:r w:rsid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)</w:t>
      </w:r>
      <w:r w:rsidR="00215E49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</w:t>
      </w:r>
      <w:r w:rsidR="00FE5A4A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and </w:t>
      </w:r>
      <w:proofErr w:type="spellStart"/>
      <w:r w:rsidR="00FE5A4A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HAQ</w:t>
      </w:r>
      <w:proofErr w:type="spellEnd"/>
      <w:r w:rsidR="00FE5A4A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relative change from baseline</w:t>
      </w:r>
      <w:r w:rsidR="00FE5A4A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</w:t>
      </w:r>
      <w:r w:rsidR="00215E49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as outcome variable in</w:t>
      </w:r>
      <w:r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longitudinal analyses </w:t>
      </w:r>
      <w:r w:rsidR="00215E49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to investigate</w:t>
      </w:r>
      <w:r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the influence of structural </w:t>
      </w:r>
      <w:r w:rsid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damage </w:t>
      </w:r>
      <w:r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on physical function</w:t>
      </w:r>
      <w:r w:rsidR="00FE5A4A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and the responsiveness of</w:t>
      </w:r>
      <w:r w:rsidR="00FE5A4A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physical function</w:t>
      </w:r>
      <w:r w:rsidR="00215E49"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.</w:t>
      </w:r>
    </w:p>
    <w:p w:rsidR="00215E49" w:rsidRDefault="00215E49"/>
    <w:tbl>
      <w:tblPr>
        <w:tblW w:w="966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99"/>
        <w:gridCol w:w="2799"/>
        <w:gridCol w:w="774"/>
        <w:gridCol w:w="1407"/>
        <w:gridCol w:w="2512"/>
        <w:gridCol w:w="775"/>
      </w:tblGrid>
      <w:tr w:rsidR="008A0731" w:rsidRPr="00EE0816" w:rsidTr="008A0731">
        <w:trPr>
          <w:trHeight w:val="253"/>
        </w:trPr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bookmarkStart w:id="1" w:name="Tabelle1!B3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  <w:bookmarkEnd w:id="1"/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GO-REVEAL remission </w:t>
            </w:r>
            <w:proofErr w:type="spellStart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patients¹</w:t>
            </w:r>
            <w:proofErr w:type="spellEnd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(n = 117)</w:t>
            </w:r>
          </w:p>
        </w:tc>
        <w:tc>
          <w:tcPr>
            <w:tcW w:w="4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GO-REVEAL major response </w:t>
            </w:r>
            <w:proofErr w:type="spellStart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patients</w:t>
            </w: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2</w:t>
            </w:r>
            <w:proofErr w:type="spellEnd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(n = 76)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Parameter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731" w:rsidRPr="00A00E7F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Estimate (95% CI)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731" w:rsidRPr="00A00E7F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Parameter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731" w:rsidRPr="00A00E7F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Estimate (95% CI)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0731" w:rsidRPr="00A00E7F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p</w:t>
            </w:r>
          </w:p>
        </w:tc>
      </w:tr>
      <w:tr w:rsidR="008A0731" w:rsidRPr="00EE0816" w:rsidTr="008A0731">
        <w:trPr>
          <w:trHeight w:val="253"/>
        </w:trPr>
        <w:tc>
          <w:tcPr>
            <w:tcW w:w="966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0731" w:rsidRPr="00A00E7F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E</w:t>
            </w: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ffects of total modif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ied Sharp-van-der-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Heijde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Score (</w:t>
            </w:r>
            <w:proofErr w:type="spellStart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mSvdHS</w:t>
            </w:r>
            <w:proofErr w:type="spellEnd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</w:tr>
      <w:tr w:rsidR="008A0731" w:rsidRPr="00EE0816" w:rsidTr="008A0731">
        <w:trPr>
          <w:trHeight w:val="253"/>
        </w:trPr>
        <w:tc>
          <w:tcPr>
            <w:tcW w:w="49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731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Model 1</w:t>
            </w:r>
          </w:p>
        </w:tc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731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Model 4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Intercept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52.841 (51.049 to 54.633)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Intercept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-2.525 (-3.169 to -1.881)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Visit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-0.009 (-0.029 to 0.012)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Baseline PCS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0.06 (0.038 to 0.082)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Visit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0.001 (-0.001 to 0.002)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0.325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total </w:t>
            </w:r>
            <w:proofErr w:type="spellStart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mSvdHS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-0.023 (-0.048 to 0.001)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0.063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total </w:t>
            </w:r>
            <w:proofErr w:type="spellStart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mSvdHS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0.001 (0.00001 to 0.003)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0.048</w:t>
            </w:r>
          </w:p>
        </w:tc>
      </w:tr>
      <w:tr w:rsidR="008A0731" w:rsidRPr="00EE0816" w:rsidTr="008A0731">
        <w:trPr>
          <w:trHeight w:val="253"/>
        </w:trPr>
        <w:tc>
          <w:tcPr>
            <w:tcW w:w="966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0731" w:rsidRPr="00A00E7F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Effects of erosion score</w:t>
            </w:r>
            <w:r w:rsidR="00790B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="00790B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ERO</w:t>
            </w:r>
            <w:proofErr w:type="spellEnd"/>
            <w:r w:rsidR="00790B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</w:tr>
      <w:tr w:rsidR="008A0731" w:rsidRPr="00EE0816" w:rsidTr="008A0731">
        <w:trPr>
          <w:trHeight w:val="253"/>
        </w:trPr>
        <w:tc>
          <w:tcPr>
            <w:tcW w:w="49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731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Model 2</w:t>
            </w:r>
          </w:p>
        </w:tc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731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Model 5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Intercept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52.782 (50.968 to 54.595)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Intercept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-2.505 (-3.15 to -1.861)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Visit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-0.008 (-0.029 to 0.012)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Baseline PCS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0.06 (0.038 to 0.081)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Visit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0.001 (-0.001 to 0.002)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0.343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790BED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ERO</w:t>
            </w:r>
            <w:proofErr w:type="spellEnd"/>
            <w:r w:rsidR="008A0731"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score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-0.034 (-0.076 to 0.008)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790BED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ERO</w:t>
            </w:r>
            <w:proofErr w:type="spellEnd"/>
            <w:r w:rsidR="008A0731"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score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0.002 (-0.0003 to 0.004)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0.089</w:t>
            </w:r>
          </w:p>
        </w:tc>
      </w:tr>
      <w:tr w:rsidR="008A0731" w:rsidRPr="00EE0816" w:rsidTr="008A0731">
        <w:trPr>
          <w:trHeight w:val="253"/>
        </w:trPr>
        <w:tc>
          <w:tcPr>
            <w:tcW w:w="966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A0731" w:rsidRPr="00A00E7F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E</w:t>
            </w: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ffects of j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oint space narrowing score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JSN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</w:tr>
      <w:tr w:rsidR="008A0731" w:rsidRPr="00EE0816" w:rsidTr="008A0731">
        <w:trPr>
          <w:trHeight w:val="253"/>
        </w:trPr>
        <w:tc>
          <w:tcPr>
            <w:tcW w:w="49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731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Model 3</w:t>
            </w:r>
          </w:p>
        </w:tc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A0731" w:rsidRDefault="008A0731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Model 6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Intercept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52.858 (51.11 to 54.606)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Intercept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-2.553 (-3.196 to -1.91)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Visit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-0.009 (-0.029 to 0.012)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Baseline PCS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0.061 (0.039 to 0.082)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&lt;0.001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Visit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0.001 (-0.001 to 0.002)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0.3</w:t>
            </w:r>
          </w:p>
        </w:tc>
      </w:tr>
      <w:tr w:rsidR="008A0731" w:rsidRPr="00EE0816" w:rsidTr="008A0731">
        <w:trPr>
          <w:trHeight w:val="253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JSN</w:t>
            </w:r>
            <w:proofErr w:type="spellEnd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score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-0.062 (-0.116 to -0.007)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0.026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JSN</w:t>
            </w:r>
            <w:proofErr w:type="spellEnd"/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score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0.003 (0.001 to 0.006)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0731" w:rsidRPr="00A00E7F" w:rsidRDefault="008A0731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00E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0.019</w:t>
            </w:r>
          </w:p>
        </w:tc>
      </w:tr>
      <w:tr w:rsidR="008A0731" w:rsidRPr="00EE0816" w:rsidTr="008A0731">
        <w:trPr>
          <w:trHeight w:val="241"/>
        </w:trPr>
        <w:tc>
          <w:tcPr>
            <w:tcW w:w="49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731" w:rsidRPr="00EE0816" w:rsidRDefault="008A0731" w:rsidP="00B9704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¹ Estimates are presented as estimate of SF-36 PCS (95% lower confidence interval to 95% upper confidence interval); Dependent variable = </w:t>
            </w:r>
            <w:proofErr w:type="spellStart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HAQ</w:t>
            </w:r>
            <w:proofErr w:type="spellEnd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; Visits in </w:t>
            </w:r>
            <w:proofErr w:type="spellStart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DAPSA</w:t>
            </w:r>
            <w:proofErr w:type="spellEnd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remission (</w:t>
            </w:r>
            <w:proofErr w:type="spellStart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DAPSA</w:t>
            </w:r>
            <w:proofErr w:type="spellEnd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&lt;=4) of patients with available radiographic scoring.</w:t>
            </w:r>
          </w:p>
        </w:tc>
        <w:tc>
          <w:tcPr>
            <w:tcW w:w="46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0731" w:rsidRPr="00EE0816" w:rsidRDefault="008A0731" w:rsidP="00B970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val="en-GB" w:eastAsia="en-GB"/>
              </w:rPr>
              <w:t>2</w:t>
            </w:r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Estimates are presented as estimate of SF-36 PCS relative change (95% lower confidence interval to 95% upper confidence interval); Dependent variable = </w:t>
            </w:r>
            <w:proofErr w:type="spellStart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SF36</w:t>
            </w:r>
            <w:proofErr w:type="spellEnd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-PCS relative change; Visits in </w:t>
            </w:r>
            <w:proofErr w:type="spellStart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DAPSA</w:t>
            </w:r>
            <w:proofErr w:type="spellEnd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major response (≥85% change from baseline) and PCS at baseline ≥33; relative </w:t>
            </w:r>
            <w:proofErr w:type="spellStart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SF36</w:t>
            </w:r>
            <w:proofErr w:type="spellEnd"/>
            <w:r w:rsidRPr="00EE081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en-GB"/>
              </w:rPr>
              <w:t>-PCS change was defined as (PCS at baseline - PCS at visit) / PCS at baseline.</w:t>
            </w:r>
          </w:p>
        </w:tc>
      </w:tr>
    </w:tbl>
    <w:p w:rsidR="001A5305" w:rsidRDefault="001A5305"/>
    <w:p w:rsidR="001A5305" w:rsidRDefault="001A5305">
      <w:r>
        <w:br w:type="page"/>
      </w:r>
    </w:p>
    <w:p w:rsidR="001A5305" w:rsidRPr="001A5305" w:rsidRDefault="001A5305" w:rsidP="001A53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lastRenderedPageBreak/>
        <w:t xml:space="preserve">Table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S2</w:t>
      </w:r>
      <w:proofErr w:type="spellEnd"/>
      <w:r w:rsidRPr="001A5305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Cross-validation in clinical routine patients. </w:t>
      </w:r>
      <w:r w:rsidR="00FE5A4A"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Remission patients </w:t>
      </w:r>
      <w:r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were in clinical Disease Activity Index for Psoriatic Arthritis (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cDAPSA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) remission (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>cDAPSA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0"/>
          <w:lang w:val="en-GB" w:eastAsia="en-GB"/>
        </w:rPr>
        <w:t xml:space="preserve"> ≤ 4). </w:t>
      </w:r>
      <w:r w:rsidRPr="001A530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Results from longitudinal analyses of the influence of structural damage on physical function (measured by the Health Assessment Questionnaire Disability Index, </w:t>
      </w:r>
      <w:proofErr w:type="spellStart"/>
      <w:r w:rsidRPr="001A530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HAQ</w:t>
      </w:r>
      <w:proofErr w:type="spellEnd"/>
      <w:r w:rsidRPr="001A530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).</w:t>
      </w:r>
    </w:p>
    <w:p w:rsidR="001A5305" w:rsidRDefault="001A5305" w:rsidP="001A5305"/>
    <w:p w:rsidR="00DF0937" w:rsidRDefault="00DF0937"/>
    <w:tbl>
      <w:tblPr>
        <w:tblW w:w="9360" w:type="dxa"/>
        <w:tblLook w:val="04A0" w:firstRow="1" w:lastRow="0" w:firstColumn="1" w:lastColumn="0" w:noHBand="0" w:noVBand="1"/>
      </w:tblPr>
      <w:tblGrid>
        <w:gridCol w:w="1418"/>
        <w:gridCol w:w="2977"/>
        <w:gridCol w:w="1158"/>
        <w:gridCol w:w="2821"/>
        <w:gridCol w:w="986"/>
      </w:tblGrid>
      <w:tr w:rsidR="00B27BC5" w:rsidTr="00B9704E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All clinical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patients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 (n = 160)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Clinical remission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patients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GB" w:eastAsia="en-GB"/>
              </w:rPr>
              <w:t>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 (n = 55)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Parameter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Estimate (95% CI)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Estimate (95% CI)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p</w:t>
            </w:r>
          </w:p>
        </w:tc>
      </w:tr>
      <w:tr w:rsidR="00B27BC5" w:rsidTr="00B9704E">
        <w:trPr>
          <w:trHeight w:val="28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7BC5" w:rsidRPr="006F0410" w:rsidRDefault="00B27BC5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Model 1 (effects of total modified Sharp-van-der-</w:t>
            </w:r>
            <w:proofErr w:type="spellStart"/>
            <w:r w:rsidRPr="006F0410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Heijde</w:t>
            </w:r>
            <w:proofErr w:type="spellEnd"/>
            <w:r w:rsidRPr="006F0410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 Score, </w:t>
            </w:r>
            <w:proofErr w:type="spellStart"/>
            <w:r w:rsidRPr="006F0410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mSvdHS</w:t>
            </w:r>
            <w:proofErr w:type="spellEnd"/>
            <w:r w:rsidRPr="006F0410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18"/>
                <w:lang w:val="en-GB" w:eastAsia="en-GB"/>
              </w:rPr>
              <w:t>Intercept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0.309 (0.419 to 0.2)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0.185 (0.106 to 0.263)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18"/>
                <w:lang w:val="en-GB" w:eastAsia="en-GB"/>
              </w:rPr>
              <w:t>Visit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-0.004 (0.004 to -0.012)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0.354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-0.009 (-0.015 to -0.004)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0.001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18"/>
                <w:lang w:val="en-GB" w:eastAsia="en-GB"/>
              </w:rPr>
              <w:t>cDAPSA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0.028 (0.037 to 0.019)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softHyphen/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6F0410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18"/>
                <w:lang w:val="en-GB" w:eastAsia="en-GB"/>
              </w:rPr>
              <w:t>cDAPSA²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-0.0001 (0.00001 to -0.00023)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0.082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</w:tr>
      <w:tr w:rsidR="00B27BC5" w:rsidTr="00B9704E">
        <w:trPr>
          <w:trHeight w:val="29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val="en-GB" w:eastAsia="en-GB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18"/>
                <w:lang w:val="en-GB" w:eastAsia="en-GB"/>
              </w:rPr>
              <w:t>mSvdHS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0.002 (0.003 to 0)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0.021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0.003 (0.001 to 0.005)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</w:tr>
      <w:tr w:rsidR="00B27BC5" w:rsidTr="00B9704E">
        <w:trPr>
          <w:trHeight w:val="293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7BC5" w:rsidRPr="006F0410" w:rsidRDefault="00B27BC5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Model 2 (effects of erosion score</w:t>
            </w:r>
            <w:r w:rsidR="00790BED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790BED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ERO</w:t>
            </w:r>
            <w:proofErr w:type="spellEnd"/>
            <w:r w:rsidRPr="006F0410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0.331 (0.441 to 0.221)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0.217 (0.132 to 0.302)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Visit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-0.004 (0.004 to -0.011)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0.379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-0.01 (-0.016 to -0.004)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0.001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cDAPSA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0.028 (0.036 to 0.019)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cDAPSA²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-0.0001 (0 to -0.00023)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0.081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</w:tr>
      <w:tr w:rsidR="00B27BC5" w:rsidTr="00B9704E">
        <w:trPr>
          <w:trHeight w:val="29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790BED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ERO</w:t>
            </w:r>
            <w:proofErr w:type="spellEnd"/>
            <w:r w:rsidR="00B27BC5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 score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0.002 (0.005 to -0.001)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0.172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0.007 (0.003 to 0.01)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</w:tr>
      <w:tr w:rsidR="00B27BC5" w:rsidTr="00B9704E">
        <w:trPr>
          <w:trHeight w:val="28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7BC5" w:rsidRPr="006F0410" w:rsidRDefault="00B27BC5" w:rsidP="00B970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 xml:space="preserve">Model 3 (effects of joint space narrowing score, </w:t>
            </w:r>
            <w:proofErr w:type="spellStart"/>
            <w:r w:rsidRPr="006F0410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JSN</w:t>
            </w:r>
            <w:proofErr w:type="spellEnd"/>
            <w:r w:rsidRPr="006F0410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)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0.292 (0.403 to 0.182)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0.169 (0.089 to 0.249)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Visit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-0.004 (0.004 to -0.011)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0.338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-0.009 (-0.014 to -0.003)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0.002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cDAPSA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0.028 (0.037 to 0.019)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cDAPSA²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-0.0001 (0 to -0.00023)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sz w:val="20"/>
                <w:szCs w:val="20"/>
              </w:rPr>
              <w:t>0.082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6F0410">
              <w:rPr>
                <w:rFonts w:eastAsia="Times New Roman" w:cstheme="minorHAnsi"/>
                <w:sz w:val="20"/>
                <w:szCs w:val="20"/>
                <w:lang w:val="en-GB" w:eastAsia="en-GB"/>
              </w:rPr>
              <w:t>-</w:t>
            </w:r>
          </w:p>
        </w:tc>
      </w:tr>
      <w:tr w:rsidR="00B27BC5" w:rsidTr="00B9704E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JSN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 xml:space="preserve"> score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0.003 (0.005 to 0.001)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0.004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0.005 (0.003 to 0.007)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27BC5" w:rsidRPr="006F0410" w:rsidRDefault="00B27BC5" w:rsidP="00B9704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6F0410">
              <w:rPr>
                <w:rFonts w:cstheme="minorHAnsi"/>
                <w:b/>
                <w:sz w:val="20"/>
                <w:szCs w:val="20"/>
              </w:rPr>
              <w:t>&lt;0.001</w:t>
            </w:r>
          </w:p>
        </w:tc>
      </w:tr>
      <w:tr w:rsidR="00B27BC5" w:rsidTr="00B9704E">
        <w:trPr>
          <w:trHeight w:val="285"/>
        </w:trPr>
        <w:tc>
          <w:tcPr>
            <w:tcW w:w="93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7BC5" w:rsidRDefault="00B27BC5" w:rsidP="00B9704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Estimates are presented as estimate of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HAQ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(95% lower confidence interval to 95% upper confidence interval);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vertAlign w:val="superscript"/>
                <w:lang w:val="en-GB" w:eastAsia="en-GB"/>
              </w:rPr>
              <w:t>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All visits of clinical patients with available radiographic scoring,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HAQ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cDAPSA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; 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vertAlign w:val="superscript"/>
                <w:lang w:val="en-GB" w:eastAsia="en-GB"/>
              </w:rPr>
              <w:t>b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Visits in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cDAPSA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remission (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cDAPSA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&lt;=4);</w:t>
            </w:r>
          </w:p>
        </w:tc>
      </w:tr>
    </w:tbl>
    <w:p w:rsidR="00B27BC5" w:rsidRDefault="00B27BC5"/>
    <w:p w:rsidR="00FE5A4A" w:rsidRDefault="00FE5A4A">
      <w:pPr>
        <w:rPr>
          <w:b/>
          <w:bCs/>
          <w:iCs/>
          <w:color w:val="000000" w:themeColor="text1"/>
          <w:sz w:val="24"/>
          <w:szCs w:val="24"/>
          <w:lang w:val="en-GB"/>
        </w:rPr>
      </w:pPr>
      <w:r>
        <w:rPr>
          <w:b/>
          <w:bCs/>
          <w:i/>
          <w:color w:val="000000" w:themeColor="text1"/>
          <w:sz w:val="24"/>
          <w:szCs w:val="24"/>
          <w:lang w:val="en-GB"/>
        </w:rPr>
        <w:br w:type="page"/>
      </w:r>
    </w:p>
    <w:p w:rsidR="00FE5A4A" w:rsidRPr="00E91811" w:rsidRDefault="00FE5A4A" w:rsidP="00FE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sz w:val="24"/>
          <w:szCs w:val="24"/>
          <w:lang w:val="en-GB" w:eastAsia="en-GB"/>
        </w:rPr>
        <w:lastRenderedPageBreak/>
        <w:t xml:space="preserve">Table </w:t>
      </w:r>
      <w:proofErr w:type="spellStart"/>
      <w:r>
        <w:rPr>
          <w:rFonts w:eastAsia="Times New Roman" w:cstheme="minorHAnsi"/>
          <w:b/>
          <w:sz w:val="24"/>
          <w:szCs w:val="24"/>
          <w:lang w:val="en-GB" w:eastAsia="en-GB"/>
        </w:rPr>
        <w:t>S3</w:t>
      </w:r>
      <w:proofErr w:type="spellEnd"/>
      <w:r>
        <w:rPr>
          <w:rFonts w:eastAsia="Times New Roman" w:cstheme="minorHAnsi"/>
          <w:b/>
          <w:sz w:val="24"/>
          <w:szCs w:val="24"/>
          <w:lang w:val="en-GB" w:eastAsia="en-GB"/>
        </w:rPr>
        <w:t xml:space="preserve">: Dropout numbers of the clinical </w:t>
      </w:r>
      <w:proofErr w:type="spellStart"/>
      <w:r>
        <w:rPr>
          <w:rFonts w:eastAsia="Times New Roman" w:cstheme="minorHAnsi"/>
          <w:b/>
          <w:sz w:val="24"/>
          <w:szCs w:val="24"/>
          <w:lang w:val="en-GB" w:eastAsia="en-GB"/>
        </w:rPr>
        <w:t>xray</w:t>
      </w:r>
      <w:proofErr w:type="spellEnd"/>
      <w:r>
        <w:rPr>
          <w:rFonts w:eastAsia="Times New Roman" w:cstheme="minorHAnsi"/>
          <w:b/>
          <w:sz w:val="24"/>
          <w:szCs w:val="24"/>
          <w:lang w:val="en-GB" w:eastAsia="en-GB"/>
        </w:rPr>
        <w:t xml:space="preserve"> database cohort</w:t>
      </w:r>
    </w:p>
    <w:p w:rsidR="00FE5A4A" w:rsidRDefault="00FE5A4A" w:rsidP="00FE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385623" w:themeColor="accent6" w:themeShade="80"/>
          <w:sz w:val="24"/>
          <w:szCs w:val="24"/>
          <w:lang w:val="en-GB" w:eastAsia="en-GB"/>
        </w:rPr>
      </w:pPr>
    </w:p>
    <w:tbl>
      <w:tblPr>
        <w:tblW w:w="642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11"/>
        <w:gridCol w:w="1069"/>
        <w:gridCol w:w="1240"/>
      </w:tblGrid>
      <w:tr w:rsidR="00FE5A4A" w:rsidRPr="00E91811" w:rsidTr="00B9704E">
        <w:trPr>
          <w:trHeight w:val="285"/>
          <w:jc w:val="center"/>
        </w:trPr>
        <w:tc>
          <w:tcPr>
            <w:tcW w:w="4111" w:type="dxa"/>
            <w:tcBorders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%</w:t>
            </w:r>
          </w:p>
        </w:tc>
      </w:tr>
      <w:tr w:rsidR="00FE5A4A" w:rsidRPr="00E91811" w:rsidTr="00B9704E">
        <w:trPr>
          <w:trHeight w:val="285"/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Total number of patients 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xray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database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811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</w:tr>
      <w:tr w:rsidR="00FE5A4A" w:rsidRPr="00E91811" w:rsidTr="00B9704E">
        <w:trPr>
          <w:trHeight w:val="285"/>
          <w:jc w:val="center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Number of patients with available 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for respective variable</w:t>
            </w:r>
          </w:p>
        </w:tc>
      </w:tr>
      <w:tr w:rsidR="00FE5A4A" w:rsidRPr="00E91811" w:rsidTr="00B9704E">
        <w:trPr>
          <w:trHeight w:val="285"/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cDAPSA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85730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 w:eastAsia="en-GB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811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  <w:r w:rsidRPr="00E91811">
              <w:rPr>
                <w:rFonts w:ascii="Calibri" w:eastAsia="Times New Roman" w:hAnsi="Calibri" w:cs="Calibri"/>
                <w:color w:val="000000"/>
                <w:lang w:val="en-GB" w:eastAsia="en-GB"/>
              </w:rPr>
              <w:t>.5</w:t>
            </w:r>
          </w:p>
        </w:tc>
      </w:tr>
      <w:tr w:rsidR="00FE5A4A" w:rsidRPr="00E91811" w:rsidTr="00B9704E">
        <w:trPr>
          <w:trHeight w:val="285"/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HAQ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85730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 w:eastAsia="en-GB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161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78.2</w:t>
            </w:r>
          </w:p>
        </w:tc>
      </w:tr>
      <w:tr w:rsidR="00FE5A4A" w:rsidRPr="00E91811" w:rsidTr="00B9704E">
        <w:trPr>
          <w:trHeight w:val="285"/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Patients with complete available data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4E5E7F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4E5E7F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160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4E5E7F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77.7</w:t>
            </w:r>
          </w:p>
        </w:tc>
      </w:tr>
      <w:tr w:rsidR="00FE5A4A" w:rsidRPr="00E91811" w:rsidTr="00B9704E">
        <w:trPr>
          <w:trHeight w:val="300"/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  Subgroup </w:t>
            </w:r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achieving </w:t>
            </w:r>
            <w:proofErr w:type="spellStart"/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cDAPSA</w:t>
            </w:r>
            <w:r w:rsidRPr="0085730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GB" w:eastAsia="en-GB"/>
              </w:rPr>
              <w:t>1</w:t>
            </w:r>
            <w:proofErr w:type="spellEnd"/>
            <w:r w:rsidRPr="00E918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remission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91811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5A4A" w:rsidRPr="00E91811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34.4</w:t>
            </w:r>
          </w:p>
        </w:tc>
      </w:tr>
      <w:tr w:rsidR="00FE5A4A" w:rsidRPr="00E91811" w:rsidTr="00B9704E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E5A4A" w:rsidRPr="0085730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5730C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val="en-GB" w:eastAsia="en-GB"/>
              </w:rPr>
              <w:t xml:space="preserve">1 </w:t>
            </w:r>
            <w:r w:rsidRPr="0085730C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 xml:space="preserve">clinical Disease Activity Index for Psoriatic Arthritis; </w:t>
            </w:r>
            <w:r w:rsidRPr="0085730C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val="en-GB" w:eastAsia="en-GB"/>
              </w:rPr>
              <w:t xml:space="preserve">2 </w:t>
            </w:r>
            <w:r w:rsidRPr="0085730C"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  <w:t xml:space="preserve">Health Assessment Questionnaire Disability Index </w:t>
            </w:r>
          </w:p>
        </w:tc>
      </w:tr>
    </w:tbl>
    <w:p w:rsidR="00FE5A4A" w:rsidRDefault="00FE5A4A" w:rsidP="00FE5A4A">
      <w:r>
        <w:rPr>
          <w:b/>
          <w:bCs/>
          <w:i/>
          <w:color w:val="000000" w:themeColor="text1"/>
          <w:sz w:val="24"/>
          <w:szCs w:val="24"/>
          <w:lang w:val="en-GB"/>
        </w:rPr>
        <w:br w:type="page"/>
      </w:r>
      <w:r>
        <w:rPr>
          <w:rFonts w:eastAsia="Times New Roman" w:cstheme="minorHAnsi"/>
          <w:b/>
          <w:sz w:val="24"/>
          <w:szCs w:val="24"/>
          <w:lang w:val="en-GB" w:eastAsia="en-GB"/>
        </w:rPr>
        <w:lastRenderedPageBreak/>
        <w:t xml:space="preserve">Table </w:t>
      </w:r>
      <w:proofErr w:type="spellStart"/>
      <w:r>
        <w:rPr>
          <w:rFonts w:eastAsia="Times New Roman" w:cstheme="minorHAnsi"/>
          <w:b/>
          <w:sz w:val="24"/>
          <w:szCs w:val="24"/>
          <w:lang w:val="en-GB" w:eastAsia="en-GB"/>
        </w:rPr>
        <w:t>S4</w:t>
      </w:r>
      <w:proofErr w:type="spellEnd"/>
      <w:r>
        <w:rPr>
          <w:rFonts w:eastAsia="Times New Roman" w:cstheme="minorHAnsi"/>
          <w:b/>
          <w:sz w:val="24"/>
          <w:szCs w:val="24"/>
          <w:lang w:val="en-GB" w:eastAsia="en-GB"/>
        </w:rPr>
        <w:t>: Different disease activity markers in patients in Disease Activity Index for Psoriatic Arthritis (</w:t>
      </w:r>
      <w:proofErr w:type="spellStart"/>
      <w:r>
        <w:rPr>
          <w:rFonts w:eastAsia="Times New Roman" w:cstheme="minorHAnsi"/>
          <w:b/>
          <w:sz w:val="24"/>
          <w:szCs w:val="24"/>
          <w:lang w:val="en-GB" w:eastAsia="en-GB"/>
        </w:rPr>
        <w:t>DAPSA</w:t>
      </w:r>
      <w:proofErr w:type="spellEnd"/>
      <w:r>
        <w:rPr>
          <w:rFonts w:eastAsia="Times New Roman" w:cstheme="minorHAnsi"/>
          <w:b/>
          <w:sz w:val="24"/>
          <w:szCs w:val="24"/>
          <w:lang w:val="en-GB" w:eastAsia="en-GB"/>
        </w:rPr>
        <w:t xml:space="preserve">) remission (≤4). </w:t>
      </w:r>
      <w:r>
        <w:rPr>
          <w:rFonts w:eastAsia="Times New Roman" w:cstheme="minorHAnsi"/>
          <w:sz w:val="24"/>
          <w:szCs w:val="24"/>
          <w:lang w:val="en-GB" w:eastAsia="en-GB"/>
        </w:rPr>
        <w:t xml:space="preserve">Results of longitudinal analyses for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HAQ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in patient global assessment of disease activity, evaluator global assessment of disease activity, patient global assessment of pain, Health Assessment Questionnaire disability index (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HAQ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), tender joint count 68 and swollen joint count 66.</w:t>
      </w:r>
    </w:p>
    <w:tbl>
      <w:tblPr>
        <w:tblW w:w="959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0"/>
        <w:gridCol w:w="2635"/>
        <w:gridCol w:w="828"/>
        <w:gridCol w:w="1315"/>
        <w:gridCol w:w="2715"/>
        <w:gridCol w:w="828"/>
      </w:tblGrid>
      <w:tr w:rsidR="00FE5A4A" w:rsidRPr="00287000" w:rsidTr="00B9704E">
        <w:trPr>
          <w:trHeight w:val="205"/>
        </w:trPr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E5A4A" w:rsidRPr="00287000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bookmarkStart w:id="2" w:name="_Hlk483343710"/>
          </w:p>
        </w:tc>
        <w:tc>
          <w:tcPr>
            <w:tcW w:w="83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287000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</w:pPr>
            <w:r w:rsidRPr="002870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 xml:space="preserve">GO-REVEAL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remission</w:t>
            </w:r>
            <w:r w:rsidRPr="002870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870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patients</w:t>
            </w:r>
            <w:r w:rsidRPr="00287000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¹</w:t>
            </w:r>
            <w:proofErr w:type="spellEnd"/>
            <w:r w:rsidRPr="002870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 xml:space="preserve"> (n =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117</w:t>
            </w:r>
            <w:r w:rsidRPr="002870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FE5A4A" w:rsidRPr="00287000" w:rsidTr="00B9704E">
        <w:trPr>
          <w:trHeight w:val="205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287000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28700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Parameter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A4A" w:rsidRPr="00287000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287000"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  <w:t>Estimate (95% CI)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E5A4A" w:rsidRPr="00287000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287000"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  <w:t>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287000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28700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Parameter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5A4A" w:rsidRPr="00287000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287000"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  <w:t>Estimate (95% CI)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E5A4A" w:rsidRPr="00287000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287000"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  <w:t>p</w:t>
            </w:r>
          </w:p>
        </w:tc>
      </w:tr>
      <w:bookmarkEnd w:id="2"/>
      <w:tr w:rsidR="00FE5A4A" w:rsidRPr="00836F3C" w:rsidTr="00B9704E">
        <w:trPr>
          <w:trHeight w:val="205"/>
        </w:trPr>
        <w:tc>
          <w:tcPr>
            <w:tcW w:w="4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836F3C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Patient global assessment of disease activity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E5A4A" w:rsidRPr="00836F3C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Health Assessment Questionnaire</w:t>
            </w:r>
          </w:p>
        </w:tc>
      </w:tr>
      <w:tr w:rsidR="00FE5A4A" w:rsidRPr="00836F3C" w:rsidTr="00B9704E">
        <w:trPr>
          <w:trHeight w:val="205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836F3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Intercept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4.055 (2.512 to 5.598)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&lt;0.001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Intercept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0.097 (0.025 to 0.168)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0.008</w:t>
            </w:r>
          </w:p>
        </w:tc>
      </w:tr>
      <w:tr w:rsidR="00FE5A4A" w:rsidRPr="00836F3C" w:rsidTr="00B9704E">
        <w:trPr>
          <w:trHeight w:val="205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836F3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Visit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-0.0062 (-0.0217 to 0.0093)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0.431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Visit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-0.0004 (-0.0011 to 0.0004)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0.312</w:t>
            </w:r>
          </w:p>
        </w:tc>
      </w:tr>
      <w:tr w:rsidR="00FE5A4A" w:rsidRPr="00836F3C" w:rsidTr="00B9704E">
        <w:trPr>
          <w:trHeight w:val="217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836F3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proofErr w:type="spellStart"/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mSvdH</w:t>
            </w:r>
            <w:proofErr w:type="spellEnd"/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 xml:space="preserve"> Score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0.02 (-0.0008 to 0.04)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0.059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proofErr w:type="spellStart"/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mSvdH</w:t>
            </w:r>
            <w:proofErr w:type="spellEnd"/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 xml:space="preserve"> Score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0.002 (0.0002 to 0.004)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0.029</w:t>
            </w:r>
          </w:p>
        </w:tc>
      </w:tr>
      <w:tr w:rsidR="00FE5A4A" w:rsidRPr="00836F3C" w:rsidTr="00B9704E">
        <w:trPr>
          <w:trHeight w:val="205"/>
        </w:trPr>
        <w:tc>
          <w:tcPr>
            <w:tcW w:w="47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Evaluator global assessment of disease activity</w:t>
            </w:r>
          </w:p>
        </w:tc>
        <w:tc>
          <w:tcPr>
            <w:tcW w:w="48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Tender Joint Count 68</w:t>
            </w:r>
          </w:p>
        </w:tc>
      </w:tr>
      <w:tr w:rsidR="00FE5A4A" w:rsidRPr="00836F3C" w:rsidTr="00B9704E">
        <w:trPr>
          <w:trHeight w:val="205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836F3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Intercept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3.466 (1.614 to 5.317)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&lt;0.001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Intercept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0.503 (0.285 to 0.721)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&lt;0.001</w:t>
            </w:r>
          </w:p>
        </w:tc>
      </w:tr>
      <w:tr w:rsidR="00FE5A4A" w:rsidRPr="00836F3C" w:rsidTr="00B9704E">
        <w:trPr>
          <w:trHeight w:val="205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836F3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Visit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0.0094 (-0.022 to 0.0408)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0.556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Visit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-0.0024 (-0.0052 to 0.0004)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0.090</w:t>
            </w:r>
          </w:p>
        </w:tc>
      </w:tr>
      <w:tr w:rsidR="00FE5A4A" w:rsidRPr="00836F3C" w:rsidTr="00B9704E">
        <w:trPr>
          <w:trHeight w:val="217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836F3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proofErr w:type="spellStart"/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mSvdH</w:t>
            </w:r>
            <w:proofErr w:type="spellEnd"/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 xml:space="preserve"> Score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-0.007 (-0.026 to 0.012)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0.484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proofErr w:type="spellStart"/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mSvdH</w:t>
            </w:r>
            <w:proofErr w:type="spellEnd"/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 xml:space="preserve"> Score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 (-0.002 to 0.002)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0.902</w:t>
            </w:r>
          </w:p>
        </w:tc>
      </w:tr>
      <w:tr w:rsidR="00FE5A4A" w:rsidRPr="00836F3C" w:rsidTr="00B9704E">
        <w:trPr>
          <w:trHeight w:val="205"/>
        </w:trPr>
        <w:tc>
          <w:tcPr>
            <w:tcW w:w="47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Patients global assessment of pain</w:t>
            </w:r>
          </w:p>
        </w:tc>
        <w:tc>
          <w:tcPr>
            <w:tcW w:w="48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Swollen Joint Count 66</w:t>
            </w:r>
          </w:p>
        </w:tc>
      </w:tr>
      <w:tr w:rsidR="00FE5A4A" w:rsidRPr="00836F3C" w:rsidTr="00B9704E">
        <w:trPr>
          <w:trHeight w:val="205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836F3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Intercept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4.39 (3.068 to 5.712)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&lt;0.001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Intercept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0.362 (0.192 to 0.531)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&lt;0.001</w:t>
            </w:r>
          </w:p>
        </w:tc>
      </w:tr>
      <w:tr w:rsidR="00FE5A4A" w:rsidRPr="00836F3C" w:rsidTr="00B9704E">
        <w:trPr>
          <w:trHeight w:val="205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836F3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Visit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-0.0081 (-0.0217 to 0.0055)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0.243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Visit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-0.002 (-0.004 to 0.0001)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color w:val="000000"/>
                <w:sz w:val="18"/>
              </w:rPr>
              <w:t>0.057</w:t>
            </w:r>
          </w:p>
        </w:tc>
      </w:tr>
      <w:tr w:rsidR="00FE5A4A" w:rsidRPr="00836F3C" w:rsidTr="00B9704E">
        <w:trPr>
          <w:trHeight w:val="217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836F3C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proofErr w:type="spellStart"/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mSvdH</w:t>
            </w:r>
            <w:proofErr w:type="spellEnd"/>
            <w:r w:rsidRPr="00836F3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 xml:space="preserve"> Score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0.012 (-0.008 to 0.032)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0.231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proofErr w:type="spellStart"/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>mSvdH</w:t>
            </w:r>
            <w:proofErr w:type="spellEnd"/>
            <w:r w:rsidRPr="000B6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  <w:t xml:space="preserve"> Score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 (-0.002 to 0.001)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5A4A" w:rsidRPr="000B6A67" w:rsidRDefault="00FE5A4A" w:rsidP="00B9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GB" w:eastAsia="en-GB"/>
              </w:rPr>
            </w:pPr>
            <w:r w:rsidRPr="000B6A67">
              <w:rPr>
                <w:rFonts w:ascii="Calibri" w:hAnsi="Calibri" w:cs="Calibri"/>
                <w:b/>
                <w:color w:val="000000"/>
                <w:sz w:val="18"/>
              </w:rPr>
              <w:t>0.898</w:t>
            </w:r>
          </w:p>
        </w:tc>
      </w:tr>
      <w:tr w:rsidR="00FE5A4A" w:rsidRPr="00836F3C" w:rsidTr="00B9704E">
        <w:trPr>
          <w:trHeight w:val="217"/>
        </w:trPr>
        <w:tc>
          <w:tcPr>
            <w:tcW w:w="9591" w:type="dxa"/>
            <w:gridSpan w:val="6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E5A4A" w:rsidRPr="00836F3C" w:rsidRDefault="00FE5A4A" w:rsidP="00B9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en-GB"/>
              </w:rPr>
            </w:pPr>
            <w:r w:rsidRPr="00215E49"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Estimates are presented as 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e</w:t>
            </w:r>
            <w:r w:rsidRPr="00215E49"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stimate of 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each individual component</w:t>
            </w:r>
            <w:r w:rsidRPr="00215E49"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(95% lower confidence interval to 95% upper c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onfidence interval); ¹ Visits with</w:t>
            </w:r>
            <w:r w:rsidRPr="00215E49"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</w:t>
            </w:r>
            <w:proofErr w:type="spellStart"/>
            <w:r w:rsidRPr="00215E49"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DAPSA</w:t>
            </w:r>
            <w:proofErr w:type="spellEnd"/>
            <w:r w:rsidRPr="00215E49"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remission (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DAPSA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 xml:space="preserve"> </w:t>
            </w:r>
            <w:r w:rsidRPr="00AF2731"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≤4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6"/>
                <w:lang w:val="en-GB" w:eastAsia="en-GB"/>
              </w:rPr>
              <w:t>).</w:t>
            </w:r>
          </w:p>
        </w:tc>
      </w:tr>
    </w:tbl>
    <w:p w:rsidR="00FE5A4A" w:rsidRDefault="00FE5A4A">
      <w:pPr>
        <w:rPr>
          <w:b/>
          <w:bCs/>
          <w:i/>
          <w:color w:val="000000" w:themeColor="text1"/>
          <w:sz w:val="24"/>
          <w:szCs w:val="24"/>
          <w:lang w:val="en-GB"/>
        </w:rPr>
      </w:pPr>
      <w:r>
        <w:rPr>
          <w:b/>
          <w:bCs/>
          <w:i/>
          <w:color w:val="000000" w:themeColor="text1"/>
          <w:sz w:val="24"/>
          <w:szCs w:val="24"/>
          <w:lang w:val="en-GB"/>
        </w:rPr>
        <w:br w:type="page"/>
      </w:r>
    </w:p>
    <w:p w:rsidR="00FE5A4A" w:rsidRDefault="00FE5A4A">
      <w:pPr>
        <w:rPr>
          <w:b/>
          <w:bCs/>
          <w:iCs/>
          <w:color w:val="000000" w:themeColor="text1"/>
          <w:sz w:val="24"/>
          <w:szCs w:val="24"/>
          <w:lang w:val="en-GB"/>
        </w:rPr>
      </w:pPr>
    </w:p>
    <w:p w:rsidR="00DF0937" w:rsidRPr="00832F61" w:rsidRDefault="00DF0937" w:rsidP="00DF0937">
      <w:pPr>
        <w:pStyle w:val="Beschriftung"/>
        <w:rPr>
          <w:color w:val="000000" w:themeColor="text1"/>
          <w:sz w:val="24"/>
          <w:szCs w:val="24"/>
          <w:lang w:val="en-GB"/>
        </w:rPr>
      </w:pPr>
      <w:r w:rsidRPr="00F02DAC">
        <w:rPr>
          <w:b/>
          <w:bCs/>
          <w:i w:val="0"/>
          <w:color w:val="000000" w:themeColor="text1"/>
          <w:sz w:val="24"/>
          <w:szCs w:val="24"/>
          <w:lang w:val="en-GB"/>
        </w:rPr>
        <w:t xml:space="preserve">Figure </w:t>
      </w:r>
      <w:proofErr w:type="spellStart"/>
      <w:r>
        <w:rPr>
          <w:b/>
          <w:bCs/>
          <w:i w:val="0"/>
          <w:color w:val="000000" w:themeColor="text1"/>
          <w:sz w:val="24"/>
          <w:szCs w:val="24"/>
          <w:lang w:val="en-GB"/>
        </w:rPr>
        <w:t>S</w:t>
      </w:r>
      <w:r w:rsidRPr="00F02DAC">
        <w:rPr>
          <w:b/>
          <w:bCs/>
          <w:i w:val="0"/>
          <w:color w:val="000000" w:themeColor="text1"/>
          <w:sz w:val="24"/>
          <w:szCs w:val="24"/>
          <w:lang w:val="en-GB"/>
        </w:rPr>
        <w:t>1</w:t>
      </w:r>
      <w:proofErr w:type="spellEnd"/>
      <w:r w:rsidRPr="00F02DAC">
        <w:rPr>
          <w:b/>
          <w:bCs/>
          <w:i w:val="0"/>
          <w:color w:val="000000" w:themeColor="text1"/>
          <w:sz w:val="24"/>
          <w:szCs w:val="24"/>
          <w:lang w:val="en-GB"/>
        </w:rPr>
        <w:t>. Predicted non-linear association of disease activity on physical function in patients with psoriatic arthritis.</w:t>
      </w:r>
      <w:r w:rsidRPr="00832F61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B25C06">
        <w:rPr>
          <w:i w:val="0"/>
          <w:color w:val="000000" w:themeColor="text1"/>
          <w:sz w:val="24"/>
          <w:szCs w:val="24"/>
          <w:lang w:val="en-GB"/>
        </w:rPr>
        <w:t>Results are estimated for week 24 based on a longitudinal analysis.</w:t>
      </w:r>
      <w:r w:rsidR="00B27BC5">
        <w:rPr>
          <w:i w:val="0"/>
          <w:color w:val="000000" w:themeColor="text1"/>
          <w:sz w:val="24"/>
          <w:szCs w:val="24"/>
          <w:lang w:val="en-GB"/>
        </w:rPr>
        <w:t xml:space="preserve"> </w:t>
      </w:r>
      <w:bookmarkStart w:id="3" w:name="_Hlk485199881"/>
      <w:r w:rsidR="00B27BC5">
        <w:rPr>
          <w:i w:val="0"/>
          <w:color w:val="000000" w:themeColor="text1"/>
          <w:sz w:val="24"/>
          <w:szCs w:val="24"/>
          <w:lang w:val="en-GB"/>
        </w:rPr>
        <w:t>Shaded areas represent 95% confidence intervals.</w:t>
      </w:r>
      <w:bookmarkEnd w:id="3"/>
    </w:p>
    <w:p w:rsidR="00FE5A4A" w:rsidRDefault="00FE5A4A">
      <w:pPr>
        <w:rPr>
          <w:lang w:val="en-GB"/>
        </w:rPr>
      </w:pPr>
    </w:p>
    <w:p w:rsidR="00B27BC5" w:rsidRDefault="00B27BC5">
      <w:pPr>
        <w:rPr>
          <w:lang w:val="en-GB"/>
        </w:rPr>
      </w:pPr>
    </w:p>
    <w:p w:rsidR="00FE5A4A" w:rsidRDefault="00B27BC5">
      <w:pPr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5A92CF93" wp14:editId="4D321EBB">
            <wp:extent cx="5943598" cy="4457699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ureS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44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A4A">
        <w:rPr>
          <w:lang w:val="en-GB"/>
        </w:rPr>
        <w:br w:type="page"/>
      </w:r>
    </w:p>
    <w:p w:rsidR="00FE5A4A" w:rsidRPr="00C60D33" w:rsidRDefault="00FE5A4A" w:rsidP="00FE5A4A">
      <w:pPr>
        <w:rPr>
          <w:sz w:val="24"/>
          <w:szCs w:val="24"/>
          <w:lang w:val="en-GB"/>
        </w:rPr>
      </w:pPr>
      <w:bookmarkStart w:id="4" w:name="_Hlk484983927"/>
      <w:r>
        <w:rPr>
          <w:b/>
          <w:sz w:val="24"/>
          <w:szCs w:val="24"/>
          <w:lang w:val="en-GB"/>
        </w:rPr>
        <w:lastRenderedPageBreak/>
        <w:t xml:space="preserve">Figure </w:t>
      </w:r>
      <w:proofErr w:type="spellStart"/>
      <w:r>
        <w:rPr>
          <w:b/>
          <w:sz w:val="24"/>
          <w:szCs w:val="24"/>
          <w:lang w:val="en-GB"/>
        </w:rPr>
        <w:t>S2</w:t>
      </w:r>
      <w:proofErr w:type="spellEnd"/>
      <w:r w:rsidRPr="00D94D2C">
        <w:rPr>
          <w:b/>
          <w:sz w:val="24"/>
          <w:szCs w:val="24"/>
          <w:lang w:val="en-GB"/>
        </w:rPr>
        <w:t xml:space="preserve">: Histogram of the distribution of modified Sharp van der </w:t>
      </w:r>
      <w:proofErr w:type="spellStart"/>
      <w:r w:rsidRPr="00D94D2C">
        <w:rPr>
          <w:b/>
          <w:sz w:val="24"/>
          <w:szCs w:val="24"/>
          <w:lang w:val="en-GB"/>
        </w:rPr>
        <w:t>Heijde</w:t>
      </w:r>
      <w:proofErr w:type="spellEnd"/>
      <w:r w:rsidRPr="00D94D2C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(</w:t>
      </w:r>
      <w:proofErr w:type="spellStart"/>
      <w:r>
        <w:rPr>
          <w:b/>
          <w:sz w:val="24"/>
          <w:szCs w:val="24"/>
          <w:lang w:val="en-GB"/>
        </w:rPr>
        <w:t>mSvdH</w:t>
      </w:r>
      <w:proofErr w:type="spellEnd"/>
      <w:r>
        <w:rPr>
          <w:b/>
          <w:sz w:val="24"/>
          <w:szCs w:val="24"/>
          <w:lang w:val="en-GB"/>
        </w:rPr>
        <w:t xml:space="preserve">) </w:t>
      </w:r>
      <w:r w:rsidR="00A86F5F">
        <w:rPr>
          <w:b/>
          <w:sz w:val="24"/>
          <w:szCs w:val="24"/>
          <w:lang w:val="en-GB"/>
        </w:rPr>
        <w:t>s</w:t>
      </w:r>
      <w:r w:rsidRPr="00D94D2C">
        <w:rPr>
          <w:b/>
          <w:sz w:val="24"/>
          <w:szCs w:val="24"/>
          <w:lang w:val="en-GB"/>
        </w:rPr>
        <w:t xml:space="preserve">cores </w:t>
      </w:r>
      <w:r>
        <w:rPr>
          <w:b/>
          <w:sz w:val="24"/>
          <w:szCs w:val="24"/>
          <w:lang w:val="en-GB"/>
        </w:rPr>
        <w:t>of</w:t>
      </w:r>
      <w:r w:rsidRPr="00D94D2C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all</w:t>
      </w:r>
      <w:r w:rsidRPr="00D94D2C">
        <w:rPr>
          <w:b/>
          <w:sz w:val="24"/>
          <w:szCs w:val="24"/>
          <w:lang w:val="en-GB"/>
        </w:rPr>
        <w:t xml:space="preserve"> GO-REVEAL </w:t>
      </w:r>
      <w:r>
        <w:rPr>
          <w:b/>
          <w:sz w:val="24"/>
          <w:szCs w:val="24"/>
          <w:lang w:val="en-GB"/>
        </w:rPr>
        <w:t>patients, utilized for analysis (n=363)</w:t>
      </w:r>
      <w:r w:rsidRPr="00D94D2C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D</w:t>
      </w:r>
      <w:r w:rsidRPr="00C60D33">
        <w:rPr>
          <w:sz w:val="24"/>
          <w:szCs w:val="24"/>
          <w:lang w:val="en-GB"/>
        </w:rPr>
        <w:t>ifferent colours</w:t>
      </w:r>
      <w:proofErr w:type="gramEnd"/>
      <w:r w:rsidRPr="00C60D33">
        <w:rPr>
          <w:sz w:val="24"/>
          <w:szCs w:val="24"/>
          <w:lang w:val="en-GB"/>
        </w:rPr>
        <w:t xml:space="preserve"> mark quintiles of total </w:t>
      </w:r>
      <w:proofErr w:type="spellStart"/>
      <w:r w:rsidRPr="00C60D33">
        <w:rPr>
          <w:sz w:val="24"/>
          <w:szCs w:val="24"/>
          <w:lang w:val="en-GB"/>
        </w:rPr>
        <w:t>mSvdH</w:t>
      </w:r>
      <w:proofErr w:type="spellEnd"/>
      <w:r w:rsidRPr="00C60D33">
        <w:rPr>
          <w:sz w:val="24"/>
          <w:szCs w:val="24"/>
          <w:lang w:val="en-GB"/>
        </w:rPr>
        <w:t xml:space="preserve"> score</w:t>
      </w:r>
      <w:r>
        <w:rPr>
          <w:sz w:val="24"/>
          <w:szCs w:val="24"/>
          <w:lang w:val="en-GB"/>
        </w:rPr>
        <w:t>.</w:t>
      </w:r>
    </w:p>
    <w:bookmarkEnd w:id="4"/>
    <w:p w:rsidR="00FE5A4A" w:rsidRPr="00DF0937" w:rsidRDefault="00FE5A4A" w:rsidP="00FE5A4A">
      <w:pPr>
        <w:jc w:val="center"/>
        <w:rPr>
          <w:lang w:val="en-GB"/>
        </w:rPr>
      </w:pPr>
      <w:r>
        <w:rPr>
          <w:rFonts w:eastAsia="Times New Roman" w:cstheme="minorHAnsi"/>
          <w:noProof/>
          <w:color w:val="385623" w:themeColor="accent6" w:themeShade="80"/>
          <w:sz w:val="24"/>
          <w:szCs w:val="24"/>
          <w:lang w:val="de-DE" w:eastAsia="de-DE"/>
        </w:rPr>
        <w:drawing>
          <wp:inline distT="0" distB="0" distL="0" distR="0" wp14:anchorId="33767FD3" wp14:editId="64127EA4">
            <wp:extent cx="4521200" cy="3390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gram2_xray_score-16-05-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893" cy="34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37" w:rsidRPr="00DF0937" w:rsidRDefault="00DF0937">
      <w:pPr>
        <w:rPr>
          <w:lang w:val="en-GB"/>
        </w:rPr>
      </w:pPr>
    </w:p>
    <w:sectPr w:rsidR="00DF0937" w:rsidRPr="00DF0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6B"/>
    <w:rsid w:val="0004158C"/>
    <w:rsid w:val="00120A14"/>
    <w:rsid w:val="00180832"/>
    <w:rsid w:val="001A5305"/>
    <w:rsid w:val="00215E49"/>
    <w:rsid w:val="00383DE1"/>
    <w:rsid w:val="003B4D14"/>
    <w:rsid w:val="00550562"/>
    <w:rsid w:val="005775B5"/>
    <w:rsid w:val="0058369B"/>
    <w:rsid w:val="005C3ACF"/>
    <w:rsid w:val="00606AE1"/>
    <w:rsid w:val="006C1C88"/>
    <w:rsid w:val="006D0B66"/>
    <w:rsid w:val="00765F3E"/>
    <w:rsid w:val="007869F8"/>
    <w:rsid w:val="00790BED"/>
    <w:rsid w:val="008A0731"/>
    <w:rsid w:val="008F0DDA"/>
    <w:rsid w:val="009337A1"/>
    <w:rsid w:val="00987387"/>
    <w:rsid w:val="009932FC"/>
    <w:rsid w:val="00996962"/>
    <w:rsid w:val="009B53B5"/>
    <w:rsid w:val="00A5132D"/>
    <w:rsid w:val="00A60E07"/>
    <w:rsid w:val="00A86F5F"/>
    <w:rsid w:val="00AD56E2"/>
    <w:rsid w:val="00B27BC5"/>
    <w:rsid w:val="00B31312"/>
    <w:rsid w:val="00B316CD"/>
    <w:rsid w:val="00B35D66"/>
    <w:rsid w:val="00BD4BCB"/>
    <w:rsid w:val="00BF1489"/>
    <w:rsid w:val="00CF5A6B"/>
    <w:rsid w:val="00D31BA7"/>
    <w:rsid w:val="00DF0937"/>
    <w:rsid w:val="00E56F14"/>
    <w:rsid w:val="00E96A85"/>
    <w:rsid w:val="00F70590"/>
    <w:rsid w:val="00F97BA0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30A8"/>
  <w15:chartTrackingRefBased/>
  <w15:docId w15:val="{CB24E837-F16F-4F7D-8FD6-7C5854C4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DF09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3247-405E-4A2C-8745-E8E619D2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Kerschbaumer</dc:creator>
  <cp:keywords/>
  <dc:description/>
  <cp:lastModifiedBy>Andreas Kerschbaumer</cp:lastModifiedBy>
  <cp:revision>6</cp:revision>
  <dcterms:created xsi:type="dcterms:W3CDTF">2017-06-23T11:11:00Z</dcterms:created>
  <dcterms:modified xsi:type="dcterms:W3CDTF">2017-07-28T13:42:00Z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145653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