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D6" w:rsidRPr="004E74E7" w:rsidRDefault="00FF2FD6" w:rsidP="00FF2FD6">
      <w:pPr>
        <w:pStyle w:val="Rubrik1"/>
        <w:pBdr>
          <w:bottom w:val="single" w:sz="6" w:space="1" w:color="auto"/>
        </w:pBdr>
        <w:spacing w:before="0" w:line="240" w:lineRule="auto"/>
      </w:pPr>
      <w:r w:rsidRPr="004E74E7">
        <w:t>Supplement: Patient Identification &amp; Anti-</w:t>
      </w:r>
      <w:r w:rsidR="005E2501">
        <w:t>R</w:t>
      </w:r>
      <w:r w:rsidRPr="004E74E7">
        <w:t>heumatic Treatment</w:t>
      </w:r>
    </w:p>
    <w:p w:rsidR="00FF2FD6" w:rsidRDefault="00FF2FD6" w:rsidP="00FF2FD6">
      <w:pPr>
        <w:spacing w:after="120"/>
        <w:jc w:val="both"/>
      </w:pPr>
      <w:r>
        <w:t xml:space="preserve">The National Patient Register contains data from inpatient and outpatient </w:t>
      </w:r>
      <w:r w:rsidR="00665341">
        <w:t xml:space="preserve">specialist care </w:t>
      </w:r>
      <w:r>
        <w:t>visits in the universally accessible Swedish health care system. The data include, e.g., personal identification number, admission date, main and contributory ICD-diagnoses, hospital, county, sex and age. Data from the inpatient register exist from 1964 onwards and the register attained national cover</w:t>
      </w:r>
      <w:r w:rsidR="00665341">
        <w:t xml:space="preserve">age in 1987. Data on </w:t>
      </w:r>
      <w:r>
        <w:t xml:space="preserve">outpatient </w:t>
      </w:r>
      <w:r w:rsidR="00665341">
        <w:t xml:space="preserve">specialist </w:t>
      </w:r>
      <w:r>
        <w:t xml:space="preserve">care exist from 2001 onwards. At the time of data linkage, the National Patient Register was updated until December 31, 2007. </w:t>
      </w:r>
    </w:p>
    <w:p w:rsidR="00FF2FD6" w:rsidRDefault="00FF2FD6" w:rsidP="00FF2FD6">
      <w:pPr>
        <w:spacing w:after="120"/>
        <w:jc w:val="both"/>
      </w:pPr>
      <w:r>
        <w:t xml:space="preserve">Patients with a visit in either inpatient (1964-2007) or outpatient </w:t>
      </w:r>
      <w:r w:rsidR="00665341">
        <w:t xml:space="preserve">specialist </w:t>
      </w:r>
      <w:r>
        <w:t>care (2001-2007) with a main or contributory diagnosis for RA were identified (</w:t>
      </w:r>
      <w:r w:rsidRPr="001D03B2">
        <w:t>ICD10 M05</w:t>
      </w:r>
      <w:r>
        <w:t xml:space="preserve">, M06, M12.3; ICD9 714A/B/C, 719D; ICD8 712.10/20/38/39; ICD7 722). The validity of the diagnosis has been assessed previously by scrutinizing a random nationwide sample of almost 1,000 records of patients admitted to hospital with an RA </w:t>
      </w:r>
      <w:r w:rsidRPr="00CE37BE">
        <w:t>diagnosis.</w:t>
      </w:r>
      <w:r w:rsidR="00803BF9">
        <w:fldChar w:fldCharType="begin"/>
      </w:r>
      <w:r w:rsidR="001932B6">
        <w:instrText xml:space="preserve"> ADDIN EN.CITE &lt;EndNote&gt;&lt;Cite&gt;&lt;Author&gt;Baecklund&lt;/Author&gt;&lt;Year&gt;1998&lt;/Year&gt;&lt;RecNum&gt;50&lt;/RecNum&gt;&lt;DisplayText&gt;[1]&lt;/DisplayText&gt;&lt;record&gt;&lt;rec-number&gt;50&lt;/rec-number&gt;&lt;foreign-keys&gt;&lt;key app="EN" db-id="zrx5fzwvjsd9zpep0edvztdfv2f5da0f0fet"&gt;50&lt;/key&gt;&lt;/foreign-keys&gt;&lt;ref-type name="Journal Article"&gt;17&lt;/ref-type&gt;&lt;contributors&gt;&lt;authors&gt;&lt;author&gt;Baecklund, E.&lt;/author&gt;&lt;author&gt;Ekbom, A.&lt;/author&gt;&lt;author&gt;Sparen, P.&lt;/author&gt;&lt;author&gt;Feltelius, N.&lt;/author&gt;&lt;author&gt;Klareskog, L.&lt;/author&gt;&lt;/authors&gt;&lt;/contributors&gt;&lt;auth-address&gt;Department of Medicine, University Hospital, S-751 85 Uppsala, Sweden. Eva.Baecklund@swipnet.se&lt;/auth-address&gt;&lt;titles&gt;&lt;title&gt;Disease activity and risk of lymphoma in patients with rheumatoid arthritis: nested case-control study&lt;/title&gt;&lt;secondary-title&gt;BMJ&lt;/secondary-title&gt;&lt;/titles&gt;&lt;pages&gt;180-1&lt;/pages&gt;&lt;volume&gt;317&lt;/volume&gt;&lt;number&gt;7152&lt;/number&gt;&lt;edition&gt;1998/07/17&lt;/edition&gt;&lt;keywords&gt;&lt;keyword&gt;Arthritis, Rheumatoid/*complications/pathology&lt;/keyword&gt;&lt;keyword&gt;Case-Control Studies&lt;/keyword&gt;&lt;keyword&gt;Cohort Studies&lt;/keyword&gt;&lt;keyword&gt;Humans&lt;/keyword&gt;&lt;keyword&gt;Inflammation/pathology&lt;/keyword&gt;&lt;keyword&gt;Lymphoma/*etiology/pathology&lt;/keyword&gt;&lt;keyword&gt;Risk Factors&lt;/keyword&gt;&lt;/keywords&gt;&lt;dates&gt;&lt;year&gt;1998&lt;/year&gt;&lt;pub-dates&gt;&lt;date&gt;Jul 18&lt;/date&gt;&lt;/pub-dates&gt;&lt;/dates&gt;&lt;isbn&gt;0959-8138 (Print)&lt;/isbn&gt;&lt;accession-num&gt;9665898&lt;/accession-num&gt;&lt;urls&gt;&lt;related-urls&gt;&lt;url&gt;http://www.ncbi.nlm.nih.gov/entrez/query.fcgi?cmd=Retrieve&amp;amp;db=PubMed&amp;amp;dopt=Citation&amp;amp;list_uids=9665898&lt;/url&gt;&lt;/related-urls&gt;&lt;/urls&gt;&lt;language&gt;eng&lt;/language&gt;&lt;/record&gt;&lt;/Cite&gt;&lt;/EndNote&gt;</w:instrText>
      </w:r>
      <w:r w:rsidR="00803BF9">
        <w:fldChar w:fldCharType="separate"/>
      </w:r>
      <w:r w:rsidR="001932B6">
        <w:rPr>
          <w:noProof/>
        </w:rPr>
        <w:t>[1]</w:t>
      </w:r>
      <w:r w:rsidR="00803BF9">
        <w:fldChar w:fldCharType="end"/>
      </w:r>
      <w:r w:rsidRPr="00CE37BE">
        <w:t xml:space="preserve"> Approximately 90% of these patients fulfilled the American College of Rheumatology classification criteria.</w:t>
      </w:r>
      <w:r w:rsidR="00803BF9">
        <w:fldChar w:fldCharType="begin"/>
      </w:r>
      <w:r w:rsidR="001932B6">
        <w:instrText xml:space="preserve"> ADDIN EN.CITE &lt;EndNote&gt;&lt;Cite&gt;&lt;Author&gt;Arnett&lt;/Author&gt;&lt;Year&gt;1988&lt;/Year&gt;&lt;RecNum&gt;10&lt;/RecNum&gt;&lt;DisplayText&gt;[2]&lt;/DisplayText&gt;&lt;record&gt;&lt;rec-number&gt;10&lt;/rec-number&gt;&lt;ref-type name="Journal Article"&gt;17&lt;/ref-type&gt;&lt;contributors&gt;&lt;authors&gt;&lt;author&gt;Arnett, F. C.&lt;/author&gt;&lt;author&gt;Edworthy, S. M.&lt;/author&gt;&lt;author&gt;Bloch, D. A.&lt;/author&gt;&lt;author&gt;McShane, D. J.&lt;/author&gt;&lt;author&gt;Fries, J. F.&lt;/author&gt;&lt;author&gt;Cooper, N. S.&lt;/author&gt;&lt;author&gt;Healey, L. A.&lt;/author&gt;&lt;author&gt;Kaplan, S. R.&lt;/author&gt;&lt;author&gt;Liang, M. H.&lt;/author&gt;&lt;author&gt;Luthra, H. S.&lt;/author&gt;&lt;author&gt;et al.,&lt;/author&gt;&lt;/authors&gt;&lt;/contributors&gt;&lt;auth-address&gt;American Rheumatism Association, Atlanta, GA 30329.&lt;/auth-address&gt;&lt;titles&gt;&lt;title&gt;The American Rheumatism Association 1987 revised criteria for the classification of rheumatoid arthritis&lt;/title&gt;&lt;secondary-title&gt;Arthritis Rheum&lt;/secondary-title&gt;&lt;alt-title&gt;Arthritis and rheumatism&lt;/alt-title&gt;&lt;/titles&gt;&lt;periodical&gt;&lt;full-title&gt;Arthritis Rheum&lt;/full-title&gt;&lt;abbr-1&gt;Arthritis and rheumatism&lt;/abbr-1&gt;&lt;/periodical&gt;&lt;alt-periodical&gt;&lt;full-title&gt;Arthritis Rheum&lt;/full-title&gt;&lt;abbr-1&gt;Arthritis and rheumatism&lt;/abbr-1&gt;&lt;/alt-periodical&gt;&lt;pages&gt;315-24&lt;/pages&gt;&lt;volume&gt;31&lt;/volume&gt;&lt;number&gt;3&lt;/number&gt;&lt;keywords&gt;&lt;keyword&gt;Arthritis, Rheumatoid/*classification/diagnosis&lt;/keyword&gt;&lt;keyword&gt;Humans&lt;/keyword&gt;&lt;keyword&gt;*Rheumatology/trends&lt;/keyword&gt;&lt;keyword&gt;Societies, Medical&lt;/keyword&gt;&lt;keyword&gt;Terminology as Topic&lt;/keyword&gt;&lt;keyword&gt;United States&lt;/keyword&gt;&lt;/keywords&gt;&lt;dates&gt;&lt;year&gt;1988&lt;/year&gt;&lt;pub-dates&gt;&lt;date&gt;Mar&lt;/date&gt;&lt;/pub-dates&gt;&lt;/dates&gt;&lt;isbn&gt;0004-3591 (Print)&amp;#xD;0004-3591 (Linking)&lt;/isbn&gt;&lt;accession-num&gt;3358796&lt;/accession-num&gt;&lt;urls&gt;&lt;related-urls&gt;&lt;url&gt;http://www.ncbi.nlm.nih.gov/entrez/query.fcgi?cmd=Retrieve&amp;amp;db=PubMed&amp;amp;dopt=Citation&amp;amp;list_uids=3358796 &lt;/url&gt;&lt;/related-urls&gt;&lt;/urls&gt;&lt;language&gt;eng&lt;/language&gt;&lt;/record&gt;&lt;/Cite&gt;&lt;/EndNote&gt;</w:instrText>
      </w:r>
      <w:r w:rsidR="00803BF9">
        <w:fldChar w:fldCharType="separate"/>
      </w:r>
      <w:r w:rsidR="001932B6">
        <w:rPr>
          <w:noProof/>
        </w:rPr>
        <w:t>[2]</w:t>
      </w:r>
      <w:r w:rsidR="00803BF9">
        <w:fldChar w:fldCharType="end"/>
      </w:r>
      <w:r w:rsidRPr="00CE37BE">
        <w:t xml:space="preserve"> In a smaller validation study of visits listing RA as d</w:t>
      </w:r>
      <w:r>
        <w:t xml:space="preserve">iagnosis in outpatient </w:t>
      </w:r>
      <w:r w:rsidR="00665341">
        <w:t xml:space="preserve">specialist </w:t>
      </w:r>
      <w:r>
        <w:t xml:space="preserve">care during the period 2001 to </w:t>
      </w:r>
      <w:r w:rsidRPr="00CE37BE">
        <w:t xml:space="preserve">2005, </w:t>
      </w:r>
      <w:r>
        <w:t>94% (50/53) fulfilled the ACR criteria</w:t>
      </w:r>
      <w:r w:rsidRPr="00CE37BE">
        <w:t>.</w:t>
      </w:r>
      <w:r w:rsidR="00803BF9">
        <w:fldChar w:fldCharType="begin"/>
      </w:r>
      <w:r w:rsidR="001932B6">
        <w:instrText xml:space="preserve"> ADDIN EN.CITE &lt;EndNote&gt;&lt;Cite&gt;&lt;Author&gt;Knight&lt;/Author&gt;&lt;Year&gt;2010&lt;/Year&gt;&lt;RecNum&gt;259&lt;/RecNum&gt;&lt;DisplayText&gt;[3]&lt;/DisplayText&gt;&lt;record&gt;&lt;rec-number&gt;259&lt;/rec-number&gt;&lt;foreign-keys&gt;&lt;key app="EN" db-id="pd99dpwa0w2s2ree2pc5tsv7exr05ev0pfdt"&gt;259&lt;/key&gt;&lt;/foreign-keys&gt;&lt;ref-type name="Journal Article"&gt;17&lt;/ref-type&gt;&lt;contributors&gt;&lt;authors&gt;&lt;author&gt;Knight, A.&lt;/author&gt;&lt;author&gt;Sandin, S.&lt;/author&gt;&lt;author&gt;Askling, J.&lt;/author&gt;&lt;/authors&gt;&lt;/contributors&gt;&lt;titles&gt;&lt;title&gt;Autoimmune and inflammatory diseases in first-degree relatives of patients with Wegener’s granulomatosis&lt;/title&gt;&lt;secondary-title&gt;J Rheumatol&lt;/secondary-title&gt;&lt;/titles&gt;&lt;periodical&gt;&lt;full-title&gt;J Rheumatol&lt;/full-title&gt;&lt;/periodical&gt;&lt;volume&gt;In press&lt;/volume&gt;&lt;dates&gt;&lt;year&gt;2010&lt;/year&gt;&lt;/dates&gt;&lt;urls&gt;&lt;/urls&gt;&lt;/record&gt;&lt;/Cite&gt;&lt;/EndNote&gt;</w:instrText>
      </w:r>
      <w:r w:rsidR="00803BF9">
        <w:fldChar w:fldCharType="separate"/>
      </w:r>
      <w:r w:rsidR="001932B6">
        <w:rPr>
          <w:noProof/>
        </w:rPr>
        <w:t>[3]</w:t>
      </w:r>
      <w:r w:rsidR="00803BF9">
        <w:fldChar w:fldCharType="end"/>
      </w:r>
      <w:r>
        <w:t xml:space="preserve"> A validation in Lund found similar percentages fulfilling the ACR criteria in inpatient (629/679=93%) as well as outpatient care (428/504=85%; P </w:t>
      </w:r>
      <w:proofErr w:type="spellStart"/>
      <w:r>
        <w:t>Geborek</w:t>
      </w:r>
      <w:proofErr w:type="spellEnd"/>
      <w:r>
        <w:t>, personal communication.)</w:t>
      </w:r>
    </w:p>
    <w:p w:rsidR="00FF2FD6" w:rsidRDefault="00FF2FD6" w:rsidP="00FF2FD6">
      <w:pPr>
        <w:jc w:val="both"/>
      </w:pPr>
      <w:r>
        <w:t xml:space="preserve">The Swedish Rheumatology Quality Register, maintained by the Swedish Society for Rheumatology, is a clinical quality register containing patients with both early and advanced RA. The register has been in operation since the mid-1990s and patients were included in the current linkage if they were identified prior to January 1, 2008. Since 1999, the register also contains the Swedish Biologics Register (ARTIS) of </w:t>
      </w:r>
      <w:r w:rsidRPr="002A20FC">
        <w:t>biologically treated patients with RA.</w:t>
      </w:r>
      <w:r w:rsidR="00803BF9" w:rsidRPr="002A20FC">
        <w:fldChar w:fldCharType="begin">
          <w:fldData xml:space="preserve">PEVuZE5vdGU+PENpdGU+PEF1dGhvcj5Bc2tsaW5nPC9BdXRob3I+PFllYXI+MjAwNjwvWWVhcj48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</w:fldData>
        </w:fldChar>
      </w:r>
      <w:r w:rsidR="001932B6">
        <w:instrText xml:space="preserve"> ADDIN EN.CITE </w:instrText>
      </w:r>
      <w:r w:rsidR="00803BF9">
        <w:fldChar w:fldCharType="begin">
          <w:fldData xml:space="preserve">PEVuZE5vdGU+PENpdGU+PEF1dGhvcj5Bc2tsaW5nPC9BdXRob3I+PFllYXI+MjAwNjwvWWVhcj48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</w:fldData>
        </w:fldChar>
      </w:r>
      <w:r w:rsidR="001932B6">
        <w:instrText xml:space="preserve"> ADDIN EN.CITE.DATA </w:instrText>
      </w:r>
      <w:r w:rsidR="00803BF9">
        <w:fldChar w:fldCharType="end"/>
      </w:r>
      <w:r w:rsidR="00803BF9" w:rsidRPr="002A20FC">
        <w:fldChar w:fldCharType="separate"/>
      </w:r>
      <w:r w:rsidR="001932B6">
        <w:rPr>
          <w:noProof/>
        </w:rPr>
        <w:t>[4, 5]</w:t>
      </w:r>
      <w:r w:rsidR="00803BF9" w:rsidRPr="002A20FC">
        <w:fldChar w:fldCharType="end"/>
      </w:r>
      <w:r w:rsidRPr="002A20FC">
        <w:t xml:space="preserve"> In a regional validation in southern Sweden, the percentage of biologic</w:t>
      </w:r>
      <w:r>
        <w:t>s</w:t>
      </w:r>
      <w:r w:rsidRPr="002A20FC">
        <w:t xml:space="preserve"> treated patients labeled with RA fulfill</w:t>
      </w:r>
      <w:r>
        <w:t>ing</w:t>
      </w:r>
      <w:r w:rsidRPr="002A20FC">
        <w:t xml:space="preserve"> the ACR </w:t>
      </w:r>
      <w:proofErr w:type="gramStart"/>
      <w:r w:rsidRPr="002A20FC">
        <w:t>criteria has</w:t>
      </w:r>
      <w:proofErr w:type="gramEnd"/>
      <w:r w:rsidRPr="002A20FC">
        <w:t xml:space="preserve"> been estimated to 98%.</w:t>
      </w:r>
      <w:r w:rsidR="00803BF9" w:rsidRPr="002A20FC">
        <w:fldChar w:fldCharType="begin">
          <w:fldData xml:space="preserve">PEVuZE5vdGU+PENpdGU+PEF1dGhvcj5HZWJvcmVrPC9BdXRob3I+PFllYXI+MjAwMjwvWWVhcj48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</w:fldData>
        </w:fldChar>
      </w:r>
      <w:r w:rsidR="001932B6">
        <w:instrText xml:space="preserve"> ADDIN EN.CITE </w:instrText>
      </w:r>
      <w:r w:rsidR="00803BF9">
        <w:fldChar w:fldCharType="begin">
          <w:fldData xml:space="preserve">PEVuZE5vdGU+PENpdGU+PEF1dGhvcj5HZWJvcmVrPC9BdXRob3I+PFllYXI+MjAwMjwvWWVhcj48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</w:fldData>
        </w:fldChar>
      </w:r>
      <w:r w:rsidR="001932B6">
        <w:instrText xml:space="preserve"> ADDIN EN.CITE.DATA </w:instrText>
      </w:r>
      <w:r w:rsidR="00803BF9">
        <w:fldChar w:fldCharType="end"/>
      </w:r>
      <w:r w:rsidR="00803BF9" w:rsidRPr="002A20FC">
        <w:fldChar w:fldCharType="separate"/>
      </w:r>
      <w:r w:rsidR="001932B6">
        <w:rPr>
          <w:noProof/>
        </w:rPr>
        <w:t>[6]</w:t>
      </w:r>
      <w:r w:rsidR="00803BF9" w:rsidRPr="002A20FC">
        <w:fldChar w:fldCharType="end"/>
      </w:r>
    </w:p>
    <w:p w:rsidR="00FF2FD6" w:rsidRPr="00DD4F9E" w:rsidRDefault="00FF2FD6" w:rsidP="00FF2FD6">
      <w:pPr>
        <w:spacing w:after="0" w:line="240" w:lineRule="auto"/>
        <w:jc w:val="both"/>
        <w:rPr>
          <w:b/>
        </w:rPr>
      </w:pPr>
      <w:r w:rsidRPr="00DD4F9E">
        <w:rPr>
          <w:b/>
        </w:rPr>
        <w:t>Anti-</w:t>
      </w:r>
      <w:r>
        <w:rPr>
          <w:b/>
        </w:rPr>
        <w:t>R</w:t>
      </w:r>
      <w:r w:rsidRPr="00DD4F9E">
        <w:rPr>
          <w:b/>
        </w:rPr>
        <w:t>heumatic Drug Treatment</w:t>
      </w:r>
    </w:p>
    <w:p w:rsidR="00FF2FD6" w:rsidRDefault="00FF2FD6" w:rsidP="00FF2FD6">
      <w:pPr>
        <w:jc w:val="both"/>
        <w:rPr>
          <w:lang w:val="en-GB"/>
        </w:rPr>
      </w:pPr>
      <w:r>
        <w:rPr>
          <w:lang w:val="en-GB"/>
        </w:rPr>
        <w:t>D</w:t>
      </w:r>
      <w:r w:rsidRPr="00BB5022">
        <w:rPr>
          <w:lang w:val="en-GB"/>
        </w:rPr>
        <w:t xml:space="preserve">ata on prescription drugs were retrieved from the Prescribed Drug Register for the period </w:t>
      </w:r>
      <w:r>
        <w:rPr>
          <w:lang w:val="en-GB"/>
        </w:rPr>
        <w:t xml:space="preserve">July </w:t>
      </w:r>
      <w:r w:rsidRPr="00BB5022">
        <w:rPr>
          <w:lang w:val="en-GB"/>
        </w:rPr>
        <w:t>2005 to 200</w:t>
      </w:r>
      <w:r w:rsidR="00665341">
        <w:rPr>
          <w:lang w:val="en-GB"/>
        </w:rPr>
        <w:t>7</w:t>
      </w:r>
      <w:r w:rsidRPr="00BB5022">
        <w:rPr>
          <w:lang w:val="en-GB"/>
        </w:rPr>
        <w:t xml:space="preserve">. </w:t>
      </w:r>
      <w:r>
        <w:rPr>
          <w:lang w:val="en-GB"/>
        </w:rPr>
        <w:t>Data were retrieved on treatment</w:t>
      </w:r>
      <w:r w:rsidRPr="00BB5022">
        <w:rPr>
          <w:lang w:val="en-GB"/>
        </w:rPr>
        <w:t xml:space="preserve"> </w:t>
      </w:r>
      <w:r>
        <w:rPr>
          <w:lang w:val="en-GB"/>
        </w:rPr>
        <w:t xml:space="preserve">with biologics </w:t>
      </w:r>
      <w:r w:rsidRPr="00BB5022">
        <w:rPr>
          <w:lang w:val="en-GB"/>
        </w:rPr>
        <w:t>(</w:t>
      </w:r>
      <w:proofErr w:type="spellStart"/>
      <w:r w:rsidRPr="00BB5022">
        <w:rPr>
          <w:lang w:val="en-GB"/>
        </w:rPr>
        <w:t>etanercept</w:t>
      </w:r>
      <w:proofErr w:type="spellEnd"/>
      <w:r w:rsidRPr="00BB5022">
        <w:rPr>
          <w:lang w:val="en-GB"/>
        </w:rPr>
        <w:t xml:space="preserve">, </w:t>
      </w:r>
      <w:proofErr w:type="spellStart"/>
      <w:r w:rsidRPr="00BB5022">
        <w:rPr>
          <w:lang w:val="en-GB"/>
        </w:rPr>
        <w:t>infliximab</w:t>
      </w:r>
      <w:proofErr w:type="spellEnd"/>
      <w:r w:rsidRPr="00BB5022">
        <w:rPr>
          <w:lang w:val="en-GB"/>
        </w:rPr>
        <w:t xml:space="preserve">, </w:t>
      </w:r>
      <w:proofErr w:type="spellStart"/>
      <w:r w:rsidRPr="00BB5022">
        <w:rPr>
          <w:lang w:val="en-GB"/>
        </w:rPr>
        <w:t>adalimumab</w:t>
      </w:r>
      <w:proofErr w:type="spellEnd"/>
      <w:r w:rsidRPr="00BB5022">
        <w:rPr>
          <w:lang w:val="en-GB"/>
        </w:rPr>
        <w:t xml:space="preserve">, </w:t>
      </w:r>
      <w:proofErr w:type="spellStart"/>
      <w:r w:rsidRPr="00BB5022">
        <w:rPr>
          <w:lang w:val="en-GB"/>
        </w:rPr>
        <w:t>rituximab</w:t>
      </w:r>
      <w:proofErr w:type="spellEnd"/>
      <w:r w:rsidRPr="00BB5022">
        <w:rPr>
          <w:lang w:val="en-GB"/>
        </w:rPr>
        <w:t xml:space="preserve">, </w:t>
      </w:r>
      <w:proofErr w:type="spellStart"/>
      <w:r w:rsidRPr="00BB5022">
        <w:rPr>
          <w:lang w:val="en-GB"/>
        </w:rPr>
        <w:t>abatacept</w:t>
      </w:r>
      <w:proofErr w:type="spellEnd"/>
      <w:r w:rsidRPr="00BB5022">
        <w:rPr>
          <w:lang w:val="en-GB"/>
        </w:rPr>
        <w:t xml:space="preserve"> and </w:t>
      </w:r>
      <w:proofErr w:type="spellStart"/>
      <w:r w:rsidRPr="00BB5022">
        <w:rPr>
          <w:lang w:val="en-GB"/>
        </w:rPr>
        <w:t>anakinra</w:t>
      </w:r>
      <w:proofErr w:type="spellEnd"/>
      <w:r w:rsidRPr="00BB5022">
        <w:rPr>
          <w:lang w:val="en-GB"/>
        </w:rPr>
        <w:t>), non-biologic RA treatments (</w:t>
      </w:r>
      <w:proofErr w:type="spellStart"/>
      <w:r w:rsidRPr="00BB5022">
        <w:rPr>
          <w:lang w:val="en-GB"/>
        </w:rPr>
        <w:t>methotrexate</w:t>
      </w:r>
      <w:proofErr w:type="spellEnd"/>
      <w:r w:rsidRPr="00BB5022">
        <w:rPr>
          <w:lang w:val="en-GB"/>
        </w:rPr>
        <w:t xml:space="preserve">, </w:t>
      </w:r>
      <w:proofErr w:type="spellStart"/>
      <w:r w:rsidRPr="00BB5022">
        <w:rPr>
          <w:lang w:val="en-GB"/>
        </w:rPr>
        <w:t>sulfasalazin</w:t>
      </w:r>
      <w:proofErr w:type="spellEnd"/>
      <w:r w:rsidRPr="00BB5022">
        <w:rPr>
          <w:lang w:val="en-GB"/>
        </w:rPr>
        <w:t xml:space="preserve">, </w:t>
      </w:r>
      <w:proofErr w:type="spellStart"/>
      <w:r w:rsidRPr="00BB5022">
        <w:rPr>
          <w:lang w:val="en-GB"/>
        </w:rPr>
        <w:t>leflunomide</w:t>
      </w:r>
      <w:proofErr w:type="spellEnd"/>
      <w:r w:rsidRPr="00BB5022">
        <w:rPr>
          <w:lang w:val="en-GB"/>
        </w:rPr>
        <w:t xml:space="preserve">, </w:t>
      </w:r>
      <w:proofErr w:type="spellStart"/>
      <w:r w:rsidRPr="00BB5022">
        <w:rPr>
          <w:lang w:val="en-GB"/>
        </w:rPr>
        <w:t>azathioprine</w:t>
      </w:r>
      <w:proofErr w:type="spellEnd"/>
      <w:r w:rsidRPr="00BB5022">
        <w:rPr>
          <w:lang w:val="en-GB"/>
        </w:rPr>
        <w:t xml:space="preserve">, </w:t>
      </w:r>
      <w:proofErr w:type="spellStart"/>
      <w:r w:rsidRPr="00BB5022">
        <w:rPr>
          <w:lang w:val="en-GB"/>
        </w:rPr>
        <w:t>antimalarials</w:t>
      </w:r>
      <w:proofErr w:type="spellEnd"/>
      <w:r w:rsidRPr="00BB5022">
        <w:rPr>
          <w:lang w:val="en-GB"/>
        </w:rPr>
        <w:t xml:space="preserve"> (ATC P01B), gold (ATC M01CB01), and </w:t>
      </w:r>
      <w:proofErr w:type="spellStart"/>
      <w:r w:rsidRPr="00BB5022">
        <w:rPr>
          <w:lang w:val="en-GB"/>
        </w:rPr>
        <w:t>ciclosporine</w:t>
      </w:r>
      <w:proofErr w:type="spellEnd"/>
      <w:r w:rsidRPr="00BB5022">
        <w:rPr>
          <w:lang w:val="en-GB"/>
        </w:rPr>
        <w:t xml:space="preserve">), </w:t>
      </w:r>
      <w:proofErr w:type="spellStart"/>
      <w:r w:rsidRPr="00BB5022">
        <w:rPr>
          <w:lang w:val="en-GB"/>
        </w:rPr>
        <w:t>glucocorticoids</w:t>
      </w:r>
      <w:proofErr w:type="spellEnd"/>
      <w:r w:rsidRPr="00BB5022">
        <w:rPr>
          <w:lang w:val="en-GB"/>
        </w:rPr>
        <w:t xml:space="preserve"> (ATC H02) and prescription NSAIDs (ATC M01A).</w:t>
      </w:r>
    </w:p>
    <w:p w:rsidR="00FF2FD6" w:rsidRDefault="00FF2FD6" w:rsidP="00FF2FD6">
      <w:pPr>
        <w:jc w:val="both"/>
        <w:rPr>
          <w:lang w:val="en-GB"/>
        </w:rPr>
      </w:pPr>
      <w:r>
        <w:rPr>
          <w:lang w:val="en-GB"/>
        </w:rPr>
        <w:t xml:space="preserve">While &gt;99% of </w:t>
      </w:r>
      <w:proofErr w:type="spellStart"/>
      <w:r>
        <w:rPr>
          <w:lang w:val="en-GB"/>
        </w:rPr>
        <w:t>etanercept</w:t>
      </w:r>
      <w:proofErr w:type="spellEnd"/>
      <w:r>
        <w:rPr>
          <w:lang w:val="en-GB"/>
        </w:rPr>
        <w:t xml:space="preserve"> and </w:t>
      </w:r>
      <w:proofErr w:type="spellStart"/>
      <w:r>
        <w:rPr>
          <w:lang w:val="en-GB"/>
        </w:rPr>
        <w:t>adalimumab</w:t>
      </w:r>
      <w:proofErr w:type="spellEnd"/>
      <w:r>
        <w:rPr>
          <w:lang w:val="en-GB"/>
        </w:rPr>
        <w:t xml:space="preserve"> use is dispensed to patients via pharmacies, c</w:t>
      </w:r>
      <w:r w:rsidRPr="00BB5022">
        <w:rPr>
          <w:lang w:val="en-GB"/>
        </w:rPr>
        <w:t xml:space="preserve">lose to 80% of </w:t>
      </w:r>
      <w:proofErr w:type="spellStart"/>
      <w:r w:rsidRPr="00BB5022">
        <w:rPr>
          <w:lang w:val="en-GB"/>
        </w:rPr>
        <w:t>infliximab</w:t>
      </w:r>
      <w:proofErr w:type="spellEnd"/>
      <w:r w:rsidRPr="00BB5022">
        <w:rPr>
          <w:lang w:val="en-GB"/>
        </w:rPr>
        <w:t xml:space="preserve"> is used in hospitals.</w:t>
      </w:r>
      <w:r w:rsidR="00803BF9">
        <w:rPr>
          <w:lang w:val="en-GB"/>
        </w:rPr>
        <w:fldChar w:fldCharType="begin"/>
      </w:r>
      <w:r w:rsidR="001932B6">
        <w:rPr>
          <w:lang w:val="en-GB"/>
        </w:rPr>
        <w:instrText xml:space="preserve"> ADDIN EN.CITE &lt;EndNote&gt;&lt;Cite&gt;&lt;Author&gt;Neovius&lt;/Author&gt;&lt;Year&gt;2010&lt;/Year&gt;&lt;RecNum&gt;162&lt;/RecNum&gt;&lt;DisplayText&gt;[7]&lt;/DisplayText&gt;&lt;record&gt;&lt;rec-number&gt;162&lt;/rec-number&gt;&lt;foreign-keys&gt;&lt;key app="EN" db-id="wefdaedeu0vvrxeaw0e5xdd9v05r0apez0zd"&gt;162&lt;/key&gt;&lt;/foreign-keys&gt;&lt;ref-type name="Journal Article"&gt;17&lt;/ref-type&gt;&lt;contributors&gt;&lt;authors&gt;&lt;author&gt;Neovius, M.&lt;/author&gt;&lt;author&gt;Sundström, A.&lt;/author&gt;&lt;author&gt;Simard, JF.&lt;/author&gt;&lt;author&gt;Wettermark, B.&lt;/author&gt;&lt;author&gt;Cars, T.&lt;/author&gt;&lt;author&gt;Feltelius, N.&lt;/author&gt;&lt;author&gt;Askling, J.&lt;/author&gt;&lt;author&gt;Klareskog, L.&lt;/author&gt;&lt;/authors&gt;&lt;/contributors&gt;&lt;titles&gt;&lt;title&gt;&lt;style face="normal" font="default" size="100%"&gt;Small-Area Variations in Sales of TNF&lt;/style&gt;&lt;style face="normal" font="default" charset="161" size="100%"&gt; Inhibitors in Sweden between 2000 and 200&lt;/style&gt;&lt;style face="normal" font="default" size="100%"&gt;9&lt;/style&gt;&lt;/title&gt;&lt;secondary-title&gt;Scand J Rheum&lt;/secondary-title&gt;&lt;/titles&gt;&lt;periodical&gt;&lt;full-title&gt;Scand J Rheum&lt;/full-title&gt;&lt;/periodical&gt;&lt;volume&gt;Accepted&lt;/volume&gt;&lt;dates&gt;&lt;year&gt;2010&lt;/year&gt;&lt;/dates&gt;&lt;urls&gt;&lt;/urls&gt;&lt;/record&gt;&lt;/Cite&gt;&lt;/EndNote&gt;</w:instrText>
      </w:r>
      <w:r w:rsidR="00803BF9">
        <w:rPr>
          <w:lang w:val="en-GB"/>
        </w:rPr>
        <w:fldChar w:fldCharType="separate"/>
      </w:r>
      <w:r w:rsidR="001932B6">
        <w:rPr>
          <w:noProof/>
          <w:lang w:val="en-GB"/>
        </w:rPr>
        <w:t>[7]</w:t>
      </w:r>
      <w:r w:rsidR="00803BF9">
        <w:rPr>
          <w:lang w:val="en-GB"/>
        </w:rPr>
        <w:fldChar w:fldCharType="end"/>
      </w:r>
      <w:r w:rsidRPr="00BB5022">
        <w:rPr>
          <w:lang w:val="en-GB"/>
        </w:rPr>
        <w:t xml:space="preserve"> Therefore a large extent of </w:t>
      </w:r>
      <w:proofErr w:type="spellStart"/>
      <w:r w:rsidRPr="00BB5022">
        <w:rPr>
          <w:lang w:val="en-GB"/>
        </w:rPr>
        <w:t>infliximab</w:t>
      </w:r>
      <w:proofErr w:type="spellEnd"/>
      <w:r w:rsidRPr="00BB5022">
        <w:rPr>
          <w:lang w:val="en-GB"/>
        </w:rPr>
        <w:t xml:space="preserve"> </w:t>
      </w:r>
      <w:r>
        <w:rPr>
          <w:lang w:val="en-GB"/>
        </w:rPr>
        <w:t>is in</w:t>
      </w:r>
      <w:r w:rsidRPr="00BB5022">
        <w:rPr>
          <w:lang w:val="en-GB"/>
        </w:rPr>
        <w:t xml:space="preserve"> the Prescribed Drug Register </w:t>
      </w:r>
      <w:r>
        <w:rPr>
          <w:lang w:val="en-GB"/>
        </w:rPr>
        <w:t>without the</w:t>
      </w:r>
      <w:r w:rsidRPr="00BB5022">
        <w:rPr>
          <w:lang w:val="en-GB"/>
        </w:rPr>
        <w:t xml:space="preserve"> </w:t>
      </w:r>
      <w:r>
        <w:rPr>
          <w:lang w:val="en-GB"/>
        </w:rPr>
        <w:t xml:space="preserve">patients’ </w:t>
      </w:r>
      <w:r w:rsidRPr="00BB5022">
        <w:rPr>
          <w:lang w:val="en-GB"/>
        </w:rPr>
        <w:t>personal identification number and can</w:t>
      </w:r>
      <w:r>
        <w:rPr>
          <w:lang w:val="en-GB"/>
        </w:rPr>
        <w:t xml:space="preserve"> therefore </w:t>
      </w:r>
      <w:r w:rsidRPr="00BB5022">
        <w:rPr>
          <w:lang w:val="en-GB"/>
        </w:rPr>
        <w:t xml:space="preserve">not be linked to individual patients. The same applies to </w:t>
      </w:r>
      <w:proofErr w:type="spellStart"/>
      <w:r w:rsidRPr="00BB5022">
        <w:rPr>
          <w:lang w:val="en-GB"/>
        </w:rPr>
        <w:t>rituximab</w:t>
      </w:r>
      <w:proofErr w:type="spellEnd"/>
      <w:r w:rsidRPr="00BB5022">
        <w:rPr>
          <w:lang w:val="en-GB"/>
        </w:rPr>
        <w:t xml:space="preserve"> and </w:t>
      </w:r>
      <w:proofErr w:type="spellStart"/>
      <w:r w:rsidRPr="00BB5022">
        <w:rPr>
          <w:lang w:val="en-GB"/>
        </w:rPr>
        <w:t>abatacept</w:t>
      </w:r>
      <w:proofErr w:type="spellEnd"/>
      <w:r w:rsidRPr="00BB5022">
        <w:rPr>
          <w:lang w:val="en-GB"/>
        </w:rPr>
        <w:t xml:space="preserve">. </w:t>
      </w:r>
      <w:r>
        <w:rPr>
          <w:lang w:val="en-GB"/>
        </w:rPr>
        <w:t>T</w:t>
      </w:r>
      <w:r w:rsidRPr="00BB5022">
        <w:rPr>
          <w:lang w:val="en-GB"/>
        </w:rPr>
        <w:t xml:space="preserve">o reduce underestimation of biologic drug use due to </w:t>
      </w:r>
      <w:r>
        <w:rPr>
          <w:lang w:val="en-GB"/>
        </w:rPr>
        <w:t xml:space="preserve">hospital </w:t>
      </w:r>
      <w:r w:rsidRPr="00BB5022">
        <w:rPr>
          <w:lang w:val="en-GB"/>
        </w:rPr>
        <w:t xml:space="preserve">provision, additional </w:t>
      </w:r>
      <w:r>
        <w:rPr>
          <w:lang w:val="en-GB"/>
        </w:rPr>
        <w:t xml:space="preserve">biologics </w:t>
      </w:r>
      <w:r w:rsidRPr="00BB5022">
        <w:rPr>
          <w:lang w:val="en-GB"/>
        </w:rPr>
        <w:t>data were obtained from the Swedish Biologics Register ARTIS</w:t>
      </w:r>
      <w:r w:rsidR="00803BF9" w:rsidRPr="00DE7ED1">
        <w:fldChar w:fldCharType="begin"/>
      </w:r>
      <w:r w:rsidR="001932B6">
        <w:instrText xml:space="preserve"> ADDIN EN.CITE &lt;EndNote&gt;&lt;Cite&gt;&lt;Author&gt;Askling&lt;/Author&gt;&lt;Year&gt;2006&lt;/Year&gt;&lt;RecNum&gt;12&lt;/RecNum&gt;&lt;DisplayText&gt;[4]&lt;/DisplayText&gt;&lt;record&gt;&lt;rec-number&gt;12&lt;/rec-number&gt;&lt;foreign-keys&gt;&lt;key app="EN" db-id="pd99dpwa0w2s2ree2pc5tsv7exr05ev0pfdt"&gt;12&lt;/key&gt;&lt;/foreign-keys&gt;&lt;ref-type name="Journal Article"&gt;17&lt;/ref-type&gt;&lt;contributors&gt;&lt;authors&gt;&lt;author&gt;Askling, J.&lt;/author&gt;&lt;author&gt;Fored, C. M.&lt;/author&gt;&lt;author&gt;Geborek, P.&lt;/author&gt;&lt;author&gt;Jacobsson, L. T.&lt;/author&gt;&lt;author&gt;van Vollenhoven, R.&lt;/author&gt;&lt;author&gt;Feltelius, N.&lt;/author&gt;&lt;author&gt;Lindblad, S.&lt;/author&gt;&lt;author&gt;Klareskog, L.&lt;/author&gt;&lt;/authors&gt;&lt;/contributors&gt;&lt;auth-address&gt;Clinical Epidemiology Unit, Department of Medicine, Karolinska University Hospital Solna, Karolinska Institutet, Stockholm, Sweden. johan.askling@ki.se&lt;/auth-address&gt;&lt;titles&gt;&lt;title&gt;Swedish registers to examine drug safety and clinical issues in RA&lt;/title&gt;&lt;secondary-title&gt;Ann Rheum Dis&lt;/secondary-title&gt;&lt;/titles&gt;&lt;periodical&gt;&lt;full-title&gt;Ann Rheum Dis&lt;/full-title&gt;&lt;/periodical&gt;&lt;pages&gt;707-12&lt;/pages&gt;&lt;volume&gt;65&lt;/volume&gt;&lt;number&gt;6&lt;/number&gt;&lt;keywords&gt;&lt;keyword&gt;Antirheumatic Agents/*therapeutic use&lt;/keyword&gt;&lt;keyword&gt;Arthritis, Rheumatoid/*drug therapy&lt;/keyword&gt;&lt;keyword&gt;Ethics, Medical&lt;/keyword&gt;&lt;keyword&gt;Follow-Up Studies&lt;/keyword&gt;&lt;keyword&gt;Humans&lt;/keyword&gt;&lt;keyword&gt;Medical Record Linkage&lt;/keyword&gt;&lt;keyword&gt;*Registries&lt;/keyword&gt;&lt;keyword&gt;Safety&lt;/keyword&gt;&lt;keyword&gt;Sweden&lt;/keyword&gt;&lt;keyword&gt;Treatment Outcome&lt;/keyword&gt;&lt;/keywords&gt;&lt;dates&gt;&lt;year&gt;2006&lt;/year&gt;&lt;pub-dates&gt;&lt;date&gt;Jun&lt;/date&gt;&lt;/pub-dates&gt;&lt;/dates&gt;&lt;accession-num&gt;16414975&lt;/accession-num&gt;&lt;urls&gt;&lt;related-urls&gt;&lt;url&gt;http://www.ncbi.nlm.nih.gov/entrez/query.fcgi?cmd=Retrieve&amp;amp;db=PubMed&amp;amp;dopt=Citation&amp;amp;list_uids=16414975 &lt;/url&gt;&lt;/related-urls&gt;&lt;/urls&gt;&lt;/record&gt;&lt;/Cite&gt;&lt;/EndNote&gt;</w:instrText>
      </w:r>
      <w:r w:rsidR="00803BF9" w:rsidRPr="00DE7ED1">
        <w:fldChar w:fldCharType="separate"/>
      </w:r>
      <w:r w:rsidR="001932B6">
        <w:rPr>
          <w:noProof/>
        </w:rPr>
        <w:t>[4]</w:t>
      </w:r>
      <w:r w:rsidR="00803BF9" w:rsidRPr="00DE7ED1">
        <w:fldChar w:fldCharType="end"/>
      </w:r>
      <w:r w:rsidRPr="00BB5022">
        <w:rPr>
          <w:lang w:val="en-GB"/>
        </w:rPr>
        <w:t xml:space="preserve"> for the period 2005 to 200</w:t>
      </w:r>
      <w:r>
        <w:rPr>
          <w:lang w:val="en-GB"/>
        </w:rPr>
        <w:t>7</w:t>
      </w:r>
      <w:r w:rsidRPr="00BB5022">
        <w:rPr>
          <w:lang w:val="en-GB"/>
        </w:rPr>
        <w:t xml:space="preserve">. </w:t>
      </w:r>
      <w:r>
        <w:rPr>
          <w:lang w:val="en-GB"/>
        </w:rPr>
        <w:t>ARTIS has been estimated to cover 87% of all biologics treated patients with RA in Sweden.</w:t>
      </w:r>
      <w:r w:rsidR="00803BF9">
        <w:rPr>
          <w:lang w:val="en-GB"/>
        </w:rPr>
        <w:fldChar w:fldCharType="begin"/>
      </w:r>
      <w:r w:rsidR="001932B6">
        <w:rPr>
          <w:lang w:val="en-GB"/>
        </w:rPr>
        <w:instrText xml:space="preserve"> ADDIN EN.CITE &lt;EndNote&gt;&lt;Cite&gt;&lt;Author&gt;Neovius&lt;/Author&gt;&lt;Year&gt;2010&lt;/Year&gt;&lt;RecNum&gt;152&lt;/RecNum&gt;&lt;DisplayText&gt;[8]&lt;/DisplayText&gt;&lt;record&gt;&lt;rec-number&gt;152&lt;/rec-number&gt;&lt;foreign-keys&gt;&lt;key app="EN" db-id="wefdaedeu0vvrxeaw0e5xdd9v05r0apez0zd"&gt;152&lt;/key&gt;&lt;/foreign-keys&gt;&lt;ref-type name="Journal Article"&gt;17&lt;/ref-type&gt;&lt;contributors&gt;&lt;authors&gt;&lt;author&gt;Neovius, M.&lt;/author&gt;&lt;author&gt;Simard, JF.&lt;/author&gt;&lt;author&gt;Sundström, A.&lt;/author&gt;&lt;author&gt;Jacobsson, L.&lt;/author&gt;&lt;author&gt;Geborek, P.&lt;/author&gt;&lt;author&gt;Saxne, T.&lt;/author&gt;&lt;author&gt;Feltelius, N.&lt;/author&gt;&lt;author&gt;Klareskog, L.&lt;/author&gt;&lt;author&gt;Askling, J.&lt;/author&gt;&lt;/authors&gt;&lt;/contributors&gt;&lt;titles&gt;&lt;title&gt;Generalizability of Clinical Registers used for Drug Safety and Comparative Effectiveness Research: Coverage of the Swedish Biologics Register&lt;/title&gt;&lt;secondary-title&gt;Ann Rheum Dis&lt;/secondary-title&gt;&lt;/titles&gt;&lt;periodical&gt;&lt;full-title&gt;Ann Rheum Dis&lt;/full-title&gt;&lt;/periodical&gt;&lt;volume&gt;Accepted&lt;/volume&gt;&lt;dates&gt;&lt;year&gt;2010&lt;/year&gt;&lt;/dates&gt;&lt;urls&gt;&lt;/urls&gt;&lt;/record&gt;&lt;/Cite&gt;&lt;/EndNote&gt;</w:instrText>
      </w:r>
      <w:r w:rsidR="00803BF9">
        <w:rPr>
          <w:lang w:val="en-GB"/>
        </w:rPr>
        <w:fldChar w:fldCharType="separate"/>
      </w:r>
      <w:r w:rsidR="001932B6">
        <w:rPr>
          <w:noProof/>
          <w:lang w:val="en-GB"/>
        </w:rPr>
        <w:t>[8]</w:t>
      </w:r>
      <w:r w:rsidR="00803BF9">
        <w:rPr>
          <w:lang w:val="en-GB"/>
        </w:rPr>
        <w:fldChar w:fldCharType="end"/>
      </w:r>
      <w:r>
        <w:rPr>
          <w:lang w:val="en-GB"/>
        </w:rPr>
        <w:t xml:space="preserve"> </w:t>
      </w:r>
    </w:p>
    <w:p w:rsidR="00FF2FD6" w:rsidRDefault="00FF2FD6"/>
    <w:p w:rsidR="00FF2FD6" w:rsidRDefault="00FF2FD6">
      <w:r>
        <w:br w:type="page"/>
      </w:r>
    </w:p>
    <w:p w:rsidR="00FF2FD6" w:rsidRDefault="00FF2FD6" w:rsidP="001932B6">
      <w:pPr>
        <w:pStyle w:val="Rubrik1"/>
        <w:pBdr>
          <w:bottom w:val="single" w:sz="6" w:space="1" w:color="auto"/>
        </w:pBdr>
        <w:spacing w:line="240" w:lineRule="auto"/>
      </w:pPr>
      <w:r>
        <w:lastRenderedPageBreak/>
        <w:t>References</w:t>
      </w:r>
    </w:p>
    <w:p w:rsidR="001932B6" w:rsidRPr="001932B6" w:rsidRDefault="00803BF9" w:rsidP="001932B6">
      <w:pPr>
        <w:spacing w:after="0" w:line="240" w:lineRule="auto"/>
        <w:rPr>
          <w:rFonts w:cs="Calibri"/>
          <w:noProof/>
        </w:rPr>
      </w:pPr>
      <w:r>
        <w:fldChar w:fldCharType="begin"/>
      </w:r>
      <w:r w:rsidR="00FF2FD6">
        <w:instrText xml:space="preserve"> ADDIN EN.REFLIST </w:instrText>
      </w:r>
      <w:r>
        <w:fldChar w:fldCharType="separate"/>
      </w:r>
      <w:r w:rsidR="001932B6" w:rsidRPr="001932B6">
        <w:rPr>
          <w:rFonts w:cs="Calibri"/>
          <w:noProof/>
        </w:rPr>
        <w:t>1.</w:t>
      </w:r>
      <w:r w:rsidR="001932B6" w:rsidRPr="001932B6">
        <w:rPr>
          <w:rFonts w:cs="Calibri"/>
          <w:noProof/>
        </w:rPr>
        <w:tab/>
        <w:t>Baecklund E, Ekbom A, et al. Disease activity and risk of lymphoma in patients with rheumatoid arthritis: nested case-control study. BMJ. 1998; 317:180-181.</w:t>
      </w:r>
    </w:p>
    <w:p w:rsidR="001932B6" w:rsidRPr="001932B6" w:rsidRDefault="001932B6" w:rsidP="001932B6">
      <w:pPr>
        <w:spacing w:after="0" w:line="240" w:lineRule="auto"/>
        <w:rPr>
          <w:rFonts w:cs="Calibri"/>
          <w:noProof/>
        </w:rPr>
      </w:pPr>
      <w:r w:rsidRPr="001932B6">
        <w:rPr>
          <w:rFonts w:cs="Calibri"/>
          <w:noProof/>
        </w:rPr>
        <w:t>2.</w:t>
      </w:r>
      <w:r w:rsidRPr="001932B6">
        <w:rPr>
          <w:rFonts w:cs="Calibri"/>
          <w:noProof/>
        </w:rPr>
        <w:tab/>
        <w:t>Arnett FC, Edworthy SM, et al. The American Rheumatism Association 1987 revised criteria for the classification of rheumatoid arthritis. Arthritis and rheumatism. 1988; 31:315-324.</w:t>
      </w:r>
    </w:p>
    <w:p w:rsidR="001932B6" w:rsidRPr="001932B6" w:rsidRDefault="001932B6" w:rsidP="001932B6">
      <w:pPr>
        <w:spacing w:after="0" w:line="240" w:lineRule="auto"/>
        <w:rPr>
          <w:rFonts w:cs="Calibri"/>
          <w:noProof/>
        </w:rPr>
      </w:pPr>
      <w:r w:rsidRPr="001932B6">
        <w:rPr>
          <w:rFonts w:cs="Calibri"/>
          <w:noProof/>
        </w:rPr>
        <w:t>3.</w:t>
      </w:r>
      <w:r w:rsidRPr="001932B6">
        <w:rPr>
          <w:rFonts w:cs="Calibri"/>
          <w:noProof/>
        </w:rPr>
        <w:tab/>
        <w:t>Knight A, Sandin S, et al. Autoimmune and inflammatory diseases in first-degree relatives of patients with Wegener’s granulomatosis. J Rheumatol. 2010; In press.</w:t>
      </w:r>
    </w:p>
    <w:p w:rsidR="001932B6" w:rsidRPr="001932B6" w:rsidRDefault="001932B6" w:rsidP="001932B6">
      <w:pPr>
        <w:spacing w:after="0" w:line="240" w:lineRule="auto"/>
        <w:rPr>
          <w:rFonts w:cs="Calibri"/>
          <w:noProof/>
        </w:rPr>
      </w:pPr>
      <w:r w:rsidRPr="001932B6">
        <w:rPr>
          <w:rFonts w:cs="Calibri"/>
          <w:noProof/>
        </w:rPr>
        <w:t>4.</w:t>
      </w:r>
      <w:r w:rsidRPr="001932B6">
        <w:rPr>
          <w:rFonts w:cs="Calibri"/>
          <w:noProof/>
        </w:rPr>
        <w:tab/>
        <w:t>Askling J, Fored CM, et al. Swedish registers to examine drug safety and clinical issues in RA. Ann Rheum Dis. 2006; 65:707-712.</w:t>
      </w:r>
    </w:p>
    <w:p w:rsidR="001932B6" w:rsidRPr="001932B6" w:rsidRDefault="001932B6" w:rsidP="001932B6">
      <w:pPr>
        <w:spacing w:after="0" w:line="240" w:lineRule="auto"/>
        <w:rPr>
          <w:rFonts w:cs="Calibri"/>
          <w:noProof/>
        </w:rPr>
      </w:pPr>
      <w:r w:rsidRPr="001932B6">
        <w:rPr>
          <w:rFonts w:cs="Calibri"/>
          <w:noProof/>
        </w:rPr>
        <w:t>5.</w:t>
      </w:r>
      <w:r w:rsidRPr="001932B6">
        <w:rPr>
          <w:rFonts w:cs="Calibri"/>
          <w:noProof/>
        </w:rPr>
        <w:tab/>
        <w:t>Simard J, Arkema E, et al. Ten years with biologics: For whom do data on effectiveness and long-term safety apply? Rheumatology. 2010; Accepted.</w:t>
      </w:r>
    </w:p>
    <w:p w:rsidR="001932B6" w:rsidRPr="001932B6" w:rsidRDefault="001932B6" w:rsidP="001932B6">
      <w:pPr>
        <w:spacing w:after="0" w:line="240" w:lineRule="auto"/>
        <w:rPr>
          <w:rFonts w:cs="Calibri"/>
          <w:noProof/>
        </w:rPr>
      </w:pPr>
      <w:r w:rsidRPr="001932B6">
        <w:rPr>
          <w:rFonts w:cs="Calibri"/>
          <w:noProof/>
        </w:rPr>
        <w:t>6.</w:t>
      </w:r>
      <w:r w:rsidRPr="001932B6">
        <w:rPr>
          <w:rFonts w:cs="Calibri"/>
          <w:noProof/>
        </w:rPr>
        <w:tab/>
        <w:t>Geborek P, Crnkic M, et al. Etanercept, infliximab, and leflunomide in established rheumatoid arthritis: clinical experience using a structured follow up programme in southern Sweden. Ann Rheum Dis. 2002; 61:793-798.</w:t>
      </w:r>
    </w:p>
    <w:p w:rsidR="001932B6" w:rsidRPr="001932B6" w:rsidRDefault="001932B6" w:rsidP="001932B6">
      <w:pPr>
        <w:spacing w:after="0" w:line="240" w:lineRule="auto"/>
        <w:rPr>
          <w:rFonts w:cs="Calibri"/>
          <w:noProof/>
        </w:rPr>
      </w:pPr>
      <w:r w:rsidRPr="001932B6">
        <w:rPr>
          <w:rFonts w:cs="Calibri"/>
          <w:noProof/>
        </w:rPr>
        <w:t>7.</w:t>
      </w:r>
      <w:r w:rsidRPr="001932B6">
        <w:rPr>
          <w:rFonts w:cs="Calibri"/>
          <w:noProof/>
        </w:rPr>
        <w:tab/>
        <w:t>Neovius M, Sundström A, et al. Small-Area Variations in Sales of TNF Inhibitors in Sweden between 2000 and 2009. Scand J Rheum. 2010; Accepted.</w:t>
      </w:r>
    </w:p>
    <w:p w:rsidR="001932B6" w:rsidRPr="001932B6" w:rsidRDefault="001932B6" w:rsidP="001932B6">
      <w:pPr>
        <w:spacing w:after="0" w:line="240" w:lineRule="auto"/>
        <w:rPr>
          <w:rFonts w:cs="Calibri"/>
          <w:noProof/>
        </w:rPr>
      </w:pPr>
      <w:r w:rsidRPr="001932B6">
        <w:rPr>
          <w:rFonts w:cs="Calibri"/>
          <w:noProof/>
        </w:rPr>
        <w:t>8.</w:t>
      </w:r>
      <w:r w:rsidRPr="001932B6">
        <w:rPr>
          <w:rFonts w:cs="Calibri"/>
          <w:noProof/>
        </w:rPr>
        <w:tab/>
        <w:t>Neovius M, Simard J, et al. Generalizability of Clinical Registers used for Drug Safety and Comparative Effectiveness Research: Coverage of the Swedish Biologics Register. Ann Rheum Dis. 2010; Accepted.</w:t>
      </w:r>
    </w:p>
    <w:p w:rsidR="001932B6" w:rsidRDefault="001932B6" w:rsidP="001932B6">
      <w:pPr>
        <w:spacing w:after="0" w:line="240" w:lineRule="auto"/>
        <w:ind w:left="720" w:hanging="720"/>
        <w:rPr>
          <w:rFonts w:cs="Calibri"/>
          <w:noProof/>
        </w:rPr>
      </w:pPr>
    </w:p>
    <w:p w:rsidR="00B539EC" w:rsidRDefault="00803BF9">
      <w:r>
        <w:fldChar w:fldCharType="end"/>
      </w:r>
    </w:p>
    <w:sectPr w:rsidR="00B539EC" w:rsidSect="00E33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docVars>
    <w:docVar w:name="EN.Layout" w:val="&lt;ENLayout&gt;&lt;Style&gt;Annals Rheum Diseases Copy2010 Aug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Egna publikationer-Converted.enl&lt;/item&gt;&lt;/Libraries&gt;&lt;/ENLibraries&gt;"/>
  </w:docVars>
  <w:rsids>
    <w:rsidRoot w:val="00FF2FD6"/>
    <w:rsid w:val="001932B6"/>
    <w:rsid w:val="002750C9"/>
    <w:rsid w:val="005E2501"/>
    <w:rsid w:val="00665341"/>
    <w:rsid w:val="00803BF9"/>
    <w:rsid w:val="00C417CF"/>
    <w:rsid w:val="00E335B4"/>
    <w:rsid w:val="00FD7BD3"/>
    <w:rsid w:val="00FF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FD6"/>
    <w:rPr>
      <w:rFonts w:ascii="Calibri" w:eastAsia="Calibri" w:hAnsi="Calibri" w:cs="Times New Roman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FF2FD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F2FD6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2005</Words>
  <Characters>10632</Characters>
  <Application>Microsoft Office Word</Application>
  <DocSecurity>0</DocSecurity>
  <Lines>88</Lines>
  <Paragraphs>25</Paragraphs>
  <ScaleCrop>false</ScaleCrop>
  <Company/>
  <LinksUpToDate>false</LinksUpToDate>
  <CharactersWithSpaces>12612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marneo</dc:creator>
  <cp:lastModifiedBy>marneo</cp:lastModifiedBy>
  <cp:revision>4</cp:revision>
  <dcterms:created xsi:type="dcterms:W3CDTF">2010-10-12T07:51:00Z</dcterms:created>
  <dcterms:modified xsi:type="dcterms:W3CDTF">2010-10-12T09:11:00Z</dcterms:modified>
</cp:coreProperties>
</file>