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4E" w:rsidRDefault="00C9715F" w:rsidP="00145722">
      <w:pPr>
        <w:spacing w:after="0" w:line="480" w:lineRule="auto"/>
        <w:jc w:val="both"/>
        <w:rPr>
          <w:rFonts w:ascii="TimesNewRomanPSMT" w:hAnsi="TimesNewRomanPSMT" w:cs="TimesNewRomanPSMT"/>
          <w:b/>
          <w:sz w:val="24"/>
          <w:szCs w:val="24"/>
          <w:lang w:val="en-GB"/>
        </w:rPr>
      </w:pPr>
      <w:r>
        <w:rPr>
          <w:rFonts w:ascii="TimesNewRomanPSMT" w:hAnsi="TimesNewRomanPSMT" w:cs="TimesNewRomanPSMT"/>
          <w:b/>
          <w:sz w:val="24"/>
          <w:szCs w:val="24"/>
          <w:lang w:val="en-GB"/>
        </w:rPr>
        <w:t>Supplementary text</w:t>
      </w:r>
      <w:r w:rsidR="00591794"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. </w:t>
      </w:r>
    </w:p>
    <w:p w:rsidR="005F6E4E" w:rsidRDefault="005F6E4E" w:rsidP="00145722">
      <w:pPr>
        <w:spacing w:after="0" w:line="480" w:lineRule="auto"/>
        <w:jc w:val="both"/>
        <w:rPr>
          <w:rFonts w:ascii="TimesNewRomanPSMT" w:hAnsi="TimesNewRomanPSMT" w:cs="TimesNewRomanPSMT"/>
          <w:b/>
          <w:sz w:val="24"/>
          <w:szCs w:val="24"/>
          <w:lang w:val="en-GB"/>
        </w:rPr>
      </w:pPr>
    </w:p>
    <w:p w:rsidR="007D71FE" w:rsidRPr="00591794" w:rsidRDefault="00436E86" w:rsidP="00145722">
      <w:pPr>
        <w:spacing w:after="0" w:line="480" w:lineRule="auto"/>
        <w:jc w:val="both"/>
        <w:rPr>
          <w:rFonts w:ascii="TimesNewRomanPSMT" w:hAnsi="TimesNewRomanPSMT" w:cs="TimesNewRomanPSMT"/>
          <w:b/>
          <w:sz w:val="24"/>
          <w:szCs w:val="24"/>
          <w:lang w:val="en-GB"/>
        </w:rPr>
      </w:pPr>
      <w:r>
        <w:rPr>
          <w:rFonts w:ascii="TimesNewRomanPSMT" w:hAnsi="TimesNewRomanPSMT" w:cs="TimesNewRomanPSMT"/>
          <w:b/>
          <w:sz w:val="24"/>
          <w:szCs w:val="24"/>
          <w:lang w:val="en-GB"/>
        </w:rPr>
        <w:t>PPS and FAS</w:t>
      </w:r>
      <w:r w:rsidR="00C9715F">
        <w:rPr>
          <w:rFonts w:ascii="TimesNewRomanPSMT" w:hAnsi="TimesNewRomanPSMT" w:cs="TimesNewRomanPSMT"/>
          <w:b/>
          <w:sz w:val="24"/>
          <w:szCs w:val="24"/>
          <w:lang w:val="en-GB"/>
        </w:rPr>
        <w:t xml:space="preserve"> criteria</w:t>
      </w:r>
    </w:p>
    <w:p w:rsidR="00591794" w:rsidRDefault="00427F2C" w:rsidP="005F6E4E">
      <w:pPr>
        <w:pStyle w:val="ListNumber"/>
        <w:numPr>
          <w:ilvl w:val="0"/>
          <w:numId w:val="3"/>
        </w:numPr>
        <w:spacing w:line="480" w:lineRule="auto"/>
      </w:pPr>
      <w:r>
        <w:t xml:space="preserve">The </w:t>
      </w:r>
      <w:r w:rsidR="00591794" w:rsidRPr="00AE006E">
        <w:t>FAS consist</w:t>
      </w:r>
      <w:r w:rsidR="00591794">
        <w:rPr>
          <w:rFonts w:hint="eastAsia"/>
          <w:lang w:eastAsia="ja-JP"/>
        </w:rPr>
        <w:t>ed</w:t>
      </w:r>
      <w:r w:rsidR="00D77731">
        <w:t xml:space="preserve"> of subjects randomis</w:t>
      </w:r>
      <w:r w:rsidR="00591794" w:rsidRPr="00AE006E">
        <w:t xml:space="preserve">ed </w:t>
      </w:r>
      <w:r w:rsidR="00591794" w:rsidRPr="00AE006E">
        <w:rPr>
          <w:rFonts w:eastAsia="Malgun Gothic"/>
          <w:lang w:eastAsia="ko-KR"/>
        </w:rPr>
        <w:t xml:space="preserve">to a study treatment. In addition, </w:t>
      </w:r>
      <w:r>
        <w:rPr>
          <w:rFonts w:eastAsia="Malgun Gothic"/>
          <w:lang w:eastAsia="ko-KR"/>
        </w:rPr>
        <w:t xml:space="preserve">the </w:t>
      </w:r>
      <w:r w:rsidR="00591794" w:rsidRPr="00AE006E">
        <w:t xml:space="preserve">FAS criteria </w:t>
      </w:r>
      <w:r w:rsidR="00591794">
        <w:rPr>
          <w:rFonts w:hint="eastAsia"/>
          <w:lang w:eastAsia="ja-JP"/>
        </w:rPr>
        <w:t>could</w:t>
      </w:r>
      <w:r w:rsidR="00591794" w:rsidRPr="00AE006E">
        <w:t xml:space="preserve"> include the following:</w:t>
      </w:r>
    </w:p>
    <w:p w:rsidR="00427F2C" w:rsidRPr="00AE006E" w:rsidRDefault="00427F2C" w:rsidP="005F6E4E">
      <w:pPr>
        <w:pStyle w:val="ListNumber"/>
        <w:numPr>
          <w:ilvl w:val="0"/>
          <w:numId w:val="0"/>
        </w:numPr>
        <w:spacing w:line="480" w:lineRule="auto"/>
        <w:ind w:left="360"/>
      </w:pPr>
    </w:p>
    <w:p w:rsidR="00591794" w:rsidRPr="00AE006E" w:rsidRDefault="00427F2C" w:rsidP="005F6E4E">
      <w:pPr>
        <w:pStyle w:val="BulletList2"/>
        <w:numPr>
          <w:ilvl w:val="0"/>
          <w:numId w:val="4"/>
        </w:numPr>
        <w:spacing w:line="480" w:lineRule="auto"/>
      </w:pPr>
      <w:r>
        <w:t>A</w:t>
      </w:r>
      <w:r w:rsidR="00591794" w:rsidRPr="00AE006E">
        <w:t>dminister</w:t>
      </w:r>
      <w:r>
        <w:t>ed</w:t>
      </w:r>
      <w:r w:rsidR="00591794" w:rsidRPr="00AE006E">
        <w:t xml:space="preserve"> at least one injection of study treatment</w:t>
      </w:r>
    </w:p>
    <w:p w:rsidR="00591794" w:rsidRDefault="00427F2C" w:rsidP="005F6E4E">
      <w:pPr>
        <w:pStyle w:val="BulletList2"/>
        <w:numPr>
          <w:ilvl w:val="0"/>
          <w:numId w:val="4"/>
        </w:numPr>
        <w:spacing w:line="480" w:lineRule="auto"/>
      </w:pPr>
      <w:r>
        <w:t>C</w:t>
      </w:r>
      <w:r w:rsidR="00591794" w:rsidRPr="00AE006E">
        <w:t>omplete</w:t>
      </w:r>
      <w:r>
        <w:t>d</w:t>
      </w:r>
      <w:r w:rsidR="00591794" w:rsidRPr="00AE006E">
        <w:t xml:space="preserve"> all assessments relevant to the DAS28-ESR scoring at baseline and at least one post-baseline assessment time. </w:t>
      </w:r>
    </w:p>
    <w:p w:rsidR="00C9715F" w:rsidRPr="00AE006E" w:rsidRDefault="00C9715F" w:rsidP="005F6E4E">
      <w:pPr>
        <w:pStyle w:val="BulletList2"/>
        <w:numPr>
          <w:ilvl w:val="0"/>
          <w:numId w:val="0"/>
        </w:numPr>
        <w:spacing w:line="480" w:lineRule="auto"/>
        <w:ind w:left="360"/>
      </w:pPr>
    </w:p>
    <w:p w:rsidR="00C9715F" w:rsidRDefault="00591794" w:rsidP="005F6E4E">
      <w:pPr>
        <w:pStyle w:val="ListNumber"/>
        <w:numPr>
          <w:ilvl w:val="0"/>
          <w:numId w:val="3"/>
        </w:numPr>
        <w:spacing w:line="480" w:lineRule="auto"/>
      </w:pPr>
      <w:r w:rsidRPr="00AE006E">
        <w:t>Two PPSs were defined</w:t>
      </w:r>
      <w:r w:rsidR="00427F2C">
        <w:rPr>
          <w:lang w:eastAsia="ja-JP"/>
        </w:rPr>
        <w:t>:</w:t>
      </w:r>
      <w:r w:rsidRPr="00AE006E">
        <w:t xml:space="preserve"> one for </w:t>
      </w:r>
      <w:r w:rsidR="00427F2C">
        <w:t xml:space="preserve">the </w:t>
      </w:r>
      <w:r w:rsidRPr="00AE006E">
        <w:t>week 24 (</w:t>
      </w:r>
      <w:r w:rsidRPr="00C9715F">
        <w:rPr>
          <w:spacing w:val="-1"/>
        </w:rPr>
        <w:t>PP</w:t>
      </w:r>
      <w:r w:rsidRPr="00C9715F">
        <w:rPr>
          <w:spacing w:val="1"/>
        </w:rPr>
        <w:t>S-</w:t>
      </w:r>
      <w:r w:rsidRPr="00C9715F">
        <w:rPr>
          <w:spacing w:val="-1"/>
        </w:rPr>
        <w:t>24w</w:t>
      </w:r>
      <w:r w:rsidRPr="00AE006E">
        <w:t xml:space="preserve">) data analysis and the other for </w:t>
      </w:r>
      <w:r w:rsidR="00427F2C">
        <w:t xml:space="preserve">the </w:t>
      </w:r>
      <w:r w:rsidRPr="00AE006E">
        <w:t>week 52 (</w:t>
      </w:r>
      <w:r w:rsidRPr="00C9715F">
        <w:rPr>
          <w:spacing w:val="-1"/>
        </w:rPr>
        <w:t>PP</w:t>
      </w:r>
      <w:r w:rsidRPr="00C9715F">
        <w:rPr>
          <w:spacing w:val="1"/>
        </w:rPr>
        <w:t>S-</w:t>
      </w:r>
      <w:r w:rsidRPr="00C9715F">
        <w:rPr>
          <w:spacing w:val="-1"/>
        </w:rPr>
        <w:t>52w</w:t>
      </w:r>
      <w:r w:rsidRPr="00AE006E">
        <w:t xml:space="preserve">) data analysis. To be included in the </w:t>
      </w:r>
      <w:r w:rsidRPr="00C9715F">
        <w:rPr>
          <w:spacing w:val="-1"/>
        </w:rPr>
        <w:t>PP</w:t>
      </w:r>
      <w:r w:rsidRPr="00C9715F">
        <w:rPr>
          <w:spacing w:val="1"/>
        </w:rPr>
        <w:t>S-</w:t>
      </w:r>
      <w:r w:rsidRPr="00C9715F">
        <w:rPr>
          <w:spacing w:val="-1"/>
        </w:rPr>
        <w:t>52w</w:t>
      </w:r>
      <w:r w:rsidRPr="00AE006E">
        <w:t xml:space="preserve"> data analysis, the subjects </w:t>
      </w:r>
      <w:r>
        <w:rPr>
          <w:rFonts w:hint="eastAsia"/>
          <w:lang w:eastAsia="ja-JP"/>
        </w:rPr>
        <w:t>were to</w:t>
      </w:r>
      <w:r w:rsidRPr="00AE006E">
        <w:t xml:space="preserve"> meet the criteria at both weeks 24 and 52. </w:t>
      </w:r>
    </w:p>
    <w:p w:rsidR="00751B4F" w:rsidRDefault="00751B4F" w:rsidP="005F6E4E">
      <w:pPr>
        <w:pStyle w:val="ListNumber"/>
        <w:numPr>
          <w:ilvl w:val="0"/>
          <w:numId w:val="0"/>
        </w:numPr>
        <w:spacing w:line="480" w:lineRule="auto"/>
        <w:ind w:left="360"/>
      </w:pPr>
    </w:p>
    <w:p w:rsidR="00591794" w:rsidRDefault="00427F2C" w:rsidP="005F6E4E">
      <w:pPr>
        <w:pStyle w:val="ListNumber"/>
        <w:numPr>
          <w:ilvl w:val="0"/>
          <w:numId w:val="0"/>
        </w:numPr>
        <w:spacing w:line="480" w:lineRule="auto"/>
        <w:ind w:left="360"/>
      </w:pPr>
      <w:r>
        <w:t>The p</w:t>
      </w:r>
      <w:r w:rsidR="00591794" w:rsidRPr="00AE006E">
        <w:t>er-</w:t>
      </w:r>
      <w:r>
        <w:t>p</w:t>
      </w:r>
      <w:r w:rsidR="00591794" w:rsidRPr="00AE006E">
        <w:t xml:space="preserve">rotocol </w:t>
      </w:r>
      <w:r>
        <w:t>s</w:t>
      </w:r>
      <w:r w:rsidR="00591794" w:rsidRPr="00AE006E">
        <w:t xml:space="preserve">et (PPS) consisted of subjects meeting the FAS criteria. Additional PPS </w:t>
      </w:r>
      <w:bookmarkStart w:id="0" w:name="_GoBack"/>
      <w:bookmarkEnd w:id="0"/>
      <w:r w:rsidR="00591794" w:rsidRPr="00AE006E">
        <w:t xml:space="preserve">criteria </w:t>
      </w:r>
      <w:r w:rsidR="00591794">
        <w:rPr>
          <w:rFonts w:hint="eastAsia"/>
          <w:lang w:eastAsia="ja-JP"/>
        </w:rPr>
        <w:t>could</w:t>
      </w:r>
      <w:r w:rsidR="00591794" w:rsidRPr="00AE006E">
        <w:t xml:space="preserve"> include the following:</w:t>
      </w:r>
    </w:p>
    <w:p w:rsidR="00751B4F" w:rsidRPr="00AE006E" w:rsidRDefault="00751B4F" w:rsidP="005F6E4E">
      <w:pPr>
        <w:pStyle w:val="ListNumber"/>
        <w:numPr>
          <w:ilvl w:val="0"/>
          <w:numId w:val="0"/>
        </w:numPr>
        <w:spacing w:line="480" w:lineRule="auto"/>
        <w:ind w:left="360"/>
      </w:pPr>
    </w:p>
    <w:p w:rsidR="00591794" w:rsidRPr="00AE006E" w:rsidRDefault="00427F2C" w:rsidP="005F6E4E">
      <w:pPr>
        <w:pStyle w:val="BulletList2"/>
        <w:spacing w:line="480" w:lineRule="auto"/>
      </w:pPr>
      <w:r>
        <w:t>Met</w:t>
      </w:r>
      <w:r w:rsidR="00591794" w:rsidRPr="00AE006E">
        <w:t xml:space="preserve"> all inclusion and exclusion criteria</w:t>
      </w:r>
    </w:p>
    <w:p w:rsidR="00591794" w:rsidRPr="00AE006E" w:rsidRDefault="00591794" w:rsidP="005F6E4E">
      <w:pPr>
        <w:pStyle w:val="BulletList2"/>
        <w:spacing w:line="480" w:lineRule="auto"/>
      </w:pPr>
      <w:r w:rsidRPr="00AE006E">
        <w:t>DAS28-ESR assessment at baseline and week 24/week 52 (per analysis visit window)</w:t>
      </w:r>
    </w:p>
    <w:p w:rsidR="00591794" w:rsidRPr="00AE006E" w:rsidRDefault="00427F2C" w:rsidP="005F6E4E">
      <w:pPr>
        <w:pStyle w:val="BulletList2"/>
        <w:spacing w:line="480" w:lineRule="auto"/>
      </w:pPr>
      <w:r>
        <w:t>A</w:t>
      </w:r>
      <w:r w:rsidR="00591794" w:rsidRPr="00AE006E">
        <w:t xml:space="preserve">t least 80% compliance to the </w:t>
      </w:r>
      <w:r>
        <w:t>study treatment</w:t>
      </w:r>
      <w:r w:rsidR="00591794" w:rsidRPr="00AE006E">
        <w:t xml:space="preserve"> during the first 24 weeks/52 weeks of treatment</w:t>
      </w:r>
    </w:p>
    <w:p w:rsidR="00591794" w:rsidRPr="00AE006E" w:rsidRDefault="00427F2C" w:rsidP="005F6E4E">
      <w:pPr>
        <w:pStyle w:val="BulletList2"/>
        <w:spacing w:line="480" w:lineRule="auto"/>
      </w:pPr>
      <w:r>
        <w:t>N</w:t>
      </w:r>
      <w:r w:rsidR="00591794" w:rsidRPr="00AE006E">
        <w:t xml:space="preserve">o discontinuation of the </w:t>
      </w:r>
      <w:r>
        <w:t>study treatment</w:t>
      </w:r>
      <w:r w:rsidR="00591794" w:rsidRPr="00AE006E">
        <w:t xml:space="preserve"> for more than 2 consecutive weeks during the 4 weeks prior to the DAS28-ESR assessment at week 24/week 52 (per analysis visit window)</w:t>
      </w:r>
    </w:p>
    <w:p w:rsidR="00591794" w:rsidRPr="00AE006E" w:rsidRDefault="00427F2C" w:rsidP="005F6E4E">
      <w:pPr>
        <w:pStyle w:val="BulletList2"/>
        <w:spacing w:line="480" w:lineRule="auto"/>
      </w:pPr>
      <w:r>
        <w:lastRenderedPageBreak/>
        <w:t>A</w:t>
      </w:r>
      <w:r w:rsidR="003E1655">
        <w:t xml:space="preserve"> </w:t>
      </w:r>
      <w:r w:rsidR="00591794" w:rsidRPr="00AE006E">
        <w:t>week</w:t>
      </w:r>
      <w:r w:rsidR="00751B4F">
        <w:t>-</w:t>
      </w:r>
      <w:r w:rsidR="00591794" w:rsidRPr="00AE006E">
        <w:t>long</w:t>
      </w:r>
      <w:r w:rsidR="003E1655">
        <w:t xml:space="preserve"> </w:t>
      </w:r>
      <w:r w:rsidR="00591794" w:rsidRPr="00AE006E">
        <w:t xml:space="preserve">temporary hold of MTX administration for no more than 5 times in total during the first 24 weeks of </w:t>
      </w:r>
      <w:r>
        <w:t xml:space="preserve">the </w:t>
      </w:r>
      <w:r w:rsidR="00591794" w:rsidRPr="00AE006E">
        <w:t>study period (for week 24 data analysis). To qualif</w:t>
      </w:r>
      <w:r>
        <w:t>y</w:t>
      </w:r>
      <w:r w:rsidR="00591794" w:rsidRPr="00AE006E">
        <w:t xml:space="preserve"> for the week 52 data analysis,</w:t>
      </w:r>
      <w:r>
        <w:t xml:space="preserve"> an</w:t>
      </w:r>
      <w:r w:rsidR="00591794" w:rsidRPr="00AE006E">
        <w:t xml:space="preserve"> additional no more than 6 times during the second 28</w:t>
      </w:r>
      <w:r>
        <w:t>-</w:t>
      </w:r>
      <w:r w:rsidR="00591794" w:rsidRPr="00AE006E">
        <w:t>week period (weeks 24</w:t>
      </w:r>
      <w:r>
        <w:t>–</w:t>
      </w:r>
      <w:r w:rsidR="00591794" w:rsidRPr="00AE006E">
        <w:t xml:space="preserve">52), i.e., no more than 11 times in total </w:t>
      </w:r>
      <w:r>
        <w:t>during</w:t>
      </w:r>
      <w:r w:rsidR="00591794" w:rsidRPr="00AE006E">
        <w:t xml:space="preserve"> the 52 weeks period</w:t>
      </w:r>
    </w:p>
    <w:p w:rsidR="00591794" w:rsidRPr="00AE006E" w:rsidRDefault="00427F2C" w:rsidP="005F6E4E">
      <w:pPr>
        <w:pStyle w:val="BulletList2"/>
        <w:spacing w:line="480" w:lineRule="auto"/>
      </w:pPr>
      <w:r>
        <w:t>N</w:t>
      </w:r>
      <w:r w:rsidR="00591794" w:rsidRPr="00AE006E">
        <w:t>o major protocol violations that could affect DAS28-ESR assessment during the first 24 weeks/52 weeks of treatment</w:t>
      </w:r>
      <w:r>
        <w:t>.</w:t>
      </w:r>
    </w:p>
    <w:p w:rsidR="00591794" w:rsidRDefault="00591794" w:rsidP="005F6E4E">
      <w:pPr>
        <w:pStyle w:val="Text"/>
        <w:spacing w:line="480" w:lineRule="auto"/>
        <w:ind w:left="360"/>
        <w:rPr>
          <w:rFonts w:eastAsia="Malgun Gothic"/>
          <w:lang w:eastAsia="ko-KR"/>
        </w:rPr>
      </w:pPr>
    </w:p>
    <w:p w:rsidR="00145722" w:rsidRDefault="00145722" w:rsidP="005F6E4E">
      <w:pPr>
        <w:pStyle w:val="Text"/>
        <w:spacing w:line="480" w:lineRule="auto"/>
        <w:ind w:left="360"/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Supplementary figure legends</w:t>
      </w:r>
    </w:p>
    <w:p w:rsidR="00145722" w:rsidRDefault="005F6E4E" w:rsidP="005F6E4E">
      <w:pPr>
        <w:pStyle w:val="Text"/>
        <w:spacing w:line="480" w:lineRule="auto"/>
        <w:ind w:left="360"/>
        <w:rPr>
          <w:szCs w:val="24"/>
        </w:rPr>
      </w:pPr>
      <w:r>
        <w:rPr>
          <w:b/>
          <w:szCs w:val="24"/>
        </w:rPr>
        <w:t xml:space="preserve">Supplementary figure S1. </w:t>
      </w:r>
      <w:r w:rsidRPr="00410900">
        <w:rPr>
          <w:szCs w:val="24"/>
        </w:rPr>
        <w:t>Study design</w:t>
      </w:r>
      <w:r>
        <w:rPr>
          <w:szCs w:val="24"/>
        </w:rPr>
        <w:t xml:space="preserve">. </w:t>
      </w:r>
      <w:r w:rsidRPr="005F6E4E">
        <w:rPr>
          <w:szCs w:val="24"/>
        </w:rPr>
        <w:t>ETN-RP, etanercept reference product</w:t>
      </w:r>
      <w:r>
        <w:rPr>
          <w:szCs w:val="24"/>
        </w:rPr>
        <w:t>.</w:t>
      </w:r>
    </w:p>
    <w:p w:rsidR="003068F2" w:rsidRPr="003068F2" w:rsidRDefault="003068F2" w:rsidP="003068F2">
      <w:pPr>
        <w:pStyle w:val="Text"/>
        <w:spacing w:line="480" w:lineRule="auto"/>
        <w:ind w:left="360"/>
        <w:rPr>
          <w:rFonts w:eastAsia="Malgun Gothic"/>
          <w:lang w:eastAsia="ko-KR"/>
        </w:rPr>
      </w:pPr>
      <w:r w:rsidRPr="003068F2">
        <w:rPr>
          <w:rFonts w:eastAsia="Malgun Gothic"/>
          <w:lang w:eastAsia="ko-KR"/>
        </w:rPr>
        <w:t>This study consisted of three periods</w:t>
      </w:r>
      <w:r w:rsidR="00D77731">
        <w:rPr>
          <w:rFonts w:eastAsia="Malgun Gothic"/>
          <w:lang w:eastAsia="ko-KR"/>
        </w:rPr>
        <w:t>; screening period, treatment period, and post-treatment follow-up period</w:t>
      </w:r>
      <w:r w:rsidRPr="003068F2">
        <w:rPr>
          <w:rFonts w:eastAsia="Malgun Gothic"/>
          <w:lang w:eastAsia="ko-KR"/>
        </w:rPr>
        <w:t xml:space="preserve">. Screening period was a period for confirming patient eligibility for study participation, defined as a period from obtaining Informed Consent to the day </w:t>
      </w:r>
      <w:r w:rsidR="0056508C">
        <w:rPr>
          <w:rFonts w:eastAsia="Malgun Gothic"/>
          <w:lang w:eastAsia="ko-KR"/>
        </w:rPr>
        <w:t>before treatment randomis</w:t>
      </w:r>
      <w:r>
        <w:rPr>
          <w:rFonts w:eastAsia="Malgun Gothic"/>
          <w:lang w:eastAsia="ko-KR"/>
        </w:rPr>
        <w:t xml:space="preserve">ation. </w:t>
      </w:r>
      <w:r w:rsidRPr="003068F2">
        <w:rPr>
          <w:rFonts w:eastAsia="Malgun Gothic"/>
          <w:lang w:eastAsia="ko-KR"/>
        </w:rPr>
        <w:t>Treatment period was a period for assessing efficacy and safety of the s</w:t>
      </w:r>
      <w:r>
        <w:rPr>
          <w:rFonts w:eastAsia="Malgun Gothic"/>
          <w:lang w:eastAsia="ko-KR"/>
        </w:rPr>
        <w:t>tudy drugs in this study,</w:t>
      </w:r>
      <w:r w:rsidRPr="003068F2">
        <w:rPr>
          <w:rFonts w:eastAsia="Malgun Gothic"/>
          <w:lang w:eastAsia="ko-KR"/>
        </w:rPr>
        <w:t xml:space="preserve"> defined as a period from treatment randomization to the completion of week 52 assessments or the completion of assessments for premature withdrawal from the study prior to the scheduled week 52 visit.</w:t>
      </w:r>
    </w:p>
    <w:p w:rsidR="005F6E4E" w:rsidRDefault="003068F2" w:rsidP="003068F2">
      <w:pPr>
        <w:pStyle w:val="Text"/>
        <w:spacing w:line="480" w:lineRule="auto"/>
        <w:ind w:left="360"/>
        <w:rPr>
          <w:rFonts w:eastAsia="Malgun Gothic"/>
          <w:lang w:eastAsia="ko-KR"/>
        </w:rPr>
      </w:pPr>
      <w:r w:rsidRPr="003068F2">
        <w:rPr>
          <w:rFonts w:eastAsia="Malgun Gothic"/>
          <w:lang w:eastAsia="ko-KR"/>
        </w:rPr>
        <w:t>Post-tr</w:t>
      </w:r>
      <w:r w:rsidR="0056508C">
        <w:rPr>
          <w:rFonts w:eastAsia="Malgun Gothic"/>
          <w:lang w:eastAsia="ko-KR"/>
        </w:rPr>
        <w:t>eatment follow-up period was a period for assessing</w:t>
      </w:r>
      <w:r w:rsidRPr="003068F2">
        <w:rPr>
          <w:rFonts w:eastAsia="Malgun Gothic"/>
          <w:lang w:eastAsia="ko-KR"/>
        </w:rPr>
        <w:t xml:space="preserve"> post-treatmen</w:t>
      </w:r>
      <w:r w:rsidR="0056508C">
        <w:rPr>
          <w:rFonts w:eastAsia="Malgun Gothic"/>
          <w:lang w:eastAsia="ko-KR"/>
        </w:rPr>
        <w:t xml:space="preserve">t safety of the study drugs, defined as a 2-week period from </w:t>
      </w:r>
      <w:r w:rsidR="0056508C" w:rsidRPr="003068F2">
        <w:rPr>
          <w:rFonts w:eastAsia="Malgun Gothic"/>
          <w:lang w:eastAsia="ko-KR"/>
        </w:rPr>
        <w:t>the</w:t>
      </w:r>
      <w:r w:rsidR="0056508C">
        <w:rPr>
          <w:rFonts w:eastAsia="Malgun Gothic"/>
          <w:lang w:eastAsia="ko-KR"/>
        </w:rPr>
        <w:t xml:space="preserve"> last visit of treatment period (</w:t>
      </w:r>
      <w:r w:rsidRPr="003068F2">
        <w:rPr>
          <w:rFonts w:eastAsia="Malgun Gothic"/>
          <w:lang w:eastAsia="ko-KR"/>
        </w:rPr>
        <w:t xml:space="preserve">the completion </w:t>
      </w:r>
      <w:r w:rsidR="0056508C">
        <w:rPr>
          <w:rFonts w:eastAsia="Malgun Gothic"/>
          <w:lang w:eastAsia="ko-KR"/>
        </w:rPr>
        <w:t xml:space="preserve">of assessments at week 52 or </w:t>
      </w:r>
      <w:r w:rsidRPr="003068F2">
        <w:rPr>
          <w:rFonts w:eastAsia="Malgun Gothic"/>
          <w:lang w:eastAsia="ko-KR"/>
        </w:rPr>
        <w:t>the time of the premature withdr</w:t>
      </w:r>
      <w:r w:rsidR="0056508C">
        <w:rPr>
          <w:rFonts w:eastAsia="Malgun Gothic"/>
          <w:lang w:eastAsia="ko-KR"/>
        </w:rPr>
        <w:t>awal from the treatment period).</w:t>
      </w:r>
      <w:r w:rsidRPr="003068F2">
        <w:rPr>
          <w:rFonts w:eastAsia="Malgun Gothic"/>
          <w:lang w:eastAsia="ko-KR"/>
        </w:rPr>
        <w:t xml:space="preserve"> </w:t>
      </w:r>
    </w:p>
    <w:p w:rsidR="003068F2" w:rsidRPr="003068F2" w:rsidRDefault="003068F2" w:rsidP="003068F2">
      <w:pPr>
        <w:pStyle w:val="Text"/>
        <w:spacing w:line="480" w:lineRule="auto"/>
        <w:ind w:left="360"/>
        <w:rPr>
          <w:rFonts w:eastAsia="Malgun Gothic"/>
          <w:lang w:eastAsia="ko-KR"/>
        </w:rPr>
      </w:pPr>
    </w:p>
    <w:p w:rsidR="005F6E4E" w:rsidRDefault="005F6E4E" w:rsidP="005F6E4E">
      <w:pPr>
        <w:pStyle w:val="Text"/>
        <w:spacing w:line="480" w:lineRule="auto"/>
        <w:ind w:left="360"/>
        <w:rPr>
          <w:rFonts w:eastAsia="Malgun Gothic"/>
          <w:lang w:eastAsia="ko-KR"/>
        </w:rPr>
      </w:pPr>
      <w:r w:rsidRPr="00410900">
        <w:rPr>
          <w:rFonts w:eastAsia="Malgun Gothic"/>
          <w:b/>
          <w:lang w:eastAsia="ko-KR"/>
        </w:rPr>
        <w:t>Supplementary figure S2.</w:t>
      </w:r>
      <w:r w:rsidR="003068F2">
        <w:rPr>
          <w:rFonts w:eastAsia="Malgun Gothic"/>
          <w:lang w:eastAsia="ko-KR"/>
        </w:rPr>
        <w:t xml:space="preserve"> Percentages of patients achieving</w:t>
      </w:r>
      <w:r w:rsidRPr="005F6E4E">
        <w:rPr>
          <w:rFonts w:eastAsia="Malgun Gothic"/>
          <w:lang w:eastAsia="ko-KR"/>
        </w:rPr>
        <w:t xml:space="preserve"> remission </w:t>
      </w:r>
      <w:r>
        <w:rPr>
          <w:rFonts w:eastAsia="Malgun Gothic"/>
          <w:lang w:eastAsia="ko-KR"/>
        </w:rPr>
        <w:t xml:space="preserve">(A) </w:t>
      </w:r>
      <w:r w:rsidR="003068F2">
        <w:rPr>
          <w:rFonts w:eastAsia="Malgun Gothic"/>
          <w:lang w:eastAsia="ko-KR"/>
        </w:rPr>
        <w:t>and</w:t>
      </w:r>
      <w:r w:rsidRPr="005F6E4E">
        <w:rPr>
          <w:rFonts w:eastAsia="Malgun Gothic"/>
          <w:lang w:eastAsia="ko-KR"/>
        </w:rPr>
        <w:t xml:space="preserve"> low disease activity (PPS)</w:t>
      </w:r>
      <w:r>
        <w:rPr>
          <w:rFonts w:eastAsia="Malgun Gothic"/>
          <w:lang w:eastAsia="ko-KR"/>
        </w:rPr>
        <w:t xml:space="preserve"> (B). </w:t>
      </w:r>
      <w:r w:rsidRPr="005F6E4E">
        <w:rPr>
          <w:rFonts w:eastAsia="Malgun Gothic"/>
          <w:lang w:eastAsia="ko-KR"/>
        </w:rPr>
        <w:t>ETN-RP, etanercept reference product</w:t>
      </w:r>
      <w:r>
        <w:rPr>
          <w:rFonts w:eastAsia="Malgun Gothic"/>
          <w:lang w:eastAsia="ko-KR"/>
        </w:rPr>
        <w:t>.</w:t>
      </w:r>
    </w:p>
    <w:p w:rsidR="005F6E4E" w:rsidRDefault="005F6E4E" w:rsidP="005F6E4E">
      <w:pPr>
        <w:pStyle w:val="Text"/>
        <w:spacing w:line="480" w:lineRule="auto"/>
        <w:ind w:left="360"/>
        <w:rPr>
          <w:rFonts w:eastAsia="Malgun Gothic"/>
          <w:lang w:eastAsia="ko-KR"/>
        </w:rPr>
      </w:pPr>
    </w:p>
    <w:p w:rsidR="005F6E4E" w:rsidRDefault="005F6E4E" w:rsidP="005F6E4E">
      <w:pPr>
        <w:pStyle w:val="Text"/>
        <w:spacing w:line="480" w:lineRule="auto"/>
        <w:ind w:left="360"/>
        <w:rPr>
          <w:rFonts w:eastAsia="Malgun Gothic"/>
          <w:lang w:eastAsia="ko-KR"/>
        </w:rPr>
      </w:pPr>
      <w:r w:rsidRPr="00410900">
        <w:rPr>
          <w:rFonts w:eastAsia="Malgun Gothic"/>
          <w:b/>
          <w:lang w:eastAsia="ko-KR"/>
        </w:rPr>
        <w:t xml:space="preserve">Supplementary figure </w:t>
      </w:r>
      <w:r>
        <w:rPr>
          <w:rFonts w:eastAsia="Malgun Gothic"/>
          <w:b/>
          <w:lang w:eastAsia="ko-KR"/>
        </w:rPr>
        <w:t>S</w:t>
      </w:r>
      <w:r w:rsidRPr="00410900">
        <w:rPr>
          <w:rFonts w:eastAsia="Malgun Gothic"/>
          <w:b/>
          <w:lang w:eastAsia="ko-KR"/>
        </w:rPr>
        <w:t>3</w:t>
      </w:r>
      <w:r w:rsidRPr="005F6E4E">
        <w:rPr>
          <w:rFonts w:eastAsia="Malgun Gothic"/>
          <w:b/>
          <w:lang w:eastAsia="ko-KR"/>
        </w:rPr>
        <w:t>.</w:t>
      </w:r>
      <w:r w:rsidRPr="005F6E4E">
        <w:rPr>
          <w:rFonts w:eastAsia="Malgun Gothic"/>
          <w:lang w:eastAsia="ko-KR"/>
        </w:rPr>
        <w:t xml:space="preserve"> Serum trough concentrations (pharmacokinetics analysis set)</w:t>
      </w:r>
      <w:r>
        <w:rPr>
          <w:rFonts w:eastAsia="Malgun Gothic"/>
          <w:lang w:eastAsia="ko-KR"/>
        </w:rPr>
        <w:t xml:space="preserve">. </w:t>
      </w:r>
      <w:r w:rsidRPr="005F6E4E">
        <w:rPr>
          <w:rFonts w:eastAsia="Malgun Gothic"/>
          <w:lang w:eastAsia="ko-KR"/>
        </w:rPr>
        <w:t xml:space="preserve">Blood for </w:t>
      </w:r>
      <w:r>
        <w:rPr>
          <w:rFonts w:eastAsia="Malgun Gothic"/>
          <w:lang w:eastAsia="ko-KR"/>
        </w:rPr>
        <w:t>pharmacokinetics</w:t>
      </w:r>
      <w:r w:rsidRPr="005F6E4E">
        <w:rPr>
          <w:rFonts w:eastAsia="Malgun Gothic"/>
          <w:lang w:eastAsia="ko-KR"/>
        </w:rPr>
        <w:t xml:space="preserve"> analysis was drawn on 7</w:t>
      </w:r>
      <w:r>
        <w:rPr>
          <w:rFonts w:eastAsia="Malgun Gothic"/>
          <w:lang w:eastAsia="ko-KR"/>
        </w:rPr>
        <w:t xml:space="preserve"> </w:t>
      </w:r>
      <w:r w:rsidRPr="005F6E4E">
        <w:rPr>
          <w:rFonts w:eastAsia="Malgun Gothic"/>
          <w:lang w:eastAsia="ko-KR"/>
        </w:rPr>
        <w:t>±</w:t>
      </w:r>
      <w:r>
        <w:rPr>
          <w:rFonts w:eastAsia="Malgun Gothic"/>
          <w:lang w:eastAsia="ko-KR"/>
        </w:rPr>
        <w:t xml:space="preserve"> </w:t>
      </w:r>
      <w:r w:rsidRPr="005F6E4E">
        <w:rPr>
          <w:rFonts w:eastAsia="Malgun Gothic"/>
          <w:lang w:eastAsia="ko-KR"/>
        </w:rPr>
        <w:t xml:space="preserve">2 days after drug administration. </w:t>
      </w:r>
      <w:r>
        <w:rPr>
          <w:rFonts w:eastAsia="Malgun Gothic"/>
          <w:lang w:eastAsia="ko-KR"/>
        </w:rPr>
        <w:t>O</w:t>
      </w:r>
      <w:r w:rsidRPr="005F6E4E">
        <w:rPr>
          <w:rFonts w:eastAsia="Malgun Gothic"/>
          <w:lang w:eastAsia="ko-KR"/>
        </w:rPr>
        <w:t xml:space="preserve">n days 8 or 9 </w:t>
      </w:r>
      <w:r>
        <w:rPr>
          <w:rFonts w:eastAsia="Malgun Gothic"/>
          <w:lang w:eastAsia="ko-KR"/>
        </w:rPr>
        <w:t>after administration, b</w:t>
      </w:r>
      <w:r w:rsidRPr="005F6E4E">
        <w:rPr>
          <w:rFonts w:eastAsia="Malgun Gothic"/>
          <w:lang w:eastAsia="ko-KR"/>
        </w:rPr>
        <w:t>lood was collected in more patients for analysis at week 52 (LBEC group: 15.5%, Enbrel group: 11.0%) than at weeks 12 or 24 (LBEC group: 7.6% at week 12, 5.7% at week 24, Enbrel group: 5.4% at week 12, 5.0% at week 24).</w:t>
      </w:r>
      <w:r>
        <w:rPr>
          <w:rFonts w:eastAsia="Malgun Gothic"/>
          <w:lang w:eastAsia="ko-KR"/>
        </w:rPr>
        <w:t xml:space="preserve"> </w:t>
      </w:r>
      <w:r w:rsidRPr="005F6E4E">
        <w:rPr>
          <w:rFonts w:eastAsia="Malgun Gothic"/>
          <w:lang w:eastAsia="ko-KR"/>
        </w:rPr>
        <w:t>ETN-RP, etanercept reference product.</w:t>
      </w:r>
    </w:p>
    <w:p w:rsidR="005F6E4E" w:rsidRPr="005F6E4E" w:rsidRDefault="005F6E4E" w:rsidP="005F6E4E">
      <w:pPr>
        <w:pStyle w:val="Text"/>
        <w:spacing w:line="480" w:lineRule="auto"/>
        <w:ind w:left="360"/>
        <w:rPr>
          <w:rFonts w:eastAsia="Malgun Gothic"/>
          <w:lang w:eastAsia="ko-KR"/>
        </w:rPr>
      </w:pPr>
    </w:p>
    <w:sectPr w:rsidR="005F6E4E" w:rsidRPr="005F6E4E" w:rsidSect="00E85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A8" w:rsidRDefault="009F21A8">
      <w:pPr>
        <w:spacing w:after="0" w:line="240" w:lineRule="auto"/>
      </w:pPr>
      <w:r>
        <w:separator/>
      </w:r>
    </w:p>
  </w:endnote>
  <w:endnote w:type="continuationSeparator" w:id="0">
    <w:p w:rsidR="009F21A8" w:rsidRDefault="009F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A8" w:rsidRDefault="009F21A8">
      <w:pPr>
        <w:spacing w:after="0" w:line="240" w:lineRule="auto"/>
      </w:pPr>
      <w:r>
        <w:separator/>
      </w:r>
    </w:p>
  </w:footnote>
  <w:footnote w:type="continuationSeparator" w:id="0">
    <w:p w:rsidR="009F21A8" w:rsidRDefault="009F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203" w:rsidRDefault="00AB3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2F8DA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277C55"/>
    <w:multiLevelType w:val="hybridMultilevel"/>
    <w:tmpl w:val="123844CE"/>
    <w:lvl w:ilvl="0" w:tplc="308A6654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C1F16"/>
    <w:multiLevelType w:val="hybridMultilevel"/>
    <w:tmpl w:val="712AD4EA"/>
    <w:lvl w:ilvl="0" w:tplc="92F8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4C0B35"/>
    <w:multiLevelType w:val="hybridMultilevel"/>
    <w:tmpl w:val="7F8EE0B2"/>
    <w:lvl w:ilvl="0" w:tplc="9896505C">
      <w:start w:val="1"/>
      <w:numFmt w:val="lowerRoman"/>
      <w:pStyle w:val="Bullet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D2FA4"/>
    <w:multiLevelType w:val="hybridMultilevel"/>
    <w:tmpl w:val="D1A8B7F6"/>
    <w:lvl w:ilvl="0" w:tplc="F53827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7M0MjCwMDYyMjZR0lEKTi0uzszPAykwrAUAywuCGCwAAAA="/>
  </w:docVars>
  <w:rsids>
    <w:rsidRoot w:val="007D71FE"/>
    <w:rsid w:val="00066672"/>
    <w:rsid w:val="00145722"/>
    <w:rsid w:val="00227B62"/>
    <w:rsid w:val="003068F2"/>
    <w:rsid w:val="00383276"/>
    <w:rsid w:val="003E1655"/>
    <w:rsid w:val="00410900"/>
    <w:rsid w:val="00427F2C"/>
    <w:rsid w:val="00436E86"/>
    <w:rsid w:val="0056508C"/>
    <w:rsid w:val="00591794"/>
    <w:rsid w:val="005F6E4E"/>
    <w:rsid w:val="006633DC"/>
    <w:rsid w:val="00736D15"/>
    <w:rsid w:val="00751B4F"/>
    <w:rsid w:val="007D71FE"/>
    <w:rsid w:val="00965A96"/>
    <w:rsid w:val="009F21A8"/>
    <w:rsid w:val="00AB3203"/>
    <w:rsid w:val="00C11FF6"/>
    <w:rsid w:val="00C2714D"/>
    <w:rsid w:val="00C70FFF"/>
    <w:rsid w:val="00C91D27"/>
    <w:rsid w:val="00C9715F"/>
    <w:rsid w:val="00CF5E75"/>
    <w:rsid w:val="00D64C0E"/>
    <w:rsid w:val="00D77731"/>
    <w:rsid w:val="00E85201"/>
    <w:rsid w:val="00FC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201"/>
    <w:pPr>
      <w:spacing w:after="200" w:line="276" w:lineRule="auto"/>
    </w:pPr>
    <w:rPr>
      <w:rFonts w:ascii="Calibri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5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201"/>
    <w:rPr>
      <w:rFonts w:ascii="Calibri" w:eastAsiaTheme="minorEastAsia" w:hAnsi="Calibri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201"/>
    <w:rPr>
      <w:rFonts w:ascii="Calibri" w:eastAsiaTheme="minorEastAsia" w:hAnsi="Calibr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01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852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5201"/>
    <w:rPr>
      <w:rFonts w:ascii="Calibri" w:hAnsi="Calibri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E852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5201"/>
    <w:rPr>
      <w:rFonts w:ascii="Calibri" w:hAnsi="Calibri" w:cs="Times New Roman"/>
      <w:lang w:val="en-US" w:eastAsia="ja-JP"/>
    </w:rPr>
  </w:style>
  <w:style w:type="paragraph" w:customStyle="1" w:styleId="Text">
    <w:name w:val="Text"/>
    <w:basedOn w:val="Normal"/>
    <w:link w:val="TextChar"/>
    <w:qFormat/>
    <w:rsid w:val="00591794"/>
    <w:pPr>
      <w:tabs>
        <w:tab w:val="left" w:pos="1080"/>
      </w:tabs>
      <w:suppressAutoHyphens/>
      <w:spacing w:before="60" w:after="60" w:line="240" w:lineRule="auto"/>
    </w:pPr>
    <w:rPr>
      <w:rFonts w:ascii="Times New Roman" w:hAnsi="Times New Roman"/>
      <w:sz w:val="24"/>
      <w:szCs w:val="20"/>
      <w:lang w:eastAsia="en-US"/>
    </w:rPr>
  </w:style>
  <w:style w:type="paragraph" w:styleId="ListNumber">
    <w:name w:val="List Number"/>
    <w:rsid w:val="00591794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BulletList2">
    <w:name w:val="Bullet List 2"/>
    <w:basedOn w:val="Normal"/>
    <w:autoRedefine/>
    <w:rsid w:val="00FC4EB2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TextChar">
    <w:name w:val="Text Char"/>
    <w:link w:val="Text"/>
    <w:rsid w:val="00591794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2017-10-04T01:55:00Z</dcterms:created>
  <dcterms:modified xsi:type="dcterms:W3CDTF">2017-10-04T01:55:00Z</dcterms:modified>
</cp:coreProperties>
</file>