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68" w:rsidRDefault="001D007F" w:rsidP="00C821FD">
      <w:pPr>
        <w:tabs>
          <w:tab w:val="left" w:pos="3828"/>
          <w:tab w:val="left" w:pos="4395"/>
        </w:tabs>
        <w:spacing w:after="0" w:line="240" w:lineRule="auto"/>
        <w:rPr>
          <w:rFonts w:cs="Calibri"/>
          <w:b/>
          <w:sz w:val="28"/>
          <w:szCs w:val="28"/>
          <w:lang w:val="en-US"/>
        </w:rPr>
      </w:pPr>
      <w:r w:rsidRPr="00F120F2">
        <w:rPr>
          <w:rFonts w:cs="Calibri"/>
          <w:b/>
          <w:sz w:val="28"/>
          <w:szCs w:val="28"/>
          <w:lang w:val="en-US"/>
        </w:rPr>
        <w:t xml:space="preserve">Online </w:t>
      </w:r>
      <w:r w:rsidR="00AE2568" w:rsidRPr="00F120F2">
        <w:rPr>
          <w:rFonts w:cs="Calibri"/>
          <w:b/>
          <w:sz w:val="28"/>
          <w:szCs w:val="28"/>
          <w:lang w:val="en-US"/>
        </w:rPr>
        <w:t xml:space="preserve">Supplementary Appendix </w:t>
      </w:r>
    </w:p>
    <w:p w:rsidR="00AE2568" w:rsidRPr="00F120F2" w:rsidRDefault="00AE2568" w:rsidP="00C821FD">
      <w:pPr>
        <w:spacing w:after="0" w:line="240" w:lineRule="auto"/>
        <w:rPr>
          <w:sz w:val="24"/>
          <w:szCs w:val="24"/>
          <w:lang w:val="en-US"/>
        </w:rPr>
      </w:pPr>
    </w:p>
    <w:p w:rsidR="00974E2F" w:rsidRDefault="00974E2F" w:rsidP="00C821FD">
      <w:pPr>
        <w:spacing w:after="0" w:line="240" w:lineRule="auto"/>
        <w:rPr>
          <w:b/>
          <w:sz w:val="24"/>
          <w:szCs w:val="24"/>
          <w:lang w:val="en-US"/>
        </w:rPr>
      </w:pPr>
      <w:r w:rsidRPr="00F120F2">
        <w:rPr>
          <w:b/>
          <w:sz w:val="24"/>
          <w:szCs w:val="24"/>
          <w:lang w:val="en-US"/>
        </w:rPr>
        <w:t>Methods</w:t>
      </w:r>
    </w:p>
    <w:p w:rsidR="005C09B7" w:rsidRPr="00F120F2" w:rsidRDefault="005C09B7" w:rsidP="00C821FD">
      <w:pPr>
        <w:spacing w:after="0" w:line="240" w:lineRule="auto"/>
        <w:rPr>
          <w:b/>
          <w:sz w:val="24"/>
          <w:szCs w:val="24"/>
          <w:lang w:val="en-US"/>
        </w:rPr>
      </w:pPr>
    </w:p>
    <w:p w:rsidR="00AE2568" w:rsidRPr="00C821FD" w:rsidRDefault="002E1F51" w:rsidP="00C821FD">
      <w:pPr>
        <w:spacing w:after="0" w:line="240" w:lineRule="auto"/>
        <w:ind w:right="-284"/>
        <w:rPr>
          <w:i/>
          <w:sz w:val="24"/>
          <w:szCs w:val="24"/>
          <w:u w:val="single"/>
          <w:lang w:val="en-US"/>
        </w:rPr>
      </w:pPr>
      <w:r w:rsidRPr="00C821FD">
        <w:rPr>
          <w:i/>
          <w:sz w:val="24"/>
          <w:szCs w:val="24"/>
          <w:u w:val="single"/>
          <w:lang w:val="en-US"/>
        </w:rPr>
        <w:t>Additional information on spinal r</w:t>
      </w:r>
      <w:r w:rsidR="001D007F" w:rsidRPr="00C821FD">
        <w:rPr>
          <w:i/>
          <w:sz w:val="24"/>
          <w:szCs w:val="24"/>
          <w:u w:val="single"/>
          <w:lang w:val="en-US"/>
        </w:rPr>
        <w:t>adiograph scoring</w:t>
      </w:r>
      <w:r w:rsidR="005C09B7" w:rsidRPr="00C821FD">
        <w:rPr>
          <w:i/>
          <w:sz w:val="24"/>
          <w:szCs w:val="24"/>
          <w:u w:val="single"/>
          <w:lang w:val="en-US"/>
        </w:rPr>
        <w:t xml:space="preserve"> and imputation of missing vertebral corners</w:t>
      </w:r>
    </w:p>
    <w:p w:rsidR="00974E2F" w:rsidRPr="00F120F2" w:rsidRDefault="00974E2F" w:rsidP="00C821FD">
      <w:pPr>
        <w:spacing w:after="0" w:line="240" w:lineRule="auto"/>
        <w:rPr>
          <w:sz w:val="24"/>
          <w:szCs w:val="24"/>
          <w:lang w:val="en-US"/>
        </w:rPr>
      </w:pPr>
    </w:p>
    <w:p w:rsidR="00B921B8" w:rsidRDefault="007049E3" w:rsidP="00C821FD">
      <w:pPr>
        <w:spacing w:after="0" w:line="480" w:lineRule="auto"/>
        <w:jc w:val="both"/>
        <w:rPr>
          <w:sz w:val="24"/>
          <w:szCs w:val="24"/>
          <w:lang w:val="en-US"/>
        </w:rPr>
      </w:pPr>
      <w:r w:rsidRPr="00F120F2">
        <w:rPr>
          <w:sz w:val="24"/>
          <w:szCs w:val="24"/>
          <w:lang w:val="en-US"/>
        </w:rPr>
        <w:t xml:space="preserve">According to </w:t>
      </w:r>
      <w:proofErr w:type="spellStart"/>
      <w:r w:rsidRPr="00F120F2">
        <w:rPr>
          <w:sz w:val="24"/>
          <w:szCs w:val="24"/>
          <w:lang w:val="en-US"/>
        </w:rPr>
        <w:t>mSASSS</w:t>
      </w:r>
      <w:proofErr w:type="spellEnd"/>
      <w:r w:rsidRPr="00F120F2">
        <w:rPr>
          <w:sz w:val="24"/>
          <w:szCs w:val="24"/>
          <w:lang w:val="en-US"/>
        </w:rPr>
        <w:t xml:space="preserve">, the anterior vertebral corners (VCs) of the cervical and lumbar spine are scored in the lateral view for the presence of erosion and/or sclerosis and/or squaring (1 point), </w:t>
      </w:r>
      <w:proofErr w:type="spellStart"/>
      <w:r w:rsidRPr="00F120F2">
        <w:rPr>
          <w:sz w:val="24"/>
          <w:szCs w:val="24"/>
          <w:lang w:val="en-US"/>
        </w:rPr>
        <w:t>syndesmophyte</w:t>
      </w:r>
      <w:proofErr w:type="spellEnd"/>
      <w:r w:rsidRPr="00F120F2">
        <w:rPr>
          <w:sz w:val="24"/>
          <w:szCs w:val="24"/>
          <w:lang w:val="en-US"/>
        </w:rPr>
        <w:t xml:space="preserve"> (2 points) and bridging </w:t>
      </w:r>
      <w:proofErr w:type="spellStart"/>
      <w:r w:rsidRPr="00F120F2">
        <w:rPr>
          <w:sz w:val="24"/>
          <w:szCs w:val="24"/>
          <w:lang w:val="en-US"/>
        </w:rPr>
        <w:t>syndesmophyte</w:t>
      </w:r>
      <w:proofErr w:type="spellEnd"/>
      <w:r w:rsidRPr="00F120F2">
        <w:rPr>
          <w:sz w:val="24"/>
          <w:szCs w:val="24"/>
          <w:lang w:val="en-US"/>
        </w:rPr>
        <w:t xml:space="preserve"> (3 points) with a total score per patient ranging from </w:t>
      </w:r>
      <w:proofErr w:type="gramStart"/>
      <w:r w:rsidRPr="00F120F2">
        <w:rPr>
          <w:sz w:val="24"/>
          <w:szCs w:val="24"/>
          <w:lang w:val="en-US"/>
        </w:rPr>
        <w:t>0</w:t>
      </w:r>
      <w:proofErr w:type="gramEnd"/>
      <w:r w:rsidRPr="00F120F2">
        <w:rPr>
          <w:sz w:val="24"/>
          <w:szCs w:val="24"/>
          <w:lang w:val="en-US"/>
        </w:rPr>
        <w:t xml:space="preserve"> to 72.</w:t>
      </w:r>
      <w:r>
        <w:rPr>
          <w:sz w:val="24"/>
          <w:szCs w:val="24"/>
          <w:lang w:val="en-US"/>
        </w:rPr>
        <w:t xml:space="preserve"> </w:t>
      </w:r>
      <w:r w:rsidR="005C09B7" w:rsidRPr="00F120F2">
        <w:rPr>
          <w:sz w:val="24"/>
          <w:szCs w:val="24"/>
          <w:lang w:val="en-US"/>
        </w:rPr>
        <w:t xml:space="preserve">Radiograph sets with a total </w:t>
      </w:r>
      <w:proofErr w:type="spellStart"/>
      <w:r w:rsidR="005C09B7" w:rsidRPr="00F120F2">
        <w:rPr>
          <w:sz w:val="24"/>
          <w:szCs w:val="24"/>
          <w:lang w:val="en-US"/>
        </w:rPr>
        <w:t>mSASSS</w:t>
      </w:r>
      <w:proofErr w:type="spellEnd"/>
      <w:r w:rsidR="005C09B7" w:rsidRPr="00F120F2">
        <w:rPr>
          <w:sz w:val="24"/>
          <w:szCs w:val="24"/>
          <w:lang w:val="en-US"/>
        </w:rPr>
        <w:t xml:space="preserve"> score of </w:t>
      </w:r>
      <w:r w:rsidR="005C09B7" w:rsidRPr="00F120F2">
        <w:rPr>
          <w:rFonts w:cs="Calibri"/>
          <w:sz w:val="24"/>
          <w:szCs w:val="24"/>
          <w:lang w:val="en-US"/>
        </w:rPr>
        <w:t>≥</w:t>
      </w:r>
      <w:r w:rsidR="005C09B7" w:rsidRPr="00F120F2">
        <w:rPr>
          <w:sz w:val="24"/>
          <w:szCs w:val="24"/>
          <w:lang w:val="en-US"/>
        </w:rPr>
        <w:t xml:space="preserve">71 were excluded, as no further progression of at least 2 units per 2 years would be possible (N=8).  </w:t>
      </w:r>
      <w:r w:rsidR="000B4493" w:rsidRPr="00F120F2">
        <w:rPr>
          <w:sz w:val="24"/>
          <w:szCs w:val="24"/>
          <w:lang w:val="en-US"/>
        </w:rPr>
        <w:t xml:space="preserve">Only scores of radiographs with </w:t>
      </w:r>
      <w:r w:rsidR="000B4493" w:rsidRPr="00F120F2">
        <w:rPr>
          <w:rFonts w:cs="Calibri"/>
          <w:sz w:val="24"/>
          <w:szCs w:val="24"/>
          <w:lang w:val="en-US"/>
        </w:rPr>
        <w:t>≤</w:t>
      </w:r>
      <w:r w:rsidR="000B4493" w:rsidRPr="00F120F2">
        <w:rPr>
          <w:sz w:val="24"/>
          <w:szCs w:val="24"/>
          <w:lang w:val="en-US"/>
        </w:rPr>
        <w:t xml:space="preserve">3 missing </w:t>
      </w:r>
      <w:r w:rsidR="005C09B7">
        <w:rPr>
          <w:sz w:val="24"/>
          <w:szCs w:val="24"/>
          <w:lang w:val="en-US"/>
        </w:rPr>
        <w:t>vertebral corners (VC)</w:t>
      </w:r>
      <w:r w:rsidR="000B4493" w:rsidRPr="00F120F2">
        <w:rPr>
          <w:sz w:val="24"/>
          <w:szCs w:val="24"/>
          <w:lang w:val="en-US"/>
        </w:rPr>
        <w:t xml:space="preserve"> per segment (either cervical or lumbar) were used. Individual missing </w:t>
      </w:r>
      <w:r w:rsidR="005C09B7">
        <w:rPr>
          <w:sz w:val="24"/>
          <w:szCs w:val="24"/>
          <w:lang w:val="en-US"/>
        </w:rPr>
        <w:t>VCs</w:t>
      </w:r>
      <w:r w:rsidR="000B4493" w:rsidRPr="00F120F2">
        <w:rPr>
          <w:sz w:val="24"/>
          <w:szCs w:val="24"/>
          <w:lang w:val="en-US"/>
        </w:rPr>
        <w:t xml:space="preserve"> were imputed using an adaptation algorithm</w:t>
      </w:r>
      <w:r w:rsidR="00C821FD">
        <w:rPr>
          <w:sz w:val="24"/>
          <w:szCs w:val="24"/>
          <w:vertAlign w:val="superscript"/>
          <w:lang w:val="en-US"/>
        </w:rPr>
        <w:t xml:space="preserve"> </w:t>
      </w:r>
      <w:r w:rsidR="00C821FD">
        <w:rPr>
          <w:sz w:val="24"/>
          <w:szCs w:val="24"/>
          <w:lang w:val="en-US"/>
        </w:rPr>
        <w:t xml:space="preserve">(Ramiro S. et al, </w:t>
      </w:r>
      <w:r w:rsidR="00C821FD" w:rsidRPr="005C09B7">
        <w:rPr>
          <w:i/>
          <w:sz w:val="24"/>
          <w:szCs w:val="24"/>
          <w:lang w:val="en-US"/>
        </w:rPr>
        <w:t>Ann Rheum Dis</w:t>
      </w:r>
      <w:r w:rsidR="00C821FD" w:rsidRPr="005C09B7">
        <w:rPr>
          <w:sz w:val="24"/>
          <w:szCs w:val="24"/>
          <w:lang w:val="en-US"/>
        </w:rPr>
        <w:t xml:space="preserve"> 2015</w:t>
      </w:r>
      <w:proofErr w:type="gramStart"/>
      <w:r w:rsidR="00C821FD" w:rsidRPr="005C09B7">
        <w:rPr>
          <w:sz w:val="24"/>
          <w:szCs w:val="24"/>
          <w:lang w:val="en-US"/>
        </w:rPr>
        <w:t>;74:52</w:t>
      </w:r>
      <w:proofErr w:type="gramEnd"/>
      <w:r w:rsidR="00C821FD" w:rsidRPr="005C09B7">
        <w:rPr>
          <w:sz w:val="24"/>
          <w:szCs w:val="24"/>
          <w:lang w:val="en-US"/>
        </w:rPr>
        <w:t>-9</w:t>
      </w:r>
      <w:r w:rsidR="00C821FD">
        <w:rPr>
          <w:sz w:val="24"/>
          <w:szCs w:val="24"/>
          <w:lang w:val="en-US"/>
        </w:rPr>
        <w:t>)</w:t>
      </w:r>
      <w:r w:rsidR="00AE2568" w:rsidRPr="00F120F2">
        <w:rPr>
          <w:sz w:val="24"/>
          <w:szCs w:val="24"/>
          <w:lang w:val="en-US"/>
        </w:rPr>
        <w:t xml:space="preserve">: first, a missing value for a VC was replaced with the value of the previous observation. Second, the mean spinal segment’s progression score (either cervical or lumbar) per patient was calculated. This segmental progression score was added to the imputed value. In a case of a score missing in a patient with a score of 0 in the same VC at a subsequent time point, the score of 0 for the previous time point(s) was assumed. If the baseline score of a VC was missing, the same procedure was applied, subtracting the mean segment progression from the score of year 3 for a particular patient. If a value of this VC was also missing at year 2, then the average of the other available VCs from this spinal segment at baseline </w:t>
      </w:r>
      <w:proofErr w:type="gramStart"/>
      <w:r w:rsidR="00AE2568" w:rsidRPr="00F120F2">
        <w:rPr>
          <w:sz w:val="24"/>
          <w:szCs w:val="24"/>
          <w:lang w:val="en-US"/>
        </w:rPr>
        <w:t>was used</w:t>
      </w:r>
      <w:proofErr w:type="gramEnd"/>
      <w:r w:rsidR="00AE2568" w:rsidRPr="00F120F2">
        <w:rPr>
          <w:sz w:val="24"/>
          <w:szCs w:val="24"/>
          <w:lang w:val="en-US"/>
        </w:rPr>
        <w:t xml:space="preserve"> to replace the missing VC(s).</w:t>
      </w:r>
      <w:r w:rsidR="00C821FD">
        <w:rPr>
          <w:sz w:val="24"/>
          <w:szCs w:val="24"/>
          <w:lang w:val="en-US"/>
        </w:rPr>
        <w:t xml:space="preserve"> </w:t>
      </w:r>
      <w:r w:rsidR="00B921B8" w:rsidRPr="005C09B7">
        <w:rPr>
          <w:sz w:val="24"/>
          <w:szCs w:val="24"/>
          <w:lang w:val="en-US"/>
        </w:rPr>
        <w:t xml:space="preserve">An independent adjudicator (AC) scored all of the radiographs from patients with an absolute difference in </w:t>
      </w:r>
      <w:proofErr w:type="spellStart"/>
      <w:r w:rsidR="00B921B8" w:rsidRPr="005C09B7">
        <w:rPr>
          <w:sz w:val="24"/>
          <w:szCs w:val="24"/>
          <w:lang w:val="en-US"/>
        </w:rPr>
        <w:t>mSASSS</w:t>
      </w:r>
      <w:proofErr w:type="spellEnd"/>
      <w:r w:rsidR="00B921B8" w:rsidRPr="005C09B7">
        <w:rPr>
          <w:sz w:val="24"/>
          <w:szCs w:val="24"/>
          <w:lang w:val="en-US"/>
        </w:rPr>
        <w:t xml:space="preserve"> status scores between the primary readers of </w:t>
      </w:r>
      <w:r w:rsidR="00B921B8" w:rsidRPr="005C09B7">
        <w:rPr>
          <w:rFonts w:cs="Calibri"/>
          <w:sz w:val="24"/>
          <w:szCs w:val="24"/>
          <w:lang w:val="en-US"/>
        </w:rPr>
        <w:t>≥</w:t>
      </w:r>
      <w:r w:rsidR="00B921B8" w:rsidRPr="005C09B7">
        <w:rPr>
          <w:sz w:val="24"/>
          <w:szCs w:val="24"/>
          <w:lang w:val="en-US"/>
        </w:rPr>
        <w:t xml:space="preserve">5 units in at least one radiograph set. Averaged scores per VC were used and, in case of adjudication, the score of the primary reader closest to the adjudicator. </w:t>
      </w:r>
      <w:r w:rsidR="002B7986" w:rsidRPr="005C09B7">
        <w:rPr>
          <w:sz w:val="24"/>
          <w:szCs w:val="24"/>
          <w:lang w:val="en-US"/>
        </w:rPr>
        <w:t xml:space="preserve">Using the score of the adjudicator led to similar results (see </w:t>
      </w:r>
      <w:r w:rsidR="00411549" w:rsidRPr="005C09B7">
        <w:rPr>
          <w:sz w:val="24"/>
          <w:szCs w:val="24"/>
          <w:lang w:val="en-US"/>
        </w:rPr>
        <w:lastRenderedPageBreak/>
        <w:t>supplementary Table S7</w:t>
      </w:r>
      <w:r w:rsidR="002B7986" w:rsidRPr="005C09B7">
        <w:rPr>
          <w:sz w:val="24"/>
          <w:szCs w:val="24"/>
          <w:lang w:val="en-US"/>
        </w:rPr>
        <w:t xml:space="preserve">, below). </w:t>
      </w:r>
      <w:r>
        <w:rPr>
          <w:sz w:val="24"/>
          <w:szCs w:val="24"/>
          <w:lang w:val="en-US"/>
        </w:rPr>
        <w:t xml:space="preserve"> </w:t>
      </w:r>
      <w:proofErr w:type="spellStart"/>
      <w:r w:rsidRPr="00F120F2">
        <w:rPr>
          <w:sz w:val="24"/>
          <w:szCs w:val="24"/>
          <w:lang w:val="en-US"/>
        </w:rPr>
        <w:t>Syndesmophytes</w:t>
      </w:r>
      <w:proofErr w:type="spellEnd"/>
      <w:r w:rsidRPr="00F120F2">
        <w:rPr>
          <w:sz w:val="24"/>
          <w:szCs w:val="24"/>
          <w:lang w:val="en-US"/>
        </w:rPr>
        <w:t xml:space="preserve"> </w:t>
      </w:r>
      <w:proofErr w:type="gramStart"/>
      <w:r w:rsidRPr="00F120F2">
        <w:rPr>
          <w:sz w:val="24"/>
          <w:szCs w:val="24"/>
          <w:lang w:val="en-US"/>
        </w:rPr>
        <w:t>were only counted</w:t>
      </w:r>
      <w:proofErr w:type="gramEnd"/>
      <w:r w:rsidRPr="00F120F2">
        <w:rPr>
          <w:sz w:val="24"/>
          <w:szCs w:val="24"/>
          <w:lang w:val="en-US"/>
        </w:rPr>
        <w:t xml:space="preserve"> if both readers agreed upon their presence.</w:t>
      </w:r>
    </w:p>
    <w:p w:rsidR="00C821FD" w:rsidRDefault="00C821FD" w:rsidP="00C821FD">
      <w:pPr>
        <w:spacing w:after="0" w:line="480" w:lineRule="auto"/>
        <w:jc w:val="both"/>
        <w:rPr>
          <w:sz w:val="24"/>
          <w:szCs w:val="24"/>
          <w:lang w:val="en-US"/>
        </w:rPr>
      </w:pPr>
    </w:p>
    <w:p w:rsidR="00B921B8" w:rsidRPr="00C821FD" w:rsidRDefault="009B29F7" w:rsidP="00C821FD">
      <w:pPr>
        <w:spacing w:after="0" w:line="480" w:lineRule="auto"/>
        <w:jc w:val="both"/>
        <w:rPr>
          <w:i/>
          <w:sz w:val="24"/>
          <w:szCs w:val="24"/>
          <w:u w:val="single"/>
          <w:lang w:val="en-US"/>
        </w:rPr>
      </w:pPr>
      <w:r w:rsidRPr="00C821FD">
        <w:rPr>
          <w:i/>
          <w:sz w:val="24"/>
          <w:szCs w:val="24"/>
          <w:u w:val="single"/>
          <w:lang w:val="en-US"/>
        </w:rPr>
        <w:t>Selection of the correlation structure in the generalized estimating equation (GEE) models</w:t>
      </w:r>
    </w:p>
    <w:p w:rsidR="009B29F7" w:rsidRDefault="009B29F7" w:rsidP="00C821FD">
      <w:pPr>
        <w:spacing w:after="0" w:line="480" w:lineRule="auto"/>
        <w:jc w:val="both"/>
        <w:rPr>
          <w:sz w:val="24"/>
          <w:szCs w:val="24"/>
          <w:lang w:val="en-US"/>
        </w:rPr>
      </w:pPr>
      <w:r w:rsidRPr="00F120F2">
        <w:rPr>
          <w:sz w:val="24"/>
          <w:szCs w:val="24"/>
          <w:lang w:val="en-US"/>
        </w:rPr>
        <w:t xml:space="preserve">An “exchangeable” correlation structure </w:t>
      </w:r>
      <w:proofErr w:type="gramStart"/>
      <w:r w:rsidRPr="00F120F2">
        <w:rPr>
          <w:sz w:val="24"/>
          <w:szCs w:val="24"/>
          <w:lang w:val="en-US"/>
        </w:rPr>
        <w:t>was chosen</w:t>
      </w:r>
      <w:proofErr w:type="gramEnd"/>
      <w:r w:rsidRPr="00F120F2">
        <w:rPr>
          <w:sz w:val="24"/>
          <w:szCs w:val="24"/>
          <w:lang w:val="en-US"/>
        </w:rPr>
        <w:t xml:space="preserve"> for the main model, as we assumed that each patient had an individual constant level of radiographic progression probability</w:t>
      </w:r>
      <w:r w:rsidR="0019408A" w:rsidRPr="00F120F2">
        <w:rPr>
          <w:sz w:val="24"/>
          <w:szCs w:val="24"/>
          <w:lang w:val="en-US"/>
        </w:rPr>
        <w:t xml:space="preserve"> for all time-points, given all covariates. Other correlation structures (“independence”, “unstructured”</w:t>
      </w:r>
      <w:r w:rsidR="00752BA9" w:rsidRPr="00F120F2">
        <w:rPr>
          <w:sz w:val="24"/>
          <w:szCs w:val="24"/>
          <w:lang w:val="en-US"/>
        </w:rPr>
        <w:t xml:space="preserve">, </w:t>
      </w:r>
      <w:proofErr w:type="gramStart"/>
      <w:r w:rsidR="00752BA9" w:rsidRPr="00F120F2">
        <w:rPr>
          <w:sz w:val="24"/>
          <w:szCs w:val="24"/>
          <w:lang w:val="en-US"/>
        </w:rPr>
        <w:t>“</w:t>
      </w:r>
      <w:proofErr w:type="gramEnd"/>
      <w:r w:rsidR="00752BA9" w:rsidRPr="00F120F2">
        <w:rPr>
          <w:sz w:val="24"/>
          <w:szCs w:val="24"/>
          <w:lang w:val="en-US"/>
        </w:rPr>
        <w:t>autoregressive”</w:t>
      </w:r>
      <w:r w:rsidR="0019408A" w:rsidRPr="00F120F2">
        <w:rPr>
          <w:sz w:val="24"/>
          <w:szCs w:val="24"/>
          <w:lang w:val="en-US"/>
        </w:rPr>
        <w:t>) were investigated in sensitivity analyses and the resulting coefficient and confidence intervals varied only slightly (full models shown</w:t>
      </w:r>
      <w:r w:rsidR="00411549" w:rsidRPr="00F120F2">
        <w:rPr>
          <w:sz w:val="24"/>
          <w:szCs w:val="24"/>
          <w:lang w:val="en-US"/>
        </w:rPr>
        <w:t xml:space="preserve"> in the supplementary Tables S9-S11</w:t>
      </w:r>
      <w:r w:rsidR="0019408A" w:rsidRPr="00F120F2">
        <w:rPr>
          <w:sz w:val="24"/>
          <w:szCs w:val="24"/>
          <w:lang w:val="en-US"/>
        </w:rPr>
        <w:t>, below).</w:t>
      </w:r>
    </w:p>
    <w:p w:rsidR="007049E3" w:rsidRDefault="007049E3" w:rsidP="00C821FD">
      <w:pPr>
        <w:spacing w:after="0" w:line="480" w:lineRule="auto"/>
        <w:jc w:val="both"/>
        <w:rPr>
          <w:sz w:val="24"/>
          <w:szCs w:val="24"/>
          <w:lang w:val="en-US"/>
        </w:rPr>
      </w:pPr>
    </w:p>
    <w:p w:rsidR="007049E3" w:rsidRPr="007049E3" w:rsidRDefault="007049E3" w:rsidP="00C821FD">
      <w:pPr>
        <w:spacing w:after="0" w:line="480" w:lineRule="auto"/>
        <w:jc w:val="both"/>
        <w:rPr>
          <w:i/>
          <w:sz w:val="24"/>
          <w:szCs w:val="24"/>
          <w:u w:val="single"/>
          <w:lang w:val="en-US"/>
        </w:rPr>
      </w:pPr>
      <w:r w:rsidRPr="007049E3">
        <w:rPr>
          <w:i/>
          <w:sz w:val="24"/>
          <w:szCs w:val="24"/>
          <w:u w:val="single"/>
          <w:lang w:val="en-US"/>
        </w:rPr>
        <w:t>Multiple imputation of missing values</w:t>
      </w:r>
    </w:p>
    <w:p w:rsidR="007049E3" w:rsidRDefault="007049E3" w:rsidP="007049E3">
      <w:pPr>
        <w:spacing w:after="0" w:line="480" w:lineRule="auto"/>
        <w:jc w:val="both"/>
        <w:rPr>
          <w:sz w:val="24"/>
          <w:szCs w:val="24"/>
          <w:lang w:val="en-US"/>
        </w:rPr>
      </w:pPr>
      <w:r w:rsidRPr="00567CCB">
        <w:rPr>
          <w:sz w:val="24"/>
          <w:szCs w:val="24"/>
          <w:lang w:val="en-US"/>
        </w:rPr>
        <w:t>To account for missing values, the GEE was fitted using multiple imputation of missing covariate data</w:t>
      </w:r>
      <w:r>
        <w:rPr>
          <w:sz w:val="24"/>
          <w:szCs w:val="24"/>
          <w:lang w:val="en-US"/>
        </w:rPr>
        <w:t xml:space="preserve"> (see online supplementary Methods)</w:t>
      </w:r>
      <w:r w:rsidRPr="00567CCB">
        <w:rPr>
          <w:sz w:val="24"/>
          <w:szCs w:val="24"/>
          <w:lang w:val="en-US"/>
        </w:rPr>
        <w:t xml:space="preserve">. </w:t>
      </w:r>
      <w:r w:rsidRPr="00F120F2">
        <w:rPr>
          <w:sz w:val="24"/>
          <w:szCs w:val="24"/>
          <w:lang w:val="en-US"/>
        </w:rPr>
        <w:t>Out of 616 intervals, 212 (35%) had at least one mi</w:t>
      </w:r>
      <w:r>
        <w:rPr>
          <w:sz w:val="24"/>
          <w:szCs w:val="24"/>
          <w:lang w:val="en-US"/>
        </w:rPr>
        <w:t>ssing value in one of the 12</w:t>
      </w:r>
      <w:r w:rsidRPr="00F120F2">
        <w:rPr>
          <w:sz w:val="24"/>
          <w:szCs w:val="24"/>
          <w:lang w:val="en-US"/>
        </w:rPr>
        <w:t xml:space="preserve"> variables used in the GEE. The proportion of missing values per variable varied from 0% to 19%. An individual GEE </w:t>
      </w:r>
      <w:proofErr w:type="gramStart"/>
      <w:r w:rsidRPr="00F120F2">
        <w:rPr>
          <w:sz w:val="24"/>
          <w:szCs w:val="24"/>
          <w:lang w:val="en-US"/>
        </w:rPr>
        <w:t>was fitted</w:t>
      </w:r>
      <w:proofErr w:type="gramEnd"/>
      <w:r w:rsidRPr="00F120F2">
        <w:rPr>
          <w:sz w:val="24"/>
          <w:szCs w:val="24"/>
          <w:lang w:val="en-US"/>
        </w:rPr>
        <w:t xml:space="preserve"> for each of the imputed dataset. Pooling of model estimates </w:t>
      </w:r>
      <w:proofErr w:type="gramStart"/>
      <w:r w:rsidRPr="00F120F2">
        <w:rPr>
          <w:sz w:val="24"/>
          <w:szCs w:val="24"/>
          <w:lang w:val="en-US"/>
        </w:rPr>
        <w:t>was performed</w:t>
      </w:r>
      <w:proofErr w:type="gramEnd"/>
      <w:r w:rsidRPr="00F120F2">
        <w:rPr>
          <w:sz w:val="24"/>
          <w:szCs w:val="24"/>
          <w:lang w:val="en-US"/>
        </w:rPr>
        <w:t xml:space="preserve"> according to Rubin’s rules. </w:t>
      </w:r>
      <w:proofErr w:type="gramStart"/>
      <w:r w:rsidRPr="00F120F2">
        <w:rPr>
          <w:sz w:val="24"/>
          <w:szCs w:val="24"/>
          <w:lang w:val="en-US"/>
        </w:rPr>
        <w:t>A total of 30</w:t>
      </w:r>
      <w:proofErr w:type="gramEnd"/>
      <w:r w:rsidRPr="00F120F2">
        <w:rPr>
          <w:sz w:val="24"/>
          <w:szCs w:val="24"/>
          <w:lang w:val="en-US"/>
        </w:rPr>
        <w:t xml:space="preserve"> imputed datasets were created. The ASDAS </w:t>
      </w:r>
      <w:proofErr w:type="gramStart"/>
      <w:r w:rsidRPr="00F120F2">
        <w:rPr>
          <w:sz w:val="24"/>
          <w:szCs w:val="24"/>
          <w:lang w:val="en-US"/>
        </w:rPr>
        <w:t>was derived</w:t>
      </w:r>
      <w:proofErr w:type="gramEnd"/>
      <w:r w:rsidRPr="00F120F2">
        <w:rPr>
          <w:sz w:val="24"/>
          <w:szCs w:val="24"/>
          <w:lang w:val="en-US"/>
        </w:rPr>
        <w:t xml:space="preserve"> by passive imputation.  Predictive mean matching </w:t>
      </w:r>
      <w:proofErr w:type="gramStart"/>
      <w:r w:rsidRPr="00F120F2">
        <w:rPr>
          <w:sz w:val="24"/>
          <w:szCs w:val="24"/>
          <w:lang w:val="en-US"/>
        </w:rPr>
        <w:t>was used</w:t>
      </w:r>
      <w:proofErr w:type="gramEnd"/>
      <w:r w:rsidRPr="00F120F2">
        <w:rPr>
          <w:sz w:val="24"/>
          <w:szCs w:val="24"/>
          <w:lang w:val="en-US"/>
        </w:rPr>
        <w:t xml:space="preserve"> for continuous variables and logistic regression for binary variables. Convergence of imputations </w:t>
      </w:r>
      <w:proofErr w:type="gramStart"/>
      <w:r w:rsidRPr="00F120F2">
        <w:rPr>
          <w:sz w:val="24"/>
          <w:szCs w:val="24"/>
          <w:lang w:val="en-US"/>
        </w:rPr>
        <w:t>was assessed</w:t>
      </w:r>
      <w:proofErr w:type="gramEnd"/>
      <w:r w:rsidRPr="00F120F2">
        <w:rPr>
          <w:sz w:val="24"/>
          <w:szCs w:val="24"/>
          <w:lang w:val="en-US"/>
        </w:rPr>
        <w:t xml:space="preserve"> by visual inspection of the mean and variance changes by iteration and dataset. The same GEE models were also fitted using the subset population with complete data sets to assess the robustness of the results.</w:t>
      </w:r>
    </w:p>
    <w:p w:rsidR="007049E3" w:rsidRPr="00567CCB" w:rsidRDefault="007049E3" w:rsidP="007049E3">
      <w:pPr>
        <w:spacing w:after="0" w:line="480" w:lineRule="auto"/>
        <w:jc w:val="both"/>
        <w:rPr>
          <w:rFonts w:cs="Calibri"/>
          <w:sz w:val="24"/>
          <w:szCs w:val="24"/>
          <w:lang w:val="en-US"/>
        </w:rPr>
      </w:pPr>
      <w:r w:rsidRPr="00567CCB">
        <w:rPr>
          <w:rFonts w:cs="Calibri"/>
          <w:sz w:val="24"/>
          <w:szCs w:val="24"/>
          <w:lang w:val="en-US"/>
        </w:rPr>
        <w:t xml:space="preserve">R statistical software (R Development Core Team, 2011) </w:t>
      </w:r>
      <w:proofErr w:type="gramStart"/>
      <w:r w:rsidRPr="00567CCB">
        <w:rPr>
          <w:rFonts w:cs="Calibri"/>
          <w:sz w:val="24"/>
          <w:szCs w:val="24"/>
          <w:lang w:val="en-US"/>
        </w:rPr>
        <w:t>was used</w:t>
      </w:r>
      <w:proofErr w:type="gramEnd"/>
      <w:r w:rsidRPr="00567CCB">
        <w:rPr>
          <w:rFonts w:cs="Calibri"/>
          <w:sz w:val="24"/>
          <w:szCs w:val="24"/>
          <w:lang w:val="en-US"/>
        </w:rPr>
        <w:t xml:space="preserve"> for all analyses. </w:t>
      </w:r>
    </w:p>
    <w:p w:rsidR="007049E3" w:rsidRDefault="007049E3" w:rsidP="007049E3">
      <w:pPr>
        <w:spacing w:after="0" w:line="480" w:lineRule="auto"/>
        <w:jc w:val="both"/>
        <w:rPr>
          <w:sz w:val="24"/>
          <w:szCs w:val="24"/>
          <w:lang w:val="en-US"/>
        </w:rPr>
      </w:pPr>
      <w:bookmarkStart w:id="0" w:name="_GoBack"/>
      <w:bookmarkEnd w:id="0"/>
    </w:p>
    <w:p w:rsidR="005C09B7" w:rsidRPr="005C09B7" w:rsidRDefault="005C09B7" w:rsidP="00C821FD">
      <w:pPr>
        <w:spacing w:after="0" w:line="480" w:lineRule="auto"/>
        <w:jc w:val="both"/>
        <w:rPr>
          <w:sz w:val="24"/>
          <w:szCs w:val="24"/>
          <w:lang w:val="en-US"/>
        </w:rPr>
      </w:pPr>
    </w:p>
    <w:p w:rsidR="00F07751" w:rsidRPr="00F120F2" w:rsidRDefault="00F07751"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Results</w:t>
      </w:r>
    </w:p>
    <w:p w:rsidR="00F07751" w:rsidRPr="00F120F2" w:rsidRDefault="00F07751" w:rsidP="00C821FD">
      <w:pPr>
        <w:tabs>
          <w:tab w:val="left" w:pos="3828"/>
          <w:tab w:val="left" w:pos="4395"/>
        </w:tabs>
        <w:spacing w:after="0" w:line="240" w:lineRule="auto"/>
        <w:rPr>
          <w:rFonts w:cs="Calibri"/>
          <w:sz w:val="24"/>
          <w:szCs w:val="24"/>
          <w:lang w:val="en-US"/>
        </w:rPr>
      </w:pPr>
    </w:p>
    <w:p w:rsidR="00F07751" w:rsidRPr="00F120F2" w:rsidRDefault="007B3C65"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t>Table S1</w:t>
      </w:r>
      <w:r w:rsidR="00F07751" w:rsidRPr="00F120F2">
        <w:rPr>
          <w:rFonts w:cs="Calibri"/>
          <w:b/>
          <w:sz w:val="24"/>
          <w:szCs w:val="24"/>
          <w:lang w:val="en-US"/>
        </w:rPr>
        <w:t xml:space="preserve">. </w:t>
      </w:r>
      <w:r w:rsidR="00F07751" w:rsidRPr="00F120F2">
        <w:rPr>
          <w:rFonts w:cs="Calibri"/>
          <w:sz w:val="24"/>
          <w:szCs w:val="24"/>
          <w:lang w:val="en-US"/>
        </w:rPr>
        <w:t>Multivariable analysis for the identification of factors associated with</w:t>
      </w:r>
      <w:r w:rsidR="004F265B" w:rsidRPr="00F120F2">
        <w:rPr>
          <w:rFonts w:cs="Calibri"/>
          <w:sz w:val="24"/>
          <w:szCs w:val="24"/>
          <w:lang w:val="en-US"/>
        </w:rPr>
        <w:t xml:space="preserve"> spinal</w:t>
      </w:r>
      <w:r w:rsidR="00F07751" w:rsidRPr="00F120F2">
        <w:rPr>
          <w:rFonts w:cs="Calibri"/>
          <w:sz w:val="24"/>
          <w:szCs w:val="24"/>
          <w:lang w:val="en-US"/>
        </w:rPr>
        <w:t xml:space="preserve"> radiograph</w:t>
      </w:r>
      <w:r w:rsidR="00DC1EF4" w:rsidRPr="00F120F2">
        <w:rPr>
          <w:rFonts w:cs="Calibri"/>
          <w:sz w:val="24"/>
          <w:szCs w:val="24"/>
          <w:lang w:val="en-US"/>
        </w:rPr>
        <w:t>ic progression with 2 year radiographic</w:t>
      </w:r>
      <w:r w:rsidR="00F07751" w:rsidRPr="00F120F2">
        <w:rPr>
          <w:rFonts w:cs="Calibri"/>
          <w:sz w:val="24"/>
          <w:szCs w:val="24"/>
          <w:lang w:val="en-US"/>
        </w:rPr>
        <w:t xml:space="preserve"> intervals </w:t>
      </w:r>
      <w:r w:rsidR="00F07751" w:rsidRPr="00F120F2">
        <w:rPr>
          <w:rFonts w:cs="Calibri"/>
          <w:b/>
          <w:sz w:val="24"/>
          <w:szCs w:val="24"/>
          <w:lang w:val="en-US"/>
        </w:rPr>
        <w:t>±6 months</w:t>
      </w:r>
      <w:r w:rsidR="00706AAD" w:rsidRPr="00F120F2">
        <w:rPr>
          <w:rFonts w:cs="Calibri"/>
          <w:sz w:val="24"/>
          <w:szCs w:val="24"/>
          <w:lang w:val="en-US"/>
        </w:rPr>
        <w:t>, performed as a sensitivity analysis in a smaller subset of intervals, as in the main analysis patients had been included with an interval duration between radiograph sets of 2 years ±12 months.</w:t>
      </w:r>
    </w:p>
    <w:p w:rsidR="00084A90" w:rsidRPr="00F120F2" w:rsidRDefault="00084A90" w:rsidP="00C821FD">
      <w:pPr>
        <w:tabs>
          <w:tab w:val="left" w:pos="3828"/>
          <w:tab w:val="left" w:pos="4395"/>
        </w:tabs>
        <w:spacing w:after="0" w:line="240" w:lineRule="auto"/>
        <w:rPr>
          <w:rFonts w:cs="Calibri"/>
          <w:b/>
          <w:sz w:val="24"/>
          <w:szCs w:val="24"/>
          <w:lang w:val="en-US"/>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084"/>
        <w:gridCol w:w="1415"/>
        <w:gridCol w:w="1245"/>
      </w:tblGrid>
      <w:tr w:rsidR="00F120F2" w:rsidRPr="007049E3" w:rsidTr="00531473">
        <w:tc>
          <w:tcPr>
            <w:tcW w:w="5387" w:type="dxa"/>
            <w:tcBorders>
              <w:left w:val="nil"/>
              <w:bottom w:val="single" w:sz="4" w:space="0" w:color="auto"/>
            </w:tcBorders>
            <w:shd w:val="clear" w:color="auto" w:fill="auto"/>
          </w:tcPr>
          <w:p w:rsidR="00F07751" w:rsidRPr="00F120F2" w:rsidRDefault="00F07751" w:rsidP="00C821FD">
            <w:pPr>
              <w:tabs>
                <w:tab w:val="left" w:pos="3828"/>
                <w:tab w:val="left" w:pos="4395"/>
              </w:tabs>
              <w:spacing w:after="0" w:line="240" w:lineRule="auto"/>
              <w:rPr>
                <w:rFonts w:cs="Calibri"/>
                <w:b/>
                <w:sz w:val="24"/>
                <w:szCs w:val="24"/>
                <w:lang w:val="en-US"/>
              </w:rPr>
            </w:pPr>
          </w:p>
        </w:tc>
        <w:tc>
          <w:tcPr>
            <w:tcW w:w="3744" w:type="dxa"/>
            <w:gridSpan w:val="3"/>
            <w:tcBorders>
              <w:bottom w:val="single" w:sz="4" w:space="0" w:color="auto"/>
              <w:right w:val="nil"/>
            </w:tcBorders>
            <w:shd w:val="clear" w:color="auto" w:fill="auto"/>
          </w:tcPr>
          <w:p w:rsidR="00F07751" w:rsidRPr="00F120F2" w:rsidRDefault="00F07751"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F07751" w:rsidRPr="00F120F2" w:rsidRDefault="00F07751"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531473">
        <w:tc>
          <w:tcPr>
            <w:tcW w:w="5387" w:type="dxa"/>
            <w:tcBorders>
              <w:left w:val="nil"/>
              <w:bottom w:val="single" w:sz="4" w:space="0" w:color="auto"/>
            </w:tcBorders>
            <w:shd w:val="clear" w:color="auto" w:fill="auto"/>
          </w:tcPr>
          <w:p w:rsidR="00F07751" w:rsidRPr="00F120F2" w:rsidRDefault="00F07751"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1084" w:type="dxa"/>
            <w:tcBorders>
              <w:bottom w:val="single" w:sz="4" w:space="0" w:color="auto"/>
            </w:tcBorders>
            <w:shd w:val="clear" w:color="auto" w:fill="auto"/>
          </w:tcPr>
          <w:p w:rsidR="00F07751" w:rsidRPr="00F120F2" w:rsidRDefault="00F07751"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415" w:type="dxa"/>
            <w:tcBorders>
              <w:bottom w:val="single" w:sz="4" w:space="0" w:color="auto"/>
            </w:tcBorders>
            <w:shd w:val="clear" w:color="auto" w:fill="auto"/>
          </w:tcPr>
          <w:p w:rsidR="00F07751" w:rsidRPr="00F120F2" w:rsidRDefault="00F07751"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45" w:type="dxa"/>
            <w:tcBorders>
              <w:bottom w:val="single" w:sz="4" w:space="0" w:color="auto"/>
              <w:right w:val="nil"/>
            </w:tcBorders>
            <w:shd w:val="clear" w:color="auto" w:fill="auto"/>
          </w:tcPr>
          <w:p w:rsidR="00F07751" w:rsidRPr="00F120F2" w:rsidRDefault="00F07751"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531473">
        <w:tc>
          <w:tcPr>
            <w:tcW w:w="5387" w:type="dxa"/>
            <w:tcBorders>
              <w:top w:val="nil"/>
              <w:left w:val="nil"/>
              <w:bottom w:val="nil"/>
            </w:tcBorders>
            <w:shd w:val="clear" w:color="auto" w:fill="auto"/>
          </w:tcPr>
          <w:p w:rsidR="00F07751" w:rsidRPr="00F120F2" w:rsidRDefault="00DC1EF4"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TNFi</w:t>
            </w:r>
            <w:proofErr w:type="spellEnd"/>
            <w:r w:rsidRPr="00F120F2">
              <w:rPr>
                <w:rFonts w:cs="Calibri"/>
                <w:sz w:val="24"/>
                <w:szCs w:val="24"/>
                <w:lang w:val="en-US"/>
              </w:rPr>
              <w:t xml:space="preserve"> use </w:t>
            </w:r>
            <w:r w:rsidR="00531473" w:rsidRPr="00F120F2">
              <w:rPr>
                <w:rFonts w:cs="Calibri"/>
                <w:sz w:val="24"/>
                <w:szCs w:val="24"/>
                <w:lang w:val="en-US"/>
              </w:rPr>
              <w:t>prior to each</w:t>
            </w:r>
            <w:r w:rsidRPr="00F120F2">
              <w:rPr>
                <w:rFonts w:cs="Calibri"/>
                <w:sz w:val="24"/>
                <w:szCs w:val="24"/>
                <w:lang w:val="en-US"/>
              </w:rPr>
              <w:t xml:space="preserve"> radiographic</w:t>
            </w:r>
            <w:r w:rsidR="00F07751" w:rsidRPr="00F120F2">
              <w:rPr>
                <w:rFonts w:cs="Calibri"/>
                <w:sz w:val="24"/>
                <w:szCs w:val="24"/>
                <w:lang w:val="en-US"/>
              </w:rPr>
              <w:t xml:space="preserve"> interval yes/no</w:t>
            </w:r>
          </w:p>
        </w:tc>
        <w:tc>
          <w:tcPr>
            <w:tcW w:w="1084"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0.58</w:t>
            </w:r>
          </w:p>
        </w:tc>
        <w:tc>
          <w:tcPr>
            <w:tcW w:w="1415"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0.31-1.08</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0.09</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00E01D1E" w:rsidRPr="00F120F2">
              <w:rPr>
                <w:rFonts w:cs="Calibri"/>
                <w:sz w:val="24"/>
                <w:szCs w:val="24"/>
                <w:lang w:val="en-US"/>
              </w:rPr>
              <w:t xml:space="preserve"> at start of each radiographic interval</w:t>
            </w:r>
          </w:p>
        </w:tc>
        <w:tc>
          <w:tcPr>
            <w:tcW w:w="1084" w:type="dxa"/>
            <w:tcBorders>
              <w:top w:val="nil"/>
              <w:bottom w:val="nil"/>
            </w:tcBorders>
            <w:shd w:val="clear" w:color="auto" w:fill="auto"/>
          </w:tcPr>
          <w:p w:rsidR="00F07751" w:rsidRPr="00F120F2" w:rsidRDefault="00F0775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1.06</w:t>
            </w:r>
          </w:p>
        </w:tc>
        <w:tc>
          <w:tcPr>
            <w:tcW w:w="1415" w:type="dxa"/>
            <w:tcBorders>
              <w:top w:val="nil"/>
              <w:bottom w:val="nil"/>
            </w:tcBorders>
            <w:shd w:val="clear" w:color="auto" w:fill="auto"/>
          </w:tcPr>
          <w:p w:rsidR="00F07751" w:rsidRPr="00F120F2" w:rsidRDefault="00F0775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1.03-1.08</w:t>
            </w:r>
          </w:p>
        </w:tc>
        <w:tc>
          <w:tcPr>
            <w:tcW w:w="1245" w:type="dxa"/>
            <w:tcBorders>
              <w:top w:val="nil"/>
              <w:bottom w:val="nil"/>
              <w:right w:val="nil"/>
            </w:tcBorders>
            <w:shd w:val="clear" w:color="auto" w:fill="auto"/>
          </w:tcPr>
          <w:p w:rsidR="00F07751" w:rsidRPr="00F120F2" w:rsidRDefault="00F0775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1084"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2.23</w:t>
            </w:r>
          </w:p>
        </w:tc>
        <w:tc>
          <w:tcPr>
            <w:tcW w:w="1415"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1.05-4.73</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0.04</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1084" w:type="dxa"/>
            <w:tcBorders>
              <w:top w:val="nil"/>
              <w:bottom w:val="nil"/>
            </w:tcBorders>
            <w:shd w:val="clear" w:color="auto" w:fill="auto"/>
          </w:tcPr>
          <w:p w:rsidR="00F07751" w:rsidRPr="00F120F2" w:rsidRDefault="00F0775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1.12</w:t>
            </w:r>
          </w:p>
        </w:tc>
        <w:tc>
          <w:tcPr>
            <w:tcW w:w="1415"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0.95-1.33</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0.18</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1084"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1.05</w:t>
            </w:r>
          </w:p>
        </w:tc>
        <w:tc>
          <w:tcPr>
            <w:tcW w:w="1415"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0.54-2.03</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0.88</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1084" w:type="dxa"/>
            <w:tcBorders>
              <w:top w:val="nil"/>
              <w:bottom w:val="nil"/>
            </w:tcBorders>
            <w:shd w:val="clear" w:color="auto" w:fill="auto"/>
          </w:tcPr>
          <w:p w:rsidR="00F07751" w:rsidRPr="00F120F2" w:rsidRDefault="00F0775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0.80</w:t>
            </w:r>
          </w:p>
        </w:tc>
        <w:tc>
          <w:tcPr>
            <w:tcW w:w="1415"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0.32-1.98</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0.63</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1084"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0.91</w:t>
            </w:r>
          </w:p>
        </w:tc>
        <w:tc>
          <w:tcPr>
            <w:tcW w:w="1415" w:type="dxa"/>
            <w:tcBorders>
              <w:top w:val="nil"/>
              <w:bottom w:val="nil"/>
            </w:tcBorders>
            <w:shd w:val="clear" w:color="auto" w:fill="auto"/>
          </w:tcPr>
          <w:p w:rsidR="00F07751" w:rsidRPr="00F120F2" w:rsidRDefault="00F0775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0.77-1.08</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0.28</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1084"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0.73</w:t>
            </w:r>
          </w:p>
        </w:tc>
        <w:tc>
          <w:tcPr>
            <w:tcW w:w="1415"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0.36-1.45</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0.36</w:t>
            </w:r>
          </w:p>
        </w:tc>
      </w:tr>
      <w:tr w:rsidR="00F120F2" w:rsidRPr="00F120F2" w:rsidTr="00531473">
        <w:tc>
          <w:tcPr>
            <w:tcW w:w="5387" w:type="dxa"/>
            <w:tcBorders>
              <w:top w:val="nil"/>
              <w:left w:val="nil"/>
              <w:bottom w:val="nil"/>
            </w:tcBorders>
            <w:shd w:val="clear" w:color="auto" w:fill="auto"/>
          </w:tcPr>
          <w:p w:rsidR="00F07751" w:rsidRPr="00F120F2" w:rsidRDefault="00F07751"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 xml:space="preserve">NSAID use at </w:t>
            </w:r>
            <w:r w:rsidR="00E01D1E" w:rsidRPr="00F120F2">
              <w:rPr>
                <w:rFonts w:cs="Calibri"/>
                <w:sz w:val="24"/>
                <w:szCs w:val="24"/>
                <w:lang w:val="en-US"/>
              </w:rPr>
              <w:t>start of each radiographic interval</w:t>
            </w:r>
          </w:p>
        </w:tc>
        <w:tc>
          <w:tcPr>
            <w:tcW w:w="1084" w:type="dxa"/>
            <w:tcBorders>
              <w:top w:val="nil"/>
              <w:bottom w:val="nil"/>
            </w:tcBorders>
            <w:shd w:val="clear" w:color="auto" w:fill="auto"/>
          </w:tcPr>
          <w:p w:rsidR="00F07751" w:rsidRPr="00F120F2" w:rsidRDefault="00F0775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w:t>
            </w:r>
            <w:r w:rsidR="00E01D1E" w:rsidRPr="00F120F2">
              <w:rPr>
                <w:rFonts w:cs="Calibri"/>
                <w:sz w:val="24"/>
                <w:szCs w:val="24"/>
                <w:lang w:val="en-US"/>
              </w:rPr>
              <w:t>.92</w:t>
            </w:r>
          </w:p>
        </w:tc>
        <w:tc>
          <w:tcPr>
            <w:tcW w:w="1415" w:type="dxa"/>
            <w:tcBorders>
              <w:top w:val="nil"/>
              <w:bottom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0.41-2.07</w:t>
            </w:r>
          </w:p>
        </w:tc>
        <w:tc>
          <w:tcPr>
            <w:tcW w:w="1245" w:type="dxa"/>
            <w:tcBorders>
              <w:top w:val="nil"/>
              <w:bottom w:val="nil"/>
              <w:right w:val="nil"/>
            </w:tcBorders>
            <w:shd w:val="clear" w:color="auto" w:fill="auto"/>
          </w:tcPr>
          <w:p w:rsidR="00F07751"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0.84</w:t>
            </w:r>
          </w:p>
        </w:tc>
      </w:tr>
      <w:tr w:rsidR="00F120F2" w:rsidRPr="00F120F2" w:rsidTr="00531473">
        <w:tc>
          <w:tcPr>
            <w:tcW w:w="5387" w:type="dxa"/>
            <w:tcBorders>
              <w:top w:val="nil"/>
              <w:left w:val="nil"/>
              <w:bottom w:val="nil"/>
            </w:tcBorders>
            <w:shd w:val="clear" w:color="auto" w:fill="auto"/>
          </w:tcPr>
          <w:p w:rsidR="00E01D1E" w:rsidRPr="00F120F2" w:rsidRDefault="00E01D1E"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1084" w:type="dxa"/>
            <w:tcBorders>
              <w:top w:val="nil"/>
              <w:bottom w:val="nil"/>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0.98</w:t>
            </w:r>
          </w:p>
        </w:tc>
        <w:tc>
          <w:tcPr>
            <w:tcW w:w="1415" w:type="dxa"/>
            <w:tcBorders>
              <w:top w:val="nil"/>
              <w:bottom w:val="nil"/>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0.51-1.87</w:t>
            </w:r>
          </w:p>
        </w:tc>
        <w:tc>
          <w:tcPr>
            <w:tcW w:w="1245" w:type="dxa"/>
            <w:tcBorders>
              <w:top w:val="nil"/>
              <w:bottom w:val="nil"/>
              <w:right w:val="nil"/>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r>
      <w:tr w:rsidR="00F120F2" w:rsidRPr="00F120F2" w:rsidTr="00531473">
        <w:tc>
          <w:tcPr>
            <w:tcW w:w="5387" w:type="dxa"/>
            <w:tcBorders>
              <w:top w:val="nil"/>
              <w:left w:val="nil"/>
              <w:bottom w:val="nil"/>
            </w:tcBorders>
            <w:shd w:val="clear" w:color="auto" w:fill="auto"/>
          </w:tcPr>
          <w:p w:rsidR="00E01D1E" w:rsidRPr="00F120F2" w:rsidRDefault="00E01D1E"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1084" w:type="dxa"/>
            <w:tcBorders>
              <w:top w:val="nil"/>
              <w:bottom w:val="nil"/>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1.34</w:t>
            </w:r>
          </w:p>
        </w:tc>
        <w:tc>
          <w:tcPr>
            <w:tcW w:w="1415" w:type="dxa"/>
            <w:tcBorders>
              <w:top w:val="nil"/>
              <w:bottom w:val="nil"/>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0.60-2.99</w:t>
            </w:r>
          </w:p>
        </w:tc>
        <w:tc>
          <w:tcPr>
            <w:tcW w:w="1245" w:type="dxa"/>
            <w:tcBorders>
              <w:top w:val="nil"/>
              <w:bottom w:val="nil"/>
              <w:right w:val="nil"/>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0.48</w:t>
            </w:r>
          </w:p>
        </w:tc>
      </w:tr>
      <w:tr w:rsidR="00F120F2" w:rsidRPr="00F120F2" w:rsidTr="00531473">
        <w:tc>
          <w:tcPr>
            <w:tcW w:w="5387" w:type="dxa"/>
            <w:tcBorders>
              <w:top w:val="nil"/>
              <w:left w:val="nil"/>
              <w:bottom w:val="single" w:sz="4" w:space="0" w:color="auto"/>
            </w:tcBorders>
            <w:shd w:val="clear" w:color="auto" w:fill="auto"/>
          </w:tcPr>
          <w:p w:rsidR="00E01D1E" w:rsidRPr="00F120F2" w:rsidRDefault="00E01D1E"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1084" w:type="dxa"/>
            <w:tcBorders>
              <w:top w:val="nil"/>
              <w:bottom w:val="single" w:sz="4" w:space="0" w:color="auto"/>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4.24</w:t>
            </w:r>
          </w:p>
        </w:tc>
        <w:tc>
          <w:tcPr>
            <w:tcW w:w="1415" w:type="dxa"/>
            <w:tcBorders>
              <w:top w:val="nil"/>
              <w:bottom w:val="single" w:sz="4" w:space="0" w:color="auto"/>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0.94-19.1</w:t>
            </w:r>
          </w:p>
        </w:tc>
        <w:tc>
          <w:tcPr>
            <w:tcW w:w="1245" w:type="dxa"/>
            <w:tcBorders>
              <w:top w:val="nil"/>
              <w:bottom w:val="single" w:sz="4" w:space="0" w:color="auto"/>
              <w:right w:val="nil"/>
            </w:tcBorders>
            <w:shd w:val="clear" w:color="auto" w:fill="auto"/>
          </w:tcPr>
          <w:p w:rsidR="00E01D1E"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0.06</w:t>
            </w:r>
          </w:p>
        </w:tc>
      </w:tr>
    </w:tbl>
    <w:p w:rsidR="00F07751" w:rsidRPr="00F120F2" w:rsidRDefault="00DC1EF4" w:rsidP="00C821FD">
      <w:pPr>
        <w:spacing w:before="120" w:after="120"/>
        <w:jc w:val="both"/>
        <w:rPr>
          <w:sz w:val="24"/>
          <w:szCs w:val="24"/>
          <w:lang w:val="en-US"/>
        </w:rPr>
      </w:pPr>
      <w:r w:rsidRPr="00F120F2">
        <w:rPr>
          <w:rFonts w:cs="Calibri"/>
          <w:sz w:val="24"/>
          <w:szCs w:val="24"/>
          <w:lang w:val="en-US"/>
        </w:rPr>
        <w:t>Analysis performed in 462 radiographic</w:t>
      </w:r>
      <w:r w:rsidR="00F07751" w:rsidRPr="00F120F2">
        <w:rPr>
          <w:rFonts w:cs="Calibri"/>
          <w:sz w:val="24"/>
          <w:szCs w:val="24"/>
          <w:lang w:val="en-US"/>
        </w:rPr>
        <w:t xml:space="preserve"> intervals from 337 patients after multiple imputation of missing covariate data</w:t>
      </w:r>
      <w:r w:rsidR="00F07751" w:rsidRPr="00F120F2">
        <w:rPr>
          <w:rFonts w:cs="Calibri"/>
          <w:b/>
          <w:sz w:val="24"/>
          <w:szCs w:val="24"/>
          <w:lang w:val="en-US"/>
        </w:rPr>
        <w:t xml:space="preserve">. </w:t>
      </w:r>
      <w:r w:rsidR="005547E6" w:rsidRPr="00F120F2">
        <w:rPr>
          <w:rFonts w:cs="Calibri"/>
          <w:sz w:val="24"/>
          <w:szCs w:val="24"/>
          <w:lang w:val="en-US"/>
        </w:rPr>
        <w:t>BMI = Body Mass Index;</w:t>
      </w:r>
      <w:r w:rsidR="005547E6" w:rsidRPr="00F120F2">
        <w:rPr>
          <w:rFonts w:cs="Calibri"/>
          <w:b/>
          <w:sz w:val="24"/>
          <w:szCs w:val="24"/>
          <w:lang w:val="en-US"/>
        </w:rPr>
        <w:t xml:space="preserve"> </w:t>
      </w:r>
      <w:r w:rsidR="00F07751" w:rsidRPr="00F120F2">
        <w:rPr>
          <w:rFonts w:cs="Calibri"/>
          <w:sz w:val="24"/>
          <w:szCs w:val="24"/>
          <w:lang w:val="en-US"/>
        </w:rPr>
        <w:t xml:space="preserve">CI = confidence interval; </w:t>
      </w:r>
      <w:r w:rsidR="00F07751" w:rsidRPr="00F120F2">
        <w:rPr>
          <w:sz w:val="24"/>
          <w:szCs w:val="24"/>
          <w:lang w:val="en-US"/>
        </w:rPr>
        <w:t xml:space="preserve">HLA-B27 = human leucocyte antigen B27; </w:t>
      </w:r>
      <w:proofErr w:type="spellStart"/>
      <w:r w:rsidR="00F07751" w:rsidRPr="00F120F2">
        <w:rPr>
          <w:sz w:val="24"/>
          <w:szCs w:val="24"/>
          <w:lang w:val="en-US"/>
        </w:rPr>
        <w:t>mSASSS</w:t>
      </w:r>
      <w:proofErr w:type="spellEnd"/>
      <w:r w:rsidR="00F07751" w:rsidRPr="00F120F2">
        <w:rPr>
          <w:sz w:val="24"/>
          <w:szCs w:val="24"/>
          <w:lang w:val="en-US"/>
        </w:rPr>
        <w:t xml:space="preserve"> = modified Stoke Ankylosing </w:t>
      </w:r>
      <w:r w:rsidR="00624CFB" w:rsidRPr="00F120F2">
        <w:rPr>
          <w:sz w:val="24"/>
          <w:szCs w:val="24"/>
          <w:lang w:val="en-US"/>
        </w:rPr>
        <w:t xml:space="preserve">Spondylitis Spine Score; NSAID </w:t>
      </w:r>
      <w:r w:rsidR="00F07751" w:rsidRPr="00F120F2">
        <w:rPr>
          <w:sz w:val="24"/>
          <w:szCs w:val="24"/>
          <w:lang w:val="en-US"/>
        </w:rPr>
        <w:t>= Nons</w:t>
      </w:r>
      <w:r w:rsidR="00624CFB" w:rsidRPr="00F120F2">
        <w:rPr>
          <w:sz w:val="24"/>
          <w:szCs w:val="24"/>
          <w:lang w:val="en-US"/>
        </w:rPr>
        <w:t>teroidal anti-inflammatory drug</w:t>
      </w:r>
      <w:r w:rsidR="00F07751" w:rsidRPr="00F120F2">
        <w:rPr>
          <w:sz w:val="24"/>
          <w:szCs w:val="24"/>
          <w:lang w:val="en-US"/>
        </w:rPr>
        <w:t xml:space="preserve">; OR = odds ratio; </w:t>
      </w:r>
      <w:proofErr w:type="spellStart"/>
      <w:r w:rsidR="00F07751" w:rsidRPr="00F120F2">
        <w:rPr>
          <w:sz w:val="24"/>
          <w:szCs w:val="24"/>
          <w:lang w:val="en-US"/>
        </w:rPr>
        <w:t>TNFi</w:t>
      </w:r>
      <w:proofErr w:type="spellEnd"/>
      <w:r w:rsidR="00F07751" w:rsidRPr="00F120F2">
        <w:rPr>
          <w:sz w:val="24"/>
          <w:szCs w:val="24"/>
          <w:lang w:val="en-US"/>
        </w:rPr>
        <w:t xml:space="preserve"> = </w:t>
      </w:r>
      <w:proofErr w:type="spellStart"/>
      <w:r w:rsidR="00F07751" w:rsidRPr="00F120F2">
        <w:rPr>
          <w:sz w:val="24"/>
          <w:szCs w:val="24"/>
          <w:lang w:val="en-US"/>
        </w:rPr>
        <w:t>Tumour</w:t>
      </w:r>
      <w:proofErr w:type="spellEnd"/>
      <w:r w:rsidR="00F07751" w:rsidRPr="00F120F2">
        <w:rPr>
          <w:sz w:val="24"/>
          <w:szCs w:val="24"/>
          <w:lang w:val="en-US"/>
        </w:rPr>
        <w:t xml:space="preserve"> necrosis factor inhibitor.</w:t>
      </w:r>
    </w:p>
    <w:p w:rsidR="00E51254" w:rsidRPr="00F120F2" w:rsidRDefault="00E51254" w:rsidP="00C821FD">
      <w:pPr>
        <w:spacing w:after="0" w:line="240" w:lineRule="auto"/>
        <w:rPr>
          <w:sz w:val="24"/>
          <w:szCs w:val="24"/>
          <w:lang w:val="en-US"/>
        </w:rPr>
        <w:sectPr w:rsidR="00E51254" w:rsidRPr="00F120F2" w:rsidSect="00281DF4">
          <w:footerReference w:type="default" r:id="rId7"/>
          <w:pgSz w:w="11906" w:h="16838"/>
          <w:pgMar w:top="1417" w:right="1417" w:bottom="1134" w:left="1417" w:header="708" w:footer="708" w:gutter="0"/>
          <w:pgNumType w:start="1"/>
          <w:cols w:space="708"/>
          <w:docGrid w:linePitch="360"/>
        </w:sectPr>
      </w:pPr>
    </w:p>
    <w:p w:rsidR="00C821FD" w:rsidRDefault="00F07751"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lastRenderedPageBreak/>
        <w:t>Table S2</w:t>
      </w:r>
      <w:r w:rsidR="009949DD" w:rsidRPr="00F120F2">
        <w:rPr>
          <w:rFonts w:cs="Calibri"/>
          <w:b/>
          <w:sz w:val="24"/>
          <w:szCs w:val="24"/>
          <w:lang w:val="en-US"/>
        </w:rPr>
        <w:t xml:space="preserve">. </w:t>
      </w:r>
      <w:r w:rsidR="009949DD" w:rsidRPr="00F120F2">
        <w:rPr>
          <w:rFonts w:cs="Calibri"/>
          <w:sz w:val="24"/>
          <w:szCs w:val="24"/>
          <w:lang w:val="en-US"/>
        </w:rPr>
        <w:t xml:space="preserve">Multivariable analysis for the identification of factors associated with </w:t>
      </w:r>
      <w:r w:rsidR="004F265B" w:rsidRPr="00F120F2">
        <w:rPr>
          <w:rFonts w:cs="Calibri"/>
          <w:sz w:val="24"/>
          <w:szCs w:val="24"/>
          <w:lang w:val="en-US"/>
        </w:rPr>
        <w:t xml:space="preserve">spinal </w:t>
      </w:r>
      <w:r w:rsidR="009949DD" w:rsidRPr="00F120F2">
        <w:rPr>
          <w:rFonts w:cs="Calibri"/>
          <w:sz w:val="24"/>
          <w:szCs w:val="24"/>
          <w:lang w:val="en-US"/>
        </w:rPr>
        <w:t xml:space="preserve">radiographic progression </w:t>
      </w:r>
    </w:p>
    <w:p w:rsidR="009949DD" w:rsidRPr="00F120F2" w:rsidRDefault="009949DD" w:rsidP="00C821FD">
      <w:pPr>
        <w:tabs>
          <w:tab w:val="left" w:pos="3828"/>
          <w:tab w:val="left" w:pos="4395"/>
        </w:tabs>
        <w:spacing w:after="0" w:line="240" w:lineRule="auto"/>
        <w:rPr>
          <w:rFonts w:cs="Calibri"/>
          <w:b/>
          <w:sz w:val="24"/>
          <w:szCs w:val="24"/>
          <w:lang w:val="en-US"/>
        </w:rPr>
      </w:pPr>
      <w:r w:rsidRPr="00F120F2">
        <w:rPr>
          <w:rFonts w:cs="Calibri"/>
          <w:sz w:val="24"/>
          <w:szCs w:val="24"/>
          <w:lang w:val="en-US"/>
        </w:rPr>
        <w:t>(</w:t>
      </w:r>
      <w:proofErr w:type="gramStart"/>
      <w:r w:rsidRPr="00F120F2">
        <w:rPr>
          <w:rFonts w:cs="Calibri"/>
          <w:sz w:val="24"/>
          <w:szCs w:val="24"/>
          <w:lang w:val="en-US"/>
        </w:rPr>
        <w:t>complete</w:t>
      </w:r>
      <w:proofErr w:type="gramEnd"/>
      <w:r w:rsidRPr="00F120F2">
        <w:rPr>
          <w:rFonts w:cs="Calibri"/>
          <w:sz w:val="24"/>
          <w:szCs w:val="24"/>
          <w:lang w:val="en-US"/>
        </w:rPr>
        <w:t xml:space="preserve"> case analysis*)</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1701"/>
        <w:gridCol w:w="1276"/>
        <w:gridCol w:w="958"/>
        <w:gridCol w:w="1985"/>
        <w:gridCol w:w="1135"/>
      </w:tblGrid>
      <w:tr w:rsidR="00F120F2" w:rsidRPr="007049E3" w:rsidTr="00531473">
        <w:tc>
          <w:tcPr>
            <w:tcW w:w="5529" w:type="dxa"/>
            <w:tcBorders>
              <w:left w:val="nil"/>
              <w:bottom w:val="single" w:sz="4" w:space="0" w:color="auto"/>
              <w:right w:val="nil"/>
            </w:tcBorders>
            <w:shd w:val="clear" w:color="auto" w:fill="auto"/>
          </w:tcPr>
          <w:p w:rsidR="009949DD" w:rsidRPr="00F120F2" w:rsidRDefault="009949DD"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tcBorders>
            <w:shd w:val="clear" w:color="auto" w:fill="auto"/>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c>
          <w:tcPr>
            <w:tcW w:w="4078" w:type="dxa"/>
            <w:gridSpan w:val="3"/>
            <w:tcBorders>
              <w:bottom w:val="single" w:sz="4" w:space="0" w:color="auto"/>
              <w:right w:val="nil"/>
            </w:tcBorders>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≥1 new </w:t>
            </w:r>
            <w:proofErr w:type="spellStart"/>
            <w:r w:rsidRPr="00F120F2">
              <w:rPr>
                <w:rFonts w:cs="Calibri"/>
                <w:b/>
                <w:sz w:val="24"/>
                <w:szCs w:val="24"/>
                <w:lang w:val="en-US"/>
              </w:rPr>
              <w:t>syndesmophytes</w:t>
            </w:r>
            <w:proofErr w:type="spellEnd"/>
            <w:r w:rsidRPr="00F120F2">
              <w:rPr>
                <w:rFonts w:cs="Calibri"/>
                <w:b/>
                <w:sz w:val="24"/>
                <w:szCs w:val="24"/>
                <w:lang w:val="en-US"/>
              </w:rPr>
              <w:t xml:space="preserve"> in 2 years</w:t>
            </w:r>
          </w:p>
        </w:tc>
      </w:tr>
      <w:tr w:rsidR="00F120F2" w:rsidRPr="00F120F2" w:rsidTr="00531473">
        <w:tc>
          <w:tcPr>
            <w:tcW w:w="5529" w:type="dxa"/>
            <w:tcBorders>
              <w:left w:val="nil"/>
              <w:bottom w:val="single" w:sz="4" w:space="0" w:color="auto"/>
              <w:right w:val="nil"/>
            </w:tcBorders>
            <w:shd w:val="clear" w:color="auto" w:fill="auto"/>
          </w:tcPr>
          <w:p w:rsidR="009949DD" w:rsidRPr="00F120F2" w:rsidRDefault="009949DD"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c>
          <w:tcPr>
            <w:tcW w:w="958" w:type="dxa"/>
            <w:tcBorders>
              <w:bottom w:val="single" w:sz="4" w:space="0" w:color="auto"/>
              <w:right w:val="nil"/>
            </w:tcBorders>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985" w:type="dxa"/>
            <w:tcBorders>
              <w:left w:val="nil"/>
              <w:bottom w:val="single" w:sz="4" w:space="0" w:color="auto"/>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135" w:type="dxa"/>
            <w:tcBorders>
              <w:left w:val="nil"/>
              <w:bottom w:val="single" w:sz="4" w:space="0" w:color="auto"/>
              <w:right w:val="nil"/>
            </w:tcBorders>
          </w:tcPr>
          <w:p w:rsidR="009949DD" w:rsidRPr="00F120F2" w:rsidRDefault="009949DD"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531473">
        <w:tc>
          <w:tcPr>
            <w:tcW w:w="5529" w:type="dxa"/>
            <w:tcBorders>
              <w:top w:val="nil"/>
              <w:left w:val="nil"/>
              <w:bottom w:val="nil"/>
              <w:right w:val="nil"/>
            </w:tcBorders>
            <w:shd w:val="clear" w:color="auto" w:fill="auto"/>
          </w:tcPr>
          <w:p w:rsidR="009949DD" w:rsidRPr="00F120F2" w:rsidRDefault="00DC1EF4"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TNFi</w:t>
            </w:r>
            <w:proofErr w:type="spellEnd"/>
            <w:r w:rsidRPr="00F120F2">
              <w:rPr>
                <w:rFonts w:cs="Calibri"/>
                <w:sz w:val="24"/>
                <w:szCs w:val="24"/>
                <w:lang w:val="en-US"/>
              </w:rPr>
              <w:t xml:space="preserve"> use </w:t>
            </w:r>
            <w:r w:rsidR="00531473" w:rsidRPr="00F120F2">
              <w:rPr>
                <w:rFonts w:cs="Calibri"/>
                <w:sz w:val="24"/>
                <w:szCs w:val="24"/>
                <w:lang w:val="en-US"/>
              </w:rPr>
              <w:t>prior to each</w:t>
            </w:r>
            <w:r w:rsidRPr="00F120F2">
              <w:rPr>
                <w:rFonts w:cs="Calibri"/>
                <w:sz w:val="24"/>
                <w:szCs w:val="24"/>
                <w:lang w:val="en-US"/>
              </w:rPr>
              <w:t xml:space="preserve"> radiographic</w:t>
            </w:r>
            <w:r w:rsidR="009949DD" w:rsidRPr="00F120F2">
              <w:rPr>
                <w:rFonts w:cs="Calibri"/>
                <w:sz w:val="24"/>
                <w:szCs w:val="24"/>
                <w:lang w:val="en-US"/>
              </w:rPr>
              <w:t xml:space="preserve"> interval yes/no</w:t>
            </w:r>
          </w:p>
        </w:tc>
        <w:tc>
          <w:tcPr>
            <w:tcW w:w="992" w:type="dxa"/>
            <w:tcBorders>
              <w:top w:val="nil"/>
              <w:left w:val="nil"/>
              <w:bottom w:val="nil"/>
              <w:right w:val="nil"/>
            </w:tcBorders>
            <w:shd w:val="clear" w:color="auto" w:fill="auto"/>
          </w:tcPr>
          <w:p w:rsidR="009949DD"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0.50</w:t>
            </w:r>
          </w:p>
        </w:tc>
        <w:tc>
          <w:tcPr>
            <w:tcW w:w="1701" w:type="dxa"/>
            <w:tcBorders>
              <w:top w:val="nil"/>
              <w:left w:val="nil"/>
              <w:bottom w:val="nil"/>
              <w:right w:val="nil"/>
            </w:tcBorders>
            <w:shd w:val="clear" w:color="auto" w:fill="auto"/>
          </w:tcPr>
          <w:p w:rsidR="009949DD"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0.25-0.99</w:t>
            </w:r>
          </w:p>
        </w:tc>
        <w:tc>
          <w:tcPr>
            <w:tcW w:w="1276" w:type="dxa"/>
            <w:tcBorders>
              <w:top w:val="nil"/>
              <w:left w:val="nil"/>
              <w:bottom w:val="nil"/>
              <w:right w:val="nil"/>
            </w:tcBorders>
            <w:shd w:val="clear" w:color="auto" w:fill="auto"/>
          </w:tcPr>
          <w:p w:rsidR="009949DD" w:rsidRPr="00F120F2" w:rsidRDefault="00E01D1E"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0.05</w:t>
            </w:r>
          </w:p>
        </w:tc>
        <w:tc>
          <w:tcPr>
            <w:tcW w:w="958" w:type="dxa"/>
            <w:tcBorders>
              <w:top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0.47</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0.24-0.92</w:t>
            </w:r>
          </w:p>
        </w:tc>
        <w:tc>
          <w:tcPr>
            <w:tcW w:w="1135" w:type="dxa"/>
            <w:tcBorders>
              <w:top w:val="nil"/>
              <w:left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0.03</w:t>
            </w: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00E01D1E"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1.05</w:t>
            </w:r>
          </w:p>
        </w:tc>
        <w:tc>
          <w:tcPr>
            <w:tcW w:w="1701"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1.03</w:t>
            </w:r>
            <w:r w:rsidR="009949DD" w:rsidRPr="00F120F2">
              <w:rPr>
                <w:rFonts w:cs="Calibri"/>
                <w:sz w:val="24"/>
                <w:szCs w:val="24"/>
                <w:lang w:val="en-US"/>
              </w:rPr>
              <w:t>-1.07</w:t>
            </w:r>
          </w:p>
        </w:tc>
        <w:tc>
          <w:tcPr>
            <w:tcW w:w="1276"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c>
          <w:tcPr>
            <w:tcW w:w="958" w:type="dxa"/>
            <w:tcBorders>
              <w:top w:val="nil"/>
              <w:bottom w:val="nil"/>
              <w:right w:val="nil"/>
            </w:tcBorders>
          </w:tcPr>
          <w:p w:rsidR="009949DD" w:rsidRPr="00F120F2" w:rsidRDefault="009949DD" w:rsidP="00C821FD">
            <w:pPr>
              <w:tabs>
                <w:tab w:val="left" w:pos="3828"/>
                <w:tab w:val="left" w:pos="4395"/>
              </w:tabs>
              <w:spacing w:after="0" w:line="240" w:lineRule="auto"/>
              <w:jc w:val="center"/>
              <w:rPr>
                <w:rFonts w:cs="Calibri"/>
                <w:sz w:val="24"/>
                <w:szCs w:val="24"/>
                <w:lang w:val="en-US"/>
              </w:rPr>
            </w:pPr>
          </w:p>
        </w:tc>
        <w:tc>
          <w:tcPr>
            <w:tcW w:w="1985"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p>
        </w:tc>
        <w:tc>
          <w:tcPr>
            <w:tcW w:w="1135" w:type="dxa"/>
            <w:tcBorders>
              <w:top w:val="nil"/>
              <w:left w:val="nil"/>
              <w:bottom w:val="nil"/>
              <w:right w:val="nil"/>
            </w:tcBorders>
          </w:tcPr>
          <w:p w:rsidR="009949DD" w:rsidRPr="00F120F2" w:rsidRDefault="009949DD" w:rsidP="00C821FD">
            <w:pPr>
              <w:tabs>
                <w:tab w:val="left" w:pos="3828"/>
                <w:tab w:val="left" w:pos="4395"/>
              </w:tabs>
              <w:spacing w:after="0" w:line="240" w:lineRule="auto"/>
              <w:jc w:val="center"/>
              <w:rPr>
                <w:rFonts w:cs="Calibri"/>
                <w:sz w:val="24"/>
                <w:szCs w:val="24"/>
                <w:lang w:val="en-US"/>
              </w:rPr>
            </w:pP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 xml:space="preserve">Baseline presence of </w:t>
            </w:r>
            <w:proofErr w:type="spellStart"/>
            <w:r w:rsidRPr="00F120F2">
              <w:rPr>
                <w:rFonts w:cs="Calibri"/>
                <w:sz w:val="24"/>
                <w:szCs w:val="24"/>
                <w:lang w:val="en-US"/>
              </w:rPr>
              <w:t>syndesmophytes</w:t>
            </w:r>
            <w:proofErr w:type="spellEnd"/>
            <w:r w:rsidR="00C821FD">
              <w:rPr>
                <w:rFonts w:cs="Calibri"/>
                <w:sz w:val="24"/>
                <w:szCs w:val="24"/>
                <w:lang w:val="en-US"/>
              </w:rPr>
              <w:t xml:space="preserve"> at start of each</w:t>
            </w:r>
          </w:p>
          <w:p w:rsidR="00E01D1E" w:rsidRPr="00F120F2" w:rsidRDefault="00C821FD" w:rsidP="00C821FD">
            <w:pPr>
              <w:tabs>
                <w:tab w:val="left" w:pos="3828"/>
                <w:tab w:val="left" w:pos="4395"/>
              </w:tabs>
              <w:spacing w:after="0" w:line="240" w:lineRule="auto"/>
              <w:rPr>
                <w:rFonts w:cs="Calibri"/>
                <w:sz w:val="24"/>
                <w:szCs w:val="24"/>
                <w:lang w:val="en-US"/>
              </w:rPr>
            </w:pPr>
            <w:r>
              <w:rPr>
                <w:rFonts w:cs="Calibri"/>
                <w:sz w:val="24"/>
                <w:szCs w:val="24"/>
                <w:lang w:val="en-US"/>
              </w:rPr>
              <w:t xml:space="preserve">   </w:t>
            </w:r>
            <w:r w:rsidR="00E01D1E" w:rsidRPr="00F120F2">
              <w:rPr>
                <w:rFonts w:cs="Calibri"/>
                <w:sz w:val="24"/>
                <w:szCs w:val="24"/>
                <w:lang w:val="en-US"/>
              </w:rPr>
              <w:t xml:space="preserve"> radiographic interval</w:t>
            </w:r>
          </w:p>
        </w:tc>
        <w:tc>
          <w:tcPr>
            <w:tcW w:w="992"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p>
        </w:tc>
        <w:tc>
          <w:tcPr>
            <w:tcW w:w="1701"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p>
        </w:tc>
        <w:tc>
          <w:tcPr>
            <w:tcW w:w="1276"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p>
        </w:tc>
        <w:tc>
          <w:tcPr>
            <w:tcW w:w="958" w:type="dxa"/>
            <w:tcBorders>
              <w:top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8.79</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4.29-18.0</w:t>
            </w:r>
          </w:p>
        </w:tc>
        <w:tc>
          <w:tcPr>
            <w:tcW w:w="1135" w:type="dxa"/>
            <w:tcBorders>
              <w:top w:val="nil"/>
              <w:left w:val="nil"/>
              <w:bottom w:val="nil"/>
              <w:right w:val="nil"/>
            </w:tcBorders>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3.27</w:t>
            </w:r>
          </w:p>
        </w:tc>
        <w:tc>
          <w:tcPr>
            <w:tcW w:w="1701"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1.34-8.00</w:t>
            </w:r>
          </w:p>
        </w:tc>
        <w:tc>
          <w:tcPr>
            <w:tcW w:w="1276"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0.01</w:t>
            </w:r>
          </w:p>
        </w:tc>
        <w:tc>
          <w:tcPr>
            <w:tcW w:w="958" w:type="dxa"/>
            <w:tcBorders>
              <w:top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1.80</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0.79-4.13</w:t>
            </w:r>
          </w:p>
        </w:tc>
        <w:tc>
          <w:tcPr>
            <w:tcW w:w="1135" w:type="dxa"/>
            <w:tcBorders>
              <w:top w:val="nil"/>
              <w:left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0.17</w:t>
            </w: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1.14</w:t>
            </w:r>
          </w:p>
        </w:tc>
        <w:tc>
          <w:tcPr>
            <w:tcW w:w="1701"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0.97-1.35</w:t>
            </w:r>
          </w:p>
        </w:tc>
        <w:tc>
          <w:tcPr>
            <w:tcW w:w="1276"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0.12</w:t>
            </w:r>
          </w:p>
        </w:tc>
        <w:tc>
          <w:tcPr>
            <w:tcW w:w="958" w:type="dxa"/>
            <w:tcBorders>
              <w:top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0.90-1.21</w:t>
            </w:r>
          </w:p>
        </w:tc>
        <w:tc>
          <w:tcPr>
            <w:tcW w:w="1135" w:type="dxa"/>
            <w:tcBorders>
              <w:top w:val="nil"/>
              <w:left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0.59</w:t>
            </w: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w:t>
            </w:r>
            <w:r w:rsidR="00272533" w:rsidRPr="00F120F2">
              <w:rPr>
                <w:rFonts w:cs="Calibri"/>
                <w:sz w:val="24"/>
                <w:szCs w:val="24"/>
                <w:lang w:val="en-US"/>
              </w:rPr>
              <w:t>0-1.82</w:t>
            </w:r>
          </w:p>
        </w:tc>
        <w:tc>
          <w:tcPr>
            <w:tcW w:w="1276"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w:t>
            </w:r>
            <w:r w:rsidR="00272533" w:rsidRPr="00F120F2">
              <w:rPr>
                <w:rFonts w:cs="Calibri"/>
                <w:sz w:val="24"/>
                <w:szCs w:val="24"/>
                <w:lang w:val="en-US"/>
              </w:rPr>
              <w:t>.88</w:t>
            </w:r>
          </w:p>
        </w:tc>
        <w:tc>
          <w:tcPr>
            <w:tcW w:w="958" w:type="dxa"/>
            <w:tcBorders>
              <w:top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0.73</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0.38-1.40</w:t>
            </w:r>
          </w:p>
        </w:tc>
        <w:tc>
          <w:tcPr>
            <w:tcW w:w="1135" w:type="dxa"/>
            <w:tcBorders>
              <w:top w:val="nil"/>
              <w:left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0.34</w:t>
            </w: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0.76</w:t>
            </w:r>
          </w:p>
        </w:tc>
        <w:tc>
          <w:tcPr>
            <w:tcW w:w="1701"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0.31-1.83</w:t>
            </w:r>
          </w:p>
        </w:tc>
        <w:tc>
          <w:tcPr>
            <w:tcW w:w="1276"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0.53</w:t>
            </w:r>
          </w:p>
        </w:tc>
        <w:tc>
          <w:tcPr>
            <w:tcW w:w="958" w:type="dxa"/>
            <w:tcBorders>
              <w:top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0.93</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0.41-2.10</w:t>
            </w:r>
          </w:p>
        </w:tc>
        <w:tc>
          <w:tcPr>
            <w:tcW w:w="1135" w:type="dxa"/>
            <w:tcBorders>
              <w:top w:val="nil"/>
              <w:left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0.86</w:t>
            </w: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1.01</w:t>
            </w:r>
          </w:p>
        </w:tc>
        <w:tc>
          <w:tcPr>
            <w:tcW w:w="1701"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0.85-1.19</w:t>
            </w:r>
          </w:p>
        </w:tc>
        <w:tc>
          <w:tcPr>
            <w:tcW w:w="1276"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958" w:type="dxa"/>
            <w:tcBorders>
              <w:top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0.88</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0.72-1.08</w:t>
            </w:r>
          </w:p>
        </w:tc>
        <w:tc>
          <w:tcPr>
            <w:tcW w:w="1135" w:type="dxa"/>
            <w:tcBorders>
              <w:top w:val="nil"/>
              <w:left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0.21</w:t>
            </w:r>
          </w:p>
        </w:tc>
      </w:tr>
      <w:tr w:rsidR="00F120F2" w:rsidRPr="00F120F2" w:rsidTr="00531473">
        <w:tc>
          <w:tcPr>
            <w:tcW w:w="5529"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0.88</w:t>
            </w:r>
          </w:p>
        </w:tc>
        <w:tc>
          <w:tcPr>
            <w:tcW w:w="1701"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0.73</w:t>
            </w:r>
            <w:r w:rsidR="009949DD" w:rsidRPr="00F120F2">
              <w:rPr>
                <w:rFonts w:cs="Calibri"/>
                <w:sz w:val="24"/>
                <w:szCs w:val="24"/>
                <w:lang w:val="en-US"/>
              </w:rPr>
              <w:t>-1.81</w:t>
            </w:r>
          </w:p>
        </w:tc>
        <w:tc>
          <w:tcPr>
            <w:tcW w:w="1276"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0.70</w:t>
            </w:r>
          </w:p>
        </w:tc>
        <w:tc>
          <w:tcPr>
            <w:tcW w:w="958" w:type="dxa"/>
            <w:tcBorders>
              <w:top w:val="nil"/>
              <w:bottom w:val="nil"/>
              <w:right w:val="nil"/>
            </w:tcBorders>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0.59</w:t>
            </w:r>
          </w:p>
        </w:tc>
        <w:tc>
          <w:tcPr>
            <w:tcW w:w="1985"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0.29-1.23</w:t>
            </w:r>
          </w:p>
        </w:tc>
        <w:tc>
          <w:tcPr>
            <w:tcW w:w="1135" w:type="dxa"/>
            <w:tcBorders>
              <w:top w:val="nil"/>
              <w:left w:val="nil"/>
              <w:bottom w:val="nil"/>
              <w:right w:val="nil"/>
            </w:tcBorders>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0.16</w:t>
            </w:r>
          </w:p>
        </w:tc>
      </w:tr>
      <w:tr w:rsidR="00F120F2" w:rsidRPr="00F120F2" w:rsidTr="00531473">
        <w:tc>
          <w:tcPr>
            <w:tcW w:w="5529" w:type="dxa"/>
            <w:tcBorders>
              <w:top w:val="nil"/>
              <w:left w:val="nil"/>
              <w:bottom w:val="nil"/>
              <w:right w:val="nil"/>
            </w:tcBorders>
            <w:shd w:val="clear" w:color="auto" w:fill="auto"/>
          </w:tcPr>
          <w:p w:rsidR="009949DD" w:rsidRPr="00F120F2" w:rsidRDefault="0046613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w:t>
            </w:r>
            <w:r w:rsidR="009949DD" w:rsidRPr="00F120F2">
              <w:rPr>
                <w:rFonts w:cs="Calibri"/>
                <w:sz w:val="24"/>
                <w:szCs w:val="24"/>
                <w:lang w:val="en-US"/>
              </w:rPr>
              <w:t xml:space="preserve"> use at</w:t>
            </w:r>
            <w:r w:rsidR="00E01D1E" w:rsidRPr="00F120F2">
              <w:rPr>
                <w:rFonts w:cs="Calibri"/>
                <w:sz w:val="24"/>
                <w:szCs w:val="24"/>
                <w:lang w:val="en-US"/>
              </w:rPr>
              <w:t xml:space="preserve"> start of each radiographic interval</w:t>
            </w:r>
          </w:p>
        </w:tc>
        <w:tc>
          <w:tcPr>
            <w:tcW w:w="992" w:type="dxa"/>
            <w:tcBorders>
              <w:top w:val="nil"/>
              <w:left w:val="nil"/>
              <w:bottom w:val="nil"/>
              <w:right w:val="nil"/>
            </w:tcBorders>
            <w:shd w:val="clear" w:color="auto" w:fill="auto"/>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w:t>
            </w:r>
            <w:r w:rsidR="00272533" w:rsidRPr="00F120F2">
              <w:rPr>
                <w:rFonts w:cs="Calibri"/>
                <w:sz w:val="24"/>
                <w:szCs w:val="24"/>
                <w:lang w:val="en-US"/>
              </w:rPr>
              <w:t>.74</w:t>
            </w:r>
          </w:p>
        </w:tc>
        <w:tc>
          <w:tcPr>
            <w:tcW w:w="1701"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0.33-1.63</w:t>
            </w:r>
          </w:p>
        </w:tc>
        <w:tc>
          <w:tcPr>
            <w:tcW w:w="1276" w:type="dxa"/>
            <w:tcBorders>
              <w:top w:val="nil"/>
              <w:left w:val="nil"/>
              <w:bottom w:val="nil"/>
              <w:right w:val="nil"/>
            </w:tcBorders>
            <w:shd w:val="clear" w:color="auto" w:fill="auto"/>
          </w:tcPr>
          <w:p w:rsidR="009949DD"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w:t>
            </w:r>
          </w:p>
        </w:tc>
        <w:tc>
          <w:tcPr>
            <w:tcW w:w="958" w:type="dxa"/>
            <w:tcBorders>
              <w:top w:val="nil"/>
              <w:bottom w:val="nil"/>
              <w:right w:val="nil"/>
            </w:tcBorders>
          </w:tcPr>
          <w:p w:rsidR="009949DD" w:rsidRPr="00F120F2" w:rsidRDefault="009949D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w:t>
            </w:r>
            <w:r w:rsidR="00F54288" w:rsidRPr="00F120F2">
              <w:rPr>
                <w:rFonts w:cs="Calibri"/>
                <w:sz w:val="24"/>
                <w:szCs w:val="24"/>
                <w:lang w:val="en-US"/>
              </w:rPr>
              <w:t>.80</w:t>
            </w:r>
          </w:p>
        </w:tc>
        <w:tc>
          <w:tcPr>
            <w:tcW w:w="1985" w:type="dxa"/>
            <w:tcBorders>
              <w:top w:val="nil"/>
              <w:left w:val="nil"/>
              <w:bottom w:val="nil"/>
              <w:right w:val="nil"/>
            </w:tcBorders>
            <w:shd w:val="clear" w:color="auto" w:fill="auto"/>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0.35-1.85</w:t>
            </w:r>
          </w:p>
        </w:tc>
        <w:tc>
          <w:tcPr>
            <w:tcW w:w="1135" w:type="dxa"/>
            <w:tcBorders>
              <w:top w:val="nil"/>
              <w:left w:val="nil"/>
              <w:bottom w:val="nil"/>
              <w:right w:val="nil"/>
            </w:tcBorders>
          </w:tcPr>
          <w:p w:rsidR="009949DD"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0.60</w:t>
            </w:r>
          </w:p>
        </w:tc>
      </w:tr>
      <w:tr w:rsidR="00F120F2" w:rsidRPr="00F120F2" w:rsidTr="00531473">
        <w:tc>
          <w:tcPr>
            <w:tcW w:w="5529" w:type="dxa"/>
            <w:tcBorders>
              <w:top w:val="nil"/>
              <w:left w:val="nil"/>
              <w:bottom w:val="nil"/>
              <w:right w:val="nil"/>
            </w:tcBorders>
            <w:shd w:val="clear" w:color="auto" w:fill="auto"/>
          </w:tcPr>
          <w:p w:rsidR="00E01D1E" w:rsidRPr="00F120F2" w:rsidRDefault="00E01D1E"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1.70</w:t>
            </w:r>
          </w:p>
        </w:tc>
        <w:tc>
          <w:tcPr>
            <w:tcW w:w="1701" w:type="dxa"/>
            <w:tcBorders>
              <w:top w:val="nil"/>
              <w:left w:val="nil"/>
              <w:bottom w:val="nil"/>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0.91-3.19</w:t>
            </w:r>
          </w:p>
        </w:tc>
        <w:tc>
          <w:tcPr>
            <w:tcW w:w="1276" w:type="dxa"/>
            <w:tcBorders>
              <w:top w:val="nil"/>
              <w:left w:val="nil"/>
              <w:bottom w:val="nil"/>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0.10</w:t>
            </w:r>
          </w:p>
        </w:tc>
        <w:tc>
          <w:tcPr>
            <w:tcW w:w="958" w:type="dxa"/>
            <w:tcBorders>
              <w:top w:val="nil"/>
              <w:bottom w:val="nil"/>
              <w:right w:val="nil"/>
            </w:tcBorders>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1.09</w:t>
            </w:r>
          </w:p>
        </w:tc>
        <w:tc>
          <w:tcPr>
            <w:tcW w:w="1985" w:type="dxa"/>
            <w:tcBorders>
              <w:top w:val="nil"/>
              <w:left w:val="nil"/>
              <w:bottom w:val="nil"/>
              <w:right w:val="nil"/>
            </w:tcBorders>
            <w:shd w:val="clear" w:color="auto" w:fill="auto"/>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0.59-2.02</w:t>
            </w:r>
          </w:p>
        </w:tc>
        <w:tc>
          <w:tcPr>
            <w:tcW w:w="1135" w:type="dxa"/>
            <w:tcBorders>
              <w:top w:val="nil"/>
              <w:left w:val="nil"/>
              <w:bottom w:val="nil"/>
              <w:right w:val="nil"/>
            </w:tcBorders>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0.79</w:t>
            </w:r>
          </w:p>
        </w:tc>
      </w:tr>
      <w:tr w:rsidR="00F120F2" w:rsidRPr="00F120F2" w:rsidTr="00531473">
        <w:tc>
          <w:tcPr>
            <w:tcW w:w="5529" w:type="dxa"/>
            <w:tcBorders>
              <w:top w:val="nil"/>
              <w:left w:val="nil"/>
              <w:bottom w:val="nil"/>
              <w:right w:val="nil"/>
            </w:tcBorders>
            <w:shd w:val="clear" w:color="auto" w:fill="auto"/>
          </w:tcPr>
          <w:p w:rsidR="00E01D1E" w:rsidRPr="00F120F2" w:rsidRDefault="00E01D1E"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1.76</w:t>
            </w:r>
          </w:p>
        </w:tc>
        <w:tc>
          <w:tcPr>
            <w:tcW w:w="1701" w:type="dxa"/>
            <w:tcBorders>
              <w:top w:val="nil"/>
              <w:left w:val="nil"/>
              <w:bottom w:val="nil"/>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0.69-4.47</w:t>
            </w:r>
          </w:p>
        </w:tc>
        <w:tc>
          <w:tcPr>
            <w:tcW w:w="1276" w:type="dxa"/>
            <w:tcBorders>
              <w:top w:val="nil"/>
              <w:left w:val="nil"/>
              <w:bottom w:val="nil"/>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0.24</w:t>
            </w:r>
          </w:p>
        </w:tc>
        <w:tc>
          <w:tcPr>
            <w:tcW w:w="958" w:type="dxa"/>
            <w:tcBorders>
              <w:top w:val="nil"/>
              <w:bottom w:val="nil"/>
              <w:right w:val="nil"/>
            </w:tcBorders>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1.12</w:t>
            </w:r>
          </w:p>
        </w:tc>
        <w:tc>
          <w:tcPr>
            <w:tcW w:w="1985" w:type="dxa"/>
            <w:tcBorders>
              <w:top w:val="nil"/>
              <w:left w:val="nil"/>
              <w:bottom w:val="nil"/>
              <w:right w:val="nil"/>
            </w:tcBorders>
            <w:shd w:val="clear" w:color="auto" w:fill="auto"/>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0.42-2.98</w:t>
            </w:r>
          </w:p>
        </w:tc>
        <w:tc>
          <w:tcPr>
            <w:tcW w:w="1135" w:type="dxa"/>
            <w:tcBorders>
              <w:top w:val="nil"/>
              <w:left w:val="nil"/>
              <w:bottom w:val="nil"/>
              <w:right w:val="nil"/>
            </w:tcBorders>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0.82</w:t>
            </w:r>
          </w:p>
        </w:tc>
      </w:tr>
      <w:tr w:rsidR="00F120F2" w:rsidRPr="00F120F2" w:rsidTr="00531473">
        <w:tc>
          <w:tcPr>
            <w:tcW w:w="5529" w:type="dxa"/>
            <w:tcBorders>
              <w:top w:val="nil"/>
              <w:left w:val="nil"/>
              <w:bottom w:val="single" w:sz="4" w:space="0" w:color="auto"/>
              <w:right w:val="nil"/>
            </w:tcBorders>
            <w:shd w:val="clear" w:color="auto" w:fill="auto"/>
          </w:tcPr>
          <w:p w:rsidR="00E01D1E" w:rsidRPr="00F120F2" w:rsidRDefault="00E01D1E"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1.22</w:t>
            </w:r>
          </w:p>
        </w:tc>
        <w:tc>
          <w:tcPr>
            <w:tcW w:w="1701" w:type="dxa"/>
            <w:tcBorders>
              <w:top w:val="nil"/>
              <w:left w:val="nil"/>
              <w:bottom w:val="single" w:sz="4" w:space="0" w:color="auto"/>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0.56-2.65</w:t>
            </w:r>
          </w:p>
        </w:tc>
        <w:tc>
          <w:tcPr>
            <w:tcW w:w="1276" w:type="dxa"/>
            <w:tcBorders>
              <w:top w:val="nil"/>
              <w:left w:val="nil"/>
              <w:bottom w:val="single" w:sz="4" w:space="0" w:color="auto"/>
              <w:right w:val="nil"/>
            </w:tcBorders>
            <w:shd w:val="clear" w:color="auto" w:fill="auto"/>
          </w:tcPr>
          <w:p w:rsidR="00E01D1E" w:rsidRPr="00F120F2" w:rsidRDefault="0027253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0.61</w:t>
            </w:r>
          </w:p>
        </w:tc>
        <w:tc>
          <w:tcPr>
            <w:tcW w:w="958" w:type="dxa"/>
            <w:tcBorders>
              <w:top w:val="nil"/>
              <w:bottom w:val="single" w:sz="4" w:space="0" w:color="auto"/>
              <w:right w:val="nil"/>
            </w:tcBorders>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1.65</w:t>
            </w:r>
          </w:p>
        </w:tc>
        <w:tc>
          <w:tcPr>
            <w:tcW w:w="1985" w:type="dxa"/>
            <w:tcBorders>
              <w:top w:val="nil"/>
              <w:left w:val="nil"/>
              <w:bottom w:val="single" w:sz="4" w:space="0" w:color="auto"/>
              <w:right w:val="nil"/>
            </w:tcBorders>
            <w:shd w:val="clear" w:color="auto" w:fill="auto"/>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0.72-3.80</w:t>
            </w:r>
          </w:p>
        </w:tc>
        <w:tc>
          <w:tcPr>
            <w:tcW w:w="1135" w:type="dxa"/>
            <w:tcBorders>
              <w:top w:val="nil"/>
              <w:left w:val="nil"/>
              <w:bottom w:val="single" w:sz="4" w:space="0" w:color="auto"/>
              <w:right w:val="nil"/>
            </w:tcBorders>
          </w:tcPr>
          <w:p w:rsidR="00E01D1E" w:rsidRPr="00F120F2" w:rsidRDefault="00F54288"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0.24</w:t>
            </w:r>
          </w:p>
        </w:tc>
      </w:tr>
    </w:tbl>
    <w:p w:rsidR="009949DD" w:rsidRPr="00F120F2" w:rsidRDefault="00DC1EF4" w:rsidP="00C821FD">
      <w:pPr>
        <w:spacing w:before="120" w:after="120"/>
        <w:jc w:val="both"/>
        <w:rPr>
          <w:sz w:val="24"/>
          <w:szCs w:val="24"/>
          <w:lang w:val="en-US"/>
        </w:rPr>
      </w:pPr>
      <w:r w:rsidRPr="00F120F2">
        <w:rPr>
          <w:rFonts w:cs="Calibri"/>
          <w:sz w:val="24"/>
          <w:szCs w:val="24"/>
          <w:lang w:val="en-US"/>
        </w:rPr>
        <w:t>*Analysis performed in 403 radiographic</w:t>
      </w:r>
      <w:r w:rsidR="009949DD" w:rsidRPr="00F120F2">
        <w:rPr>
          <w:rFonts w:cs="Calibri"/>
          <w:sz w:val="24"/>
          <w:szCs w:val="24"/>
          <w:lang w:val="en-US"/>
        </w:rPr>
        <w:t xml:space="preserve"> intervals from 301 patients (patients with available data for all covariates; no imputation). </w:t>
      </w:r>
      <w:r w:rsidR="005547E6" w:rsidRPr="00F120F2">
        <w:rPr>
          <w:rFonts w:cs="Calibri"/>
          <w:sz w:val="24"/>
          <w:szCs w:val="24"/>
          <w:lang w:val="en-US"/>
        </w:rPr>
        <w:t>BMI = Body Mass Index;</w:t>
      </w:r>
      <w:r w:rsidR="005547E6" w:rsidRPr="00F120F2">
        <w:rPr>
          <w:rFonts w:cs="Calibri"/>
          <w:b/>
          <w:sz w:val="24"/>
          <w:szCs w:val="24"/>
          <w:lang w:val="en-US"/>
        </w:rPr>
        <w:t xml:space="preserve"> </w:t>
      </w:r>
      <w:r w:rsidR="009949DD" w:rsidRPr="00F120F2">
        <w:rPr>
          <w:rFonts w:cs="Calibri"/>
          <w:sz w:val="24"/>
          <w:szCs w:val="24"/>
          <w:lang w:val="en-US"/>
        </w:rPr>
        <w:t xml:space="preserve">CI = confidence interval; </w:t>
      </w:r>
      <w:r w:rsidR="009949DD" w:rsidRPr="00F120F2">
        <w:rPr>
          <w:sz w:val="24"/>
          <w:szCs w:val="24"/>
          <w:lang w:val="en-US"/>
        </w:rPr>
        <w:t xml:space="preserve">HLA-B27 = human leucocyte antigen B27; </w:t>
      </w:r>
      <w:proofErr w:type="spellStart"/>
      <w:r w:rsidR="009949DD" w:rsidRPr="00F120F2">
        <w:rPr>
          <w:sz w:val="24"/>
          <w:szCs w:val="24"/>
          <w:lang w:val="en-US"/>
        </w:rPr>
        <w:t>mSASSS</w:t>
      </w:r>
      <w:proofErr w:type="spellEnd"/>
      <w:r w:rsidR="009949DD" w:rsidRPr="00F120F2">
        <w:rPr>
          <w:sz w:val="24"/>
          <w:szCs w:val="24"/>
          <w:lang w:val="en-US"/>
        </w:rPr>
        <w:t xml:space="preserve"> = modified Stoke Ankylosing</w:t>
      </w:r>
      <w:r w:rsidR="00624CFB" w:rsidRPr="00F120F2">
        <w:rPr>
          <w:sz w:val="24"/>
          <w:szCs w:val="24"/>
          <w:lang w:val="en-US"/>
        </w:rPr>
        <w:t xml:space="preserve"> Spondylitis Spine Score; NSAID</w:t>
      </w:r>
      <w:r w:rsidR="009949DD" w:rsidRPr="00F120F2">
        <w:rPr>
          <w:sz w:val="24"/>
          <w:szCs w:val="24"/>
          <w:lang w:val="en-US"/>
        </w:rPr>
        <w:t xml:space="preserve"> = Nons</w:t>
      </w:r>
      <w:r w:rsidR="00624CFB" w:rsidRPr="00F120F2">
        <w:rPr>
          <w:sz w:val="24"/>
          <w:szCs w:val="24"/>
          <w:lang w:val="en-US"/>
        </w:rPr>
        <w:t>teroidal anti-inflammatory drug</w:t>
      </w:r>
      <w:r w:rsidR="009949DD" w:rsidRPr="00F120F2">
        <w:rPr>
          <w:sz w:val="24"/>
          <w:szCs w:val="24"/>
          <w:lang w:val="en-US"/>
        </w:rPr>
        <w:t xml:space="preserve">; OR = odds ratio; </w:t>
      </w:r>
      <w:proofErr w:type="spellStart"/>
      <w:r w:rsidR="009949DD" w:rsidRPr="00F120F2">
        <w:rPr>
          <w:sz w:val="24"/>
          <w:szCs w:val="24"/>
          <w:lang w:val="en-US"/>
        </w:rPr>
        <w:t>TNFi</w:t>
      </w:r>
      <w:proofErr w:type="spellEnd"/>
      <w:r w:rsidR="009949DD" w:rsidRPr="00F120F2">
        <w:rPr>
          <w:sz w:val="24"/>
          <w:szCs w:val="24"/>
          <w:lang w:val="en-US"/>
        </w:rPr>
        <w:t xml:space="preserve"> = </w:t>
      </w:r>
      <w:proofErr w:type="spellStart"/>
      <w:r w:rsidR="009949DD" w:rsidRPr="00F120F2">
        <w:rPr>
          <w:sz w:val="24"/>
          <w:szCs w:val="24"/>
          <w:lang w:val="en-US"/>
        </w:rPr>
        <w:t>Tumour</w:t>
      </w:r>
      <w:proofErr w:type="spellEnd"/>
      <w:r w:rsidR="009949DD" w:rsidRPr="00F120F2">
        <w:rPr>
          <w:sz w:val="24"/>
          <w:szCs w:val="24"/>
          <w:lang w:val="en-US"/>
        </w:rPr>
        <w:t xml:space="preserve"> necrosis factor inhibitor.</w:t>
      </w:r>
    </w:p>
    <w:p w:rsidR="0050594A" w:rsidRPr="00F120F2" w:rsidRDefault="0050594A" w:rsidP="00C821FD">
      <w:pPr>
        <w:tabs>
          <w:tab w:val="left" w:pos="3828"/>
          <w:tab w:val="left" w:pos="4395"/>
        </w:tabs>
        <w:spacing w:after="0" w:line="240" w:lineRule="auto"/>
        <w:rPr>
          <w:rFonts w:cs="Calibri"/>
          <w:sz w:val="24"/>
          <w:szCs w:val="24"/>
          <w:lang w:val="en-US"/>
        </w:rPr>
      </w:pPr>
    </w:p>
    <w:p w:rsidR="0050594A" w:rsidRPr="00F120F2" w:rsidRDefault="0050594A"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F120F2" w:rsidRPr="00F120F2" w:rsidRDefault="00F120F2"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C821FD" w:rsidRDefault="007B3C65"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lastRenderedPageBreak/>
        <w:t>Table S3</w:t>
      </w:r>
      <w:r w:rsidR="005547E6" w:rsidRPr="00F120F2">
        <w:rPr>
          <w:rFonts w:cs="Calibri"/>
          <w:b/>
          <w:sz w:val="24"/>
          <w:szCs w:val="24"/>
          <w:lang w:val="en-US"/>
        </w:rPr>
        <w:t xml:space="preserve">. </w:t>
      </w:r>
      <w:r w:rsidR="005547E6" w:rsidRPr="00F120F2">
        <w:rPr>
          <w:rFonts w:cs="Calibri"/>
          <w:sz w:val="24"/>
          <w:szCs w:val="24"/>
          <w:lang w:val="en-US"/>
        </w:rPr>
        <w:t>Multivariable analysis for the identification of factors associated with spinal radiographic progression</w:t>
      </w:r>
    </w:p>
    <w:p w:rsidR="005547E6" w:rsidRPr="00F120F2" w:rsidRDefault="00C821FD" w:rsidP="00C821FD">
      <w:pPr>
        <w:tabs>
          <w:tab w:val="left" w:pos="3828"/>
          <w:tab w:val="left" w:pos="4395"/>
        </w:tabs>
        <w:spacing w:after="0" w:line="240" w:lineRule="auto"/>
        <w:rPr>
          <w:rFonts w:cs="Calibri"/>
          <w:b/>
          <w:sz w:val="24"/>
          <w:szCs w:val="24"/>
          <w:lang w:val="en-US"/>
        </w:rPr>
      </w:pPr>
      <w:r>
        <w:rPr>
          <w:rFonts w:cs="Calibri"/>
          <w:sz w:val="24"/>
          <w:szCs w:val="24"/>
          <w:lang w:val="en-US"/>
        </w:rPr>
        <w:t>(</w:t>
      </w:r>
      <w:proofErr w:type="gramStart"/>
      <w:r>
        <w:rPr>
          <w:rFonts w:cs="Calibri"/>
          <w:sz w:val="24"/>
          <w:szCs w:val="24"/>
          <w:lang w:val="en-US"/>
        </w:rPr>
        <w:t>alternative</w:t>
      </w:r>
      <w:proofErr w:type="gramEnd"/>
      <w:r>
        <w:rPr>
          <w:rFonts w:cs="Calibri"/>
          <w:sz w:val="24"/>
          <w:szCs w:val="24"/>
          <w:lang w:val="en-US"/>
        </w:rPr>
        <w:t xml:space="preserve"> </w:t>
      </w:r>
      <w:proofErr w:type="spellStart"/>
      <w:r>
        <w:rPr>
          <w:rFonts w:cs="Calibri"/>
          <w:sz w:val="24"/>
          <w:szCs w:val="24"/>
          <w:lang w:val="en-US"/>
        </w:rPr>
        <w:t>TNFi</w:t>
      </w:r>
      <w:proofErr w:type="spellEnd"/>
      <w:r>
        <w:rPr>
          <w:rFonts w:cs="Calibri"/>
          <w:sz w:val="24"/>
          <w:szCs w:val="24"/>
          <w:lang w:val="en-US"/>
        </w:rPr>
        <w:t xml:space="preserve"> variable; model corresponds to model 2 in Table 3 of main manuscript) </w:t>
      </w:r>
      <w:r w:rsidR="005547E6" w:rsidRPr="00F120F2">
        <w:rPr>
          <w:rFonts w:cs="Calibri"/>
          <w:sz w:val="24"/>
          <w:szCs w:val="24"/>
          <w:lang w:val="en-US"/>
        </w:rPr>
        <w:t xml:space="preserve"> </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992"/>
        <w:gridCol w:w="1701"/>
        <w:gridCol w:w="1276"/>
      </w:tblGrid>
      <w:tr w:rsidR="00F120F2" w:rsidRPr="007049E3" w:rsidTr="0046613A">
        <w:tc>
          <w:tcPr>
            <w:tcW w:w="7371"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46613A">
        <w:tc>
          <w:tcPr>
            <w:tcW w:w="7371"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46613A">
        <w:tc>
          <w:tcPr>
            <w:tcW w:w="7371" w:type="dxa"/>
            <w:tcBorders>
              <w:top w:val="single" w:sz="4" w:space="0" w:color="auto"/>
              <w:left w:val="nil"/>
              <w:bottom w:val="single" w:sz="4" w:space="0" w:color="auto"/>
              <w:right w:val="nil"/>
            </w:tcBorders>
            <w:shd w:val="clear" w:color="auto" w:fill="auto"/>
          </w:tcPr>
          <w:p w:rsidR="005547E6" w:rsidRPr="008337BA" w:rsidRDefault="005547E6" w:rsidP="00C821FD">
            <w:pPr>
              <w:tabs>
                <w:tab w:val="left" w:pos="3828"/>
                <w:tab w:val="left" w:pos="4395"/>
              </w:tabs>
              <w:spacing w:after="0" w:line="240" w:lineRule="auto"/>
              <w:rPr>
                <w:rFonts w:cs="Calibri"/>
                <w:b/>
                <w:sz w:val="24"/>
                <w:szCs w:val="24"/>
                <w:lang w:val="en-US"/>
              </w:rPr>
            </w:pPr>
            <w:r w:rsidRPr="008337BA">
              <w:rPr>
                <w:rFonts w:cs="Calibri"/>
                <w:b/>
                <w:sz w:val="24"/>
                <w:szCs w:val="24"/>
                <w:lang w:val="en-US"/>
              </w:rPr>
              <w:t xml:space="preserve">Number of years of continuous use of </w:t>
            </w:r>
            <w:proofErr w:type="spellStart"/>
            <w:r w:rsidRPr="008337BA">
              <w:rPr>
                <w:rFonts w:cs="Calibri"/>
                <w:b/>
                <w:sz w:val="24"/>
                <w:szCs w:val="24"/>
                <w:lang w:val="en-US"/>
              </w:rPr>
              <w:t>TNFi</w:t>
            </w:r>
            <w:proofErr w:type="spellEnd"/>
            <w:r w:rsidRPr="008337BA">
              <w:rPr>
                <w:rFonts w:cs="Calibri"/>
                <w:b/>
                <w:sz w:val="24"/>
                <w:szCs w:val="24"/>
                <w:lang w:val="en-US"/>
              </w:rPr>
              <w:t xml:space="preserve"> prior to</w:t>
            </w:r>
            <w:r w:rsidR="0046613A" w:rsidRPr="008337BA">
              <w:rPr>
                <w:rFonts w:cs="Calibri"/>
                <w:b/>
                <w:sz w:val="24"/>
                <w:szCs w:val="24"/>
                <w:lang w:val="en-US"/>
              </w:rPr>
              <w:t xml:space="preserve"> each</w:t>
            </w:r>
            <w:r w:rsidRPr="008337BA">
              <w:rPr>
                <w:rFonts w:cs="Calibri"/>
                <w:b/>
                <w:sz w:val="24"/>
                <w:szCs w:val="24"/>
                <w:lang w:val="en-US"/>
              </w:rPr>
              <w:t xml:space="preserve"> radiographic interval (estimated effect of </w:t>
            </w:r>
            <w:proofErr w:type="spellStart"/>
            <w:r w:rsidRPr="008337BA">
              <w:rPr>
                <w:rFonts w:cs="Calibri"/>
                <w:b/>
                <w:sz w:val="24"/>
                <w:szCs w:val="24"/>
                <w:lang w:val="en-US"/>
              </w:rPr>
              <w:t>TNFi</w:t>
            </w:r>
            <w:proofErr w:type="spellEnd"/>
            <w:r w:rsidRPr="008337BA">
              <w:rPr>
                <w:rFonts w:cs="Calibri"/>
                <w:b/>
                <w:sz w:val="24"/>
                <w:szCs w:val="24"/>
                <w:lang w:val="en-US"/>
              </w:rPr>
              <w:t xml:space="preserve"> per year of continuous </w:t>
            </w:r>
            <w:proofErr w:type="spellStart"/>
            <w:r w:rsidRPr="008337BA">
              <w:rPr>
                <w:rFonts w:cs="Calibri"/>
                <w:b/>
                <w:sz w:val="24"/>
                <w:szCs w:val="24"/>
                <w:lang w:val="en-US"/>
              </w:rPr>
              <w:t>TNFi</w:t>
            </w:r>
            <w:proofErr w:type="spellEnd"/>
            <w:r w:rsidRPr="008337BA">
              <w:rPr>
                <w:rFonts w:cs="Calibri"/>
                <w:b/>
                <w:sz w:val="24"/>
                <w:szCs w:val="24"/>
                <w:lang w:val="en-US"/>
              </w:rPr>
              <w:t xml:space="preserve"> use)</w:t>
            </w:r>
          </w:p>
        </w:tc>
        <w:tc>
          <w:tcPr>
            <w:tcW w:w="992" w:type="dxa"/>
            <w:tcBorders>
              <w:top w:val="single" w:sz="4" w:space="0" w:color="auto"/>
              <w:left w:val="nil"/>
              <w:bottom w:val="single" w:sz="4" w:space="0" w:color="auto"/>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0.79</w:t>
            </w:r>
          </w:p>
        </w:tc>
        <w:tc>
          <w:tcPr>
            <w:tcW w:w="1701" w:type="dxa"/>
            <w:tcBorders>
              <w:top w:val="single" w:sz="4" w:space="0" w:color="auto"/>
              <w:left w:val="nil"/>
              <w:bottom w:val="single" w:sz="4" w:space="0" w:color="auto"/>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0.66-0.94</w:t>
            </w:r>
          </w:p>
        </w:tc>
        <w:tc>
          <w:tcPr>
            <w:tcW w:w="1276" w:type="dxa"/>
            <w:tcBorders>
              <w:top w:val="single" w:sz="4" w:space="0" w:color="auto"/>
              <w:left w:val="nil"/>
              <w:bottom w:val="single" w:sz="4" w:space="0" w:color="auto"/>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0.01</w:t>
            </w:r>
          </w:p>
        </w:tc>
      </w:tr>
      <w:tr w:rsidR="00F120F2" w:rsidRPr="00F120F2" w:rsidTr="0046613A">
        <w:tc>
          <w:tcPr>
            <w:tcW w:w="7371" w:type="dxa"/>
            <w:tcBorders>
              <w:top w:val="single" w:sz="4" w:space="0" w:color="auto"/>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single" w:sz="4" w:space="0" w:color="auto"/>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1.07</w:t>
            </w:r>
          </w:p>
        </w:tc>
        <w:tc>
          <w:tcPr>
            <w:tcW w:w="1701" w:type="dxa"/>
            <w:tcBorders>
              <w:top w:val="single" w:sz="4" w:space="0" w:color="auto"/>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1.05-1.09</w:t>
            </w:r>
          </w:p>
        </w:tc>
        <w:tc>
          <w:tcPr>
            <w:tcW w:w="1276" w:type="dxa"/>
            <w:tcBorders>
              <w:top w:val="single" w:sz="4" w:space="0" w:color="auto"/>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2.34</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1.19-4.64</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0.02</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1.13</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0.98-1.29</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0.08</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1.11</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0.62-1.95</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0.73</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1.05</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0.47-2.31</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0.91</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0.82-1.11</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0.52</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0.86</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0.48-1.53</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0.60</w:t>
            </w:r>
          </w:p>
        </w:tc>
      </w:tr>
      <w:tr w:rsidR="00F120F2" w:rsidRPr="00F120F2" w:rsidTr="0046613A">
        <w:tc>
          <w:tcPr>
            <w:tcW w:w="7371" w:type="dxa"/>
            <w:tcBorders>
              <w:top w:val="nil"/>
              <w:left w:val="nil"/>
              <w:bottom w:val="nil"/>
              <w:right w:val="nil"/>
            </w:tcBorders>
            <w:shd w:val="clear" w:color="auto" w:fill="auto"/>
          </w:tcPr>
          <w:p w:rsidR="005547E6" w:rsidRPr="00F120F2" w:rsidRDefault="0046613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w:t>
            </w:r>
            <w:r w:rsidR="005547E6" w:rsidRPr="00F120F2">
              <w:rPr>
                <w:rFonts w:cs="Calibri"/>
                <w:sz w:val="24"/>
                <w:szCs w:val="24"/>
                <w:lang w:val="en-US"/>
              </w:rPr>
              <w:t xml:space="preserve"> use at start of each radiographic interval</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0.43-1.54</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0.52</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1.34</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0.75-2.40</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0.33</w:t>
            </w:r>
          </w:p>
        </w:tc>
      </w:tr>
      <w:tr w:rsidR="00F120F2" w:rsidRPr="00F120F2" w:rsidTr="0046613A">
        <w:tc>
          <w:tcPr>
            <w:tcW w:w="7371"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1.63</w:t>
            </w:r>
          </w:p>
        </w:tc>
        <w:tc>
          <w:tcPr>
            <w:tcW w:w="1701"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0.80-3.33</w:t>
            </w:r>
          </w:p>
        </w:tc>
        <w:tc>
          <w:tcPr>
            <w:tcW w:w="1276" w:type="dxa"/>
            <w:tcBorders>
              <w:top w:val="nil"/>
              <w:left w:val="nil"/>
              <w:bottom w:val="nil"/>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0.18</w:t>
            </w:r>
          </w:p>
        </w:tc>
      </w:tr>
      <w:tr w:rsidR="00F120F2" w:rsidRPr="00F120F2" w:rsidTr="0046613A">
        <w:tc>
          <w:tcPr>
            <w:tcW w:w="7371" w:type="dxa"/>
            <w:tcBorders>
              <w:top w:val="nil"/>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1.60</w:t>
            </w:r>
          </w:p>
        </w:tc>
        <w:tc>
          <w:tcPr>
            <w:tcW w:w="1701" w:type="dxa"/>
            <w:tcBorders>
              <w:top w:val="nil"/>
              <w:left w:val="nil"/>
              <w:bottom w:val="single" w:sz="4" w:space="0" w:color="auto"/>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0.81-3.14</w:t>
            </w:r>
          </w:p>
        </w:tc>
        <w:tc>
          <w:tcPr>
            <w:tcW w:w="1276" w:type="dxa"/>
            <w:tcBorders>
              <w:top w:val="nil"/>
              <w:left w:val="nil"/>
              <w:bottom w:val="single" w:sz="4" w:space="0" w:color="auto"/>
              <w:right w:val="nil"/>
            </w:tcBorders>
            <w:shd w:val="clear" w:color="auto" w:fill="auto"/>
          </w:tcPr>
          <w:p w:rsidR="005547E6" w:rsidRPr="00F120F2" w:rsidRDefault="004B47F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0.18</w:t>
            </w:r>
          </w:p>
        </w:tc>
      </w:tr>
    </w:tbl>
    <w:p w:rsidR="005547E6" w:rsidRPr="00F120F2" w:rsidRDefault="005547E6"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w:t>
      </w:r>
      <w:r w:rsidR="00624CFB" w:rsidRPr="00F120F2">
        <w:rPr>
          <w:sz w:val="24"/>
          <w:szCs w:val="24"/>
          <w:lang w:val="en-US"/>
        </w:rPr>
        <w:t xml:space="preserve"> Spondylitis Spine Score; NSAID</w:t>
      </w:r>
      <w:r w:rsidRPr="00F120F2">
        <w:rPr>
          <w:sz w:val="24"/>
          <w:szCs w:val="24"/>
          <w:lang w:val="en-US"/>
        </w:rPr>
        <w:t xml:space="preserve"> = Nonsteroidal anti-inflammatory drug;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5547E6" w:rsidRPr="00F120F2" w:rsidRDefault="005547E6" w:rsidP="00C821FD">
      <w:pPr>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Default="005547E6" w:rsidP="00C821FD">
      <w:pPr>
        <w:tabs>
          <w:tab w:val="left" w:pos="3828"/>
          <w:tab w:val="left" w:pos="4395"/>
        </w:tabs>
        <w:spacing w:after="0" w:line="240" w:lineRule="auto"/>
        <w:rPr>
          <w:rFonts w:cs="Calibri"/>
          <w:sz w:val="24"/>
          <w:szCs w:val="24"/>
          <w:lang w:val="en-US"/>
        </w:rPr>
      </w:pPr>
    </w:p>
    <w:p w:rsidR="00F120F2" w:rsidRPr="00F120F2" w:rsidRDefault="00F120F2"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Default="007B3C65"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t>Table S4</w:t>
      </w:r>
      <w:r w:rsidR="005547E6" w:rsidRPr="00F120F2">
        <w:rPr>
          <w:rFonts w:cs="Calibri"/>
          <w:b/>
          <w:sz w:val="24"/>
          <w:szCs w:val="24"/>
          <w:lang w:val="en-US"/>
        </w:rPr>
        <w:t xml:space="preserve">. </w:t>
      </w:r>
      <w:r w:rsidR="005547E6" w:rsidRPr="00F120F2">
        <w:rPr>
          <w:rFonts w:cs="Calibri"/>
          <w:sz w:val="24"/>
          <w:szCs w:val="24"/>
          <w:lang w:val="en-US"/>
        </w:rPr>
        <w:t xml:space="preserve">Multivariable analysis for the identification of factors associated with spinal radiographic progression </w:t>
      </w:r>
    </w:p>
    <w:p w:rsidR="00C821FD" w:rsidRPr="00F120F2" w:rsidRDefault="00C821FD" w:rsidP="00C821FD">
      <w:pPr>
        <w:tabs>
          <w:tab w:val="left" w:pos="3828"/>
          <w:tab w:val="left" w:pos="4395"/>
        </w:tabs>
        <w:spacing w:after="0" w:line="240" w:lineRule="auto"/>
        <w:rPr>
          <w:rFonts w:cs="Calibri"/>
          <w:b/>
          <w:sz w:val="24"/>
          <w:szCs w:val="24"/>
          <w:lang w:val="en-US"/>
        </w:rPr>
      </w:pPr>
      <w:r>
        <w:rPr>
          <w:rFonts w:cs="Calibri"/>
          <w:sz w:val="24"/>
          <w:szCs w:val="24"/>
          <w:lang w:val="en-US"/>
        </w:rPr>
        <w:t>(</w:t>
      </w:r>
      <w:proofErr w:type="gramStart"/>
      <w:r>
        <w:rPr>
          <w:rFonts w:cs="Calibri"/>
          <w:sz w:val="24"/>
          <w:szCs w:val="24"/>
          <w:lang w:val="en-US"/>
        </w:rPr>
        <w:t>alternative</w:t>
      </w:r>
      <w:proofErr w:type="gramEnd"/>
      <w:r>
        <w:rPr>
          <w:rFonts w:cs="Calibri"/>
          <w:sz w:val="24"/>
          <w:szCs w:val="24"/>
          <w:lang w:val="en-US"/>
        </w:rPr>
        <w:t xml:space="preserve"> </w:t>
      </w:r>
      <w:proofErr w:type="spellStart"/>
      <w:r>
        <w:rPr>
          <w:rFonts w:cs="Calibri"/>
          <w:sz w:val="24"/>
          <w:szCs w:val="24"/>
          <w:lang w:val="en-US"/>
        </w:rPr>
        <w:t>TNFi</w:t>
      </w:r>
      <w:proofErr w:type="spellEnd"/>
      <w:r>
        <w:rPr>
          <w:rFonts w:cs="Calibri"/>
          <w:sz w:val="24"/>
          <w:szCs w:val="24"/>
          <w:lang w:val="en-US"/>
        </w:rPr>
        <w:t xml:space="preserve"> variable; model corresponds to model 3 in Table 3 of main manuscript) </w:t>
      </w:r>
      <w:r w:rsidRPr="00F120F2">
        <w:rPr>
          <w:rFonts w:cs="Calibri"/>
          <w:sz w:val="24"/>
          <w:szCs w:val="24"/>
          <w:lang w:val="en-US"/>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992"/>
        <w:gridCol w:w="1701"/>
        <w:gridCol w:w="1276"/>
      </w:tblGrid>
      <w:tr w:rsidR="00F120F2" w:rsidRPr="007049E3" w:rsidTr="0046613A">
        <w:tc>
          <w:tcPr>
            <w:tcW w:w="5812"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46613A">
        <w:tc>
          <w:tcPr>
            <w:tcW w:w="5812"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46613A">
        <w:tc>
          <w:tcPr>
            <w:tcW w:w="5812" w:type="dxa"/>
            <w:tcBorders>
              <w:top w:val="nil"/>
              <w:left w:val="nil"/>
              <w:bottom w:val="nil"/>
              <w:right w:val="nil"/>
            </w:tcBorders>
            <w:shd w:val="clear" w:color="auto" w:fill="auto"/>
          </w:tcPr>
          <w:p w:rsidR="005547E6" w:rsidRPr="008337BA" w:rsidRDefault="005547E6" w:rsidP="00C821FD">
            <w:pPr>
              <w:tabs>
                <w:tab w:val="left" w:pos="3828"/>
                <w:tab w:val="left" w:pos="4395"/>
              </w:tabs>
              <w:spacing w:after="0" w:line="240" w:lineRule="auto"/>
              <w:rPr>
                <w:rFonts w:cs="Calibri"/>
                <w:b/>
                <w:sz w:val="24"/>
                <w:szCs w:val="24"/>
                <w:lang w:val="en-US"/>
              </w:rPr>
            </w:pPr>
            <w:r w:rsidRPr="008337BA">
              <w:rPr>
                <w:rFonts w:cs="Calibri"/>
                <w:b/>
                <w:sz w:val="24"/>
                <w:szCs w:val="24"/>
                <w:lang w:val="en-US"/>
              </w:rPr>
              <w:t xml:space="preserve">≤4 years of </w:t>
            </w:r>
            <w:proofErr w:type="spellStart"/>
            <w:r w:rsidRPr="008337BA">
              <w:rPr>
                <w:rFonts w:cs="Calibri"/>
                <w:b/>
                <w:sz w:val="24"/>
                <w:szCs w:val="24"/>
                <w:lang w:val="en-US"/>
              </w:rPr>
              <w:t>TNFi</w:t>
            </w:r>
            <w:proofErr w:type="spellEnd"/>
            <w:r w:rsidRPr="008337BA">
              <w:rPr>
                <w:rFonts w:cs="Calibri"/>
                <w:b/>
                <w:sz w:val="24"/>
                <w:szCs w:val="24"/>
                <w:lang w:val="en-US"/>
              </w:rPr>
              <w:t xml:space="preserve"> use prior to</w:t>
            </w:r>
            <w:r w:rsidR="0046613A" w:rsidRPr="008337BA">
              <w:rPr>
                <w:rFonts w:cs="Calibri"/>
                <w:b/>
                <w:sz w:val="24"/>
                <w:szCs w:val="24"/>
                <w:lang w:val="en-US"/>
              </w:rPr>
              <w:t xml:space="preserve"> each</w:t>
            </w:r>
            <w:r w:rsidRPr="008337BA">
              <w:rPr>
                <w:rFonts w:cs="Calibri"/>
                <w:b/>
                <w:sz w:val="24"/>
                <w:szCs w:val="24"/>
                <w:lang w:val="en-US"/>
              </w:rPr>
              <w:t xml:space="preserve"> radiographic interval</w:t>
            </w:r>
          </w:p>
        </w:tc>
        <w:tc>
          <w:tcPr>
            <w:tcW w:w="992" w:type="dxa"/>
            <w:tcBorders>
              <w:top w:val="nil"/>
              <w:left w:val="nil"/>
              <w:bottom w:val="nil"/>
              <w:right w:val="nil"/>
            </w:tcBorders>
            <w:shd w:val="clear" w:color="auto" w:fill="auto"/>
          </w:tcPr>
          <w:p w:rsidR="005547E6" w:rsidRPr="00F120F2" w:rsidRDefault="00AD56B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0.55</w:t>
            </w:r>
          </w:p>
        </w:tc>
        <w:tc>
          <w:tcPr>
            <w:tcW w:w="1701" w:type="dxa"/>
            <w:tcBorders>
              <w:top w:val="nil"/>
              <w:left w:val="nil"/>
              <w:bottom w:val="nil"/>
              <w:right w:val="nil"/>
            </w:tcBorders>
            <w:shd w:val="clear" w:color="auto" w:fill="auto"/>
          </w:tcPr>
          <w:p w:rsidR="005547E6" w:rsidRPr="00F120F2" w:rsidRDefault="00AD56B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0.31-0.98</w:t>
            </w:r>
          </w:p>
        </w:tc>
        <w:tc>
          <w:tcPr>
            <w:tcW w:w="1276" w:type="dxa"/>
            <w:tcBorders>
              <w:top w:val="nil"/>
              <w:left w:val="nil"/>
              <w:bottom w:val="nil"/>
              <w:right w:val="nil"/>
            </w:tcBorders>
            <w:shd w:val="clear" w:color="auto" w:fill="auto"/>
          </w:tcPr>
          <w:p w:rsidR="005547E6" w:rsidRPr="00F120F2" w:rsidRDefault="00AD56B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0.04</w:t>
            </w:r>
          </w:p>
        </w:tc>
      </w:tr>
      <w:tr w:rsidR="00F120F2" w:rsidRPr="00F120F2" w:rsidTr="0046613A">
        <w:tc>
          <w:tcPr>
            <w:tcW w:w="5812" w:type="dxa"/>
            <w:tcBorders>
              <w:top w:val="nil"/>
              <w:left w:val="nil"/>
              <w:bottom w:val="single" w:sz="4" w:space="0" w:color="auto"/>
              <w:right w:val="nil"/>
            </w:tcBorders>
            <w:shd w:val="clear" w:color="auto" w:fill="auto"/>
          </w:tcPr>
          <w:p w:rsidR="005547E6" w:rsidRPr="008337BA" w:rsidRDefault="005547E6" w:rsidP="00C821FD">
            <w:pPr>
              <w:tabs>
                <w:tab w:val="left" w:pos="3828"/>
                <w:tab w:val="left" w:pos="4395"/>
              </w:tabs>
              <w:spacing w:after="0" w:line="240" w:lineRule="auto"/>
              <w:rPr>
                <w:rFonts w:cs="Calibri"/>
                <w:b/>
                <w:sz w:val="24"/>
                <w:szCs w:val="24"/>
                <w:lang w:val="en-US"/>
              </w:rPr>
            </w:pPr>
            <w:r w:rsidRPr="008337BA">
              <w:rPr>
                <w:rFonts w:cs="Calibri"/>
                <w:b/>
                <w:sz w:val="24"/>
                <w:szCs w:val="24"/>
                <w:lang w:val="en-US"/>
              </w:rPr>
              <w:t xml:space="preserve">&gt;4 years of </w:t>
            </w:r>
            <w:proofErr w:type="spellStart"/>
            <w:r w:rsidRPr="008337BA">
              <w:rPr>
                <w:rFonts w:cs="Calibri"/>
                <w:b/>
                <w:sz w:val="24"/>
                <w:szCs w:val="24"/>
                <w:lang w:val="en-US"/>
              </w:rPr>
              <w:t>TNFi</w:t>
            </w:r>
            <w:proofErr w:type="spellEnd"/>
            <w:r w:rsidRPr="008337BA">
              <w:rPr>
                <w:rFonts w:cs="Calibri"/>
                <w:b/>
                <w:sz w:val="24"/>
                <w:szCs w:val="24"/>
                <w:lang w:val="en-US"/>
              </w:rPr>
              <w:t xml:space="preserve"> use prior to</w:t>
            </w:r>
            <w:r w:rsidR="0046613A" w:rsidRPr="008337BA">
              <w:rPr>
                <w:rFonts w:cs="Calibri"/>
                <w:b/>
                <w:sz w:val="24"/>
                <w:szCs w:val="24"/>
                <w:lang w:val="en-US"/>
              </w:rPr>
              <w:t xml:space="preserve"> each</w:t>
            </w:r>
            <w:r w:rsidRPr="008337BA">
              <w:rPr>
                <w:rFonts w:cs="Calibri"/>
                <w:b/>
                <w:sz w:val="24"/>
                <w:szCs w:val="24"/>
                <w:lang w:val="en-US"/>
              </w:rPr>
              <w:t xml:space="preserve"> radiographic interval</w:t>
            </w:r>
          </w:p>
        </w:tc>
        <w:tc>
          <w:tcPr>
            <w:tcW w:w="992" w:type="dxa"/>
            <w:tcBorders>
              <w:top w:val="nil"/>
              <w:left w:val="nil"/>
              <w:bottom w:val="single" w:sz="4" w:space="0" w:color="auto"/>
              <w:right w:val="nil"/>
            </w:tcBorders>
            <w:shd w:val="clear" w:color="auto" w:fill="auto"/>
          </w:tcPr>
          <w:p w:rsidR="005547E6" w:rsidRPr="00F120F2" w:rsidRDefault="00AD56B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0.30</w:t>
            </w:r>
          </w:p>
        </w:tc>
        <w:tc>
          <w:tcPr>
            <w:tcW w:w="1701" w:type="dxa"/>
            <w:tcBorders>
              <w:top w:val="nil"/>
              <w:left w:val="nil"/>
              <w:bottom w:val="single" w:sz="4" w:space="0" w:color="auto"/>
              <w:right w:val="nil"/>
            </w:tcBorders>
            <w:shd w:val="clear" w:color="auto" w:fill="auto"/>
          </w:tcPr>
          <w:p w:rsidR="005547E6" w:rsidRPr="00F120F2" w:rsidRDefault="00AD56B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0.10-0.90</w:t>
            </w:r>
          </w:p>
        </w:tc>
        <w:tc>
          <w:tcPr>
            <w:tcW w:w="1276" w:type="dxa"/>
            <w:tcBorders>
              <w:top w:val="nil"/>
              <w:left w:val="nil"/>
              <w:bottom w:val="single" w:sz="4" w:space="0" w:color="auto"/>
              <w:right w:val="nil"/>
            </w:tcBorders>
            <w:shd w:val="clear" w:color="auto" w:fill="auto"/>
          </w:tcPr>
          <w:p w:rsidR="005547E6" w:rsidRPr="00F120F2" w:rsidRDefault="00AD56B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0.03</w:t>
            </w:r>
          </w:p>
        </w:tc>
      </w:tr>
      <w:tr w:rsidR="00F120F2" w:rsidRPr="00F120F2" w:rsidTr="0046613A">
        <w:tc>
          <w:tcPr>
            <w:tcW w:w="5812" w:type="dxa"/>
            <w:tcBorders>
              <w:top w:val="single" w:sz="4" w:space="0" w:color="auto"/>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single" w:sz="4" w:space="0" w:color="auto"/>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1.07</w:t>
            </w:r>
          </w:p>
        </w:tc>
        <w:tc>
          <w:tcPr>
            <w:tcW w:w="1701" w:type="dxa"/>
            <w:tcBorders>
              <w:top w:val="single" w:sz="4" w:space="0" w:color="auto"/>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1.04-1.09</w:t>
            </w:r>
          </w:p>
        </w:tc>
        <w:tc>
          <w:tcPr>
            <w:tcW w:w="1276" w:type="dxa"/>
            <w:tcBorders>
              <w:top w:val="single" w:sz="4" w:space="0" w:color="auto"/>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2.25</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1.13-4.46</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0.02</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1.12</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0.98-1.28</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0.11</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1.12</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0.63-1.98</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0.71</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1.02</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0.45-2.27</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0.97</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0.81-1.10</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0.47</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0.89</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0.49-1.60</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0.69</w:t>
            </w:r>
          </w:p>
        </w:tc>
      </w:tr>
      <w:tr w:rsidR="00F120F2" w:rsidRPr="00F120F2" w:rsidTr="0046613A">
        <w:tc>
          <w:tcPr>
            <w:tcW w:w="5812" w:type="dxa"/>
            <w:tcBorders>
              <w:top w:val="nil"/>
              <w:left w:val="nil"/>
              <w:bottom w:val="nil"/>
              <w:right w:val="nil"/>
            </w:tcBorders>
            <w:shd w:val="clear" w:color="auto" w:fill="auto"/>
          </w:tcPr>
          <w:p w:rsidR="005547E6" w:rsidRPr="00F120F2" w:rsidRDefault="0046613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w:t>
            </w:r>
            <w:r w:rsidR="005547E6" w:rsidRPr="00F120F2">
              <w:rPr>
                <w:rFonts w:cs="Calibri"/>
                <w:sz w:val="24"/>
                <w:szCs w:val="24"/>
                <w:lang w:val="en-US"/>
              </w:rPr>
              <w:t xml:space="preserve"> use at start of each radiographic interval</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0.79</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0.39-1.60</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0.51</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1.38</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0.77-2.47</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0.27</w:t>
            </w:r>
          </w:p>
        </w:tc>
      </w:tr>
      <w:tr w:rsidR="00F120F2" w:rsidRPr="00F120F2" w:rsidTr="0046613A">
        <w:tc>
          <w:tcPr>
            <w:tcW w:w="5812"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1.63</w:t>
            </w:r>
          </w:p>
        </w:tc>
        <w:tc>
          <w:tcPr>
            <w:tcW w:w="1701"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0.79-3.39</w:t>
            </w:r>
          </w:p>
        </w:tc>
        <w:tc>
          <w:tcPr>
            <w:tcW w:w="1276" w:type="dxa"/>
            <w:tcBorders>
              <w:top w:val="nil"/>
              <w:left w:val="nil"/>
              <w:bottom w:val="nil"/>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0.19</w:t>
            </w:r>
          </w:p>
        </w:tc>
      </w:tr>
      <w:tr w:rsidR="00F120F2" w:rsidRPr="00F120F2" w:rsidTr="0046613A">
        <w:tc>
          <w:tcPr>
            <w:tcW w:w="5812" w:type="dxa"/>
            <w:tcBorders>
              <w:top w:val="nil"/>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1.65</w:t>
            </w:r>
          </w:p>
        </w:tc>
        <w:tc>
          <w:tcPr>
            <w:tcW w:w="1701" w:type="dxa"/>
            <w:tcBorders>
              <w:top w:val="nil"/>
              <w:left w:val="nil"/>
              <w:bottom w:val="single" w:sz="4" w:space="0" w:color="auto"/>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0.86-3.17</w:t>
            </w:r>
          </w:p>
        </w:tc>
        <w:tc>
          <w:tcPr>
            <w:tcW w:w="1276" w:type="dxa"/>
            <w:tcBorders>
              <w:top w:val="nil"/>
              <w:left w:val="nil"/>
              <w:bottom w:val="single" w:sz="4" w:space="0" w:color="auto"/>
              <w:right w:val="nil"/>
            </w:tcBorders>
            <w:shd w:val="clear" w:color="auto" w:fill="auto"/>
          </w:tcPr>
          <w:p w:rsidR="005547E6" w:rsidRPr="00F120F2" w:rsidRDefault="00773DB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0.14</w:t>
            </w:r>
          </w:p>
        </w:tc>
      </w:tr>
    </w:tbl>
    <w:p w:rsidR="005547E6" w:rsidRPr="00F120F2" w:rsidRDefault="005547E6"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w:t>
      </w:r>
      <w:r w:rsidR="00624CFB" w:rsidRPr="00F120F2">
        <w:rPr>
          <w:sz w:val="24"/>
          <w:szCs w:val="24"/>
          <w:lang w:val="en-US"/>
        </w:rPr>
        <w:t xml:space="preserve"> Spondylitis Spine Score; NSAID</w:t>
      </w:r>
      <w:r w:rsidRPr="00F120F2">
        <w:rPr>
          <w:sz w:val="24"/>
          <w:szCs w:val="24"/>
          <w:lang w:val="en-US"/>
        </w:rPr>
        <w:t xml:space="preserve"> = Nonsteroidal anti-inflammatory drug;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5547E6" w:rsidRPr="00F120F2" w:rsidRDefault="005547E6" w:rsidP="00C821FD">
      <w:pPr>
        <w:tabs>
          <w:tab w:val="left" w:pos="3828"/>
          <w:tab w:val="left" w:pos="4395"/>
        </w:tabs>
        <w:spacing w:after="0" w:line="240" w:lineRule="auto"/>
        <w:rPr>
          <w:rFonts w:cs="Calibri"/>
          <w:sz w:val="24"/>
          <w:szCs w:val="24"/>
          <w:lang w:val="en-US"/>
        </w:rPr>
      </w:pPr>
    </w:p>
    <w:p w:rsidR="004F265B" w:rsidRPr="00F120F2" w:rsidRDefault="004F265B"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Default="007B3C65"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t>Table S5</w:t>
      </w:r>
      <w:r w:rsidR="005547E6" w:rsidRPr="00F120F2">
        <w:rPr>
          <w:rFonts w:cs="Calibri"/>
          <w:b/>
          <w:sz w:val="24"/>
          <w:szCs w:val="24"/>
          <w:lang w:val="en-US"/>
        </w:rPr>
        <w:t xml:space="preserve">. </w:t>
      </w:r>
      <w:r w:rsidR="005547E6" w:rsidRPr="00F120F2">
        <w:rPr>
          <w:rFonts w:cs="Calibri"/>
          <w:sz w:val="24"/>
          <w:szCs w:val="24"/>
          <w:lang w:val="en-US"/>
        </w:rPr>
        <w:t xml:space="preserve">Multivariable analysis for the identification of factors associated with spinal radiographic progression </w:t>
      </w:r>
    </w:p>
    <w:p w:rsidR="00C821FD" w:rsidRPr="00F120F2" w:rsidRDefault="00C821FD" w:rsidP="00C821FD">
      <w:pPr>
        <w:tabs>
          <w:tab w:val="left" w:pos="3828"/>
          <w:tab w:val="left" w:pos="4395"/>
        </w:tabs>
        <w:spacing w:after="0" w:line="240" w:lineRule="auto"/>
        <w:rPr>
          <w:rFonts w:cs="Calibri"/>
          <w:b/>
          <w:sz w:val="24"/>
          <w:szCs w:val="24"/>
          <w:lang w:val="en-US"/>
        </w:rPr>
      </w:pPr>
      <w:r>
        <w:rPr>
          <w:rFonts w:cs="Calibri"/>
          <w:sz w:val="24"/>
          <w:szCs w:val="24"/>
          <w:lang w:val="en-US"/>
        </w:rPr>
        <w:t>(</w:t>
      </w:r>
      <w:proofErr w:type="gramStart"/>
      <w:r>
        <w:rPr>
          <w:rFonts w:cs="Calibri"/>
          <w:sz w:val="24"/>
          <w:szCs w:val="24"/>
          <w:lang w:val="en-US"/>
        </w:rPr>
        <w:t>alternative</w:t>
      </w:r>
      <w:proofErr w:type="gramEnd"/>
      <w:r>
        <w:rPr>
          <w:rFonts w:cs="Calibri"/>
          <w:sz w:val="24"/>
          <w:szCs w:val="24"/>
          <w:lang w:val="en-US"/>
        </w:rPr>
        <w:t xml:space="preserve"> </w:t>
      </w:r>
      <w:proofErr w:type="spellStart"/>
      <w:r>
        <w:rPr>
          <w:rFonts w:cs="Calibri"/>
          <w:sz w:val="24"/>
          <w:szCs w:val="24"/>
          <w:lang w:val="en-US"/>
        </w:rPr>
        <w:t>TNFi</w:t>
      </w:r>
      <w:proofErr w:type="spellEnd"/>
      <w:r>
        <w:rPr>
          <w:rFonts w:cs="Calibri"/>
          <w:sz w:val="24"/>
          <w:szCs w:val="24"/>
          <w:lang w:val="en-US"/>
        </w:rPr>
        <w:t xml:space="preserve"> variable; model corresponds to model 4 in Table 3 of main manuscript) </w:t>
      </w:r>
      <w:r w:rsidRPr="00F120F2">
        <w:rPr>
          <w:rFonts w:cs="Calibri"/>
          <w:sz w:val="24"/>
          <w:szCs w:val="24"/>
          <w:lang w:val="en-US"/>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92"/>
        <w:gridCol w:w="1701"/>
        <w:gridCol w:w="1276"/>
      </w:tblGrid>
      <w:tr w:rsidR="00F120F2" w:rsidRPr="007049E3" w:rsidTr="0046613A">
        <w:tc>
          <w:tcPr>
            <w:tcW w:w="5954"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46613A">
        <w:tc>
          <w:tcPr>
            <w:tcW w:w="5954"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46613A">
        <w:tc>
          <w:tcPr>
            <w:tcW w:w="5954" w:type="dxa"/>
            <w:tcBorders>
              <w:top w:val="nil"/>
              <w:left w:val="nil"/>
              <w:bottom w:val="nil"/>
              <w:right w:val="nil"/>
            </w:tcBorders>
            <w:shd w:val="clear" w:color="auto" w:fill="auto"/>
          </w:tcPr>
          <w:p w:rsidR="005547E6" w:rsidRPr="008337BA" w:rsidRDefault="005547E6" w:rsidP="00C821FD">
            <w:pPr>
              <w:tabs>
                <w:tab w:val="left" w:pos="3828"/>
                <w:tab w:val="left" w:pos="4395"/>
              </w:tabs>
              <w:spacing w:after="0" w:line="240" w:lineRule="auto"/>
              <w:rPr>
                <w:rFonts w:cs="Calibri"/>
                <w:b/>
                <w:sz w:val="24"/>
                <w:szCs w:val="24"/>
                <w:lang w:val="en-US"/>
              </w:rPr>
            </w:pPr>
            <w:proofErr w:type="spellStart"/>
            <w:r w:rsidRPr="008337BA">
              <w:rPr>
                <w:rFonts w:cs="Calibri"/>
                <w:b/>
                <w:sz w:val="24"/>
                <w:szCs w:val="24"/>
                <w:lang w:val="en-US"/>
              </w:rPr>
              <w:t>TNFi</w:t>
            </w:r>
            <w:proofErr w:type="spellEnd"/>
            <w:r w:rsidRPr="008337BA">
              <w:rPr>
                <w:rFonts w:cs="Calibri"/>
                <w:b/>
                <w:sz w:val="24"/>
                <w:szCs w:val="24"/>
                <w:lang w:val="en-US"/>
              </w:rPr>
              <w:t xml:space="preserve"> use prior to</w:t>
            </w:r>
            <w:r w:rsidR="0046613A" w:rsidRPr="008337BA">
              <w:rPr>
                <w:rFonts w:cs="Calibri"/>
                <w:b/>
                <w:sz w:val="24"/>
                <w:szCs w:val="24"/>
                <w:lang w:val="en-US"/>
              </w:rPr>
              <w:t xml:space="preserve"> each</w:t>
            </w:r>
            <w:r w:rsidRPr="008337BA">
              <w:rPr>
                <w:rFonts w:cs="Calibri"/>
                <w:b/>
                <w:sz w:val="24"/>
                <w:szCs w:val="24"/>
                <w:lang w:val="en-US"/>
              </w:rPr>
              <w:t xml:space="preserve"> radiographic interval yes vs. no</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0.52</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0.27-0.98</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0.05</w:t>
            </w:r>
          </w:p>
        </w:tc>
      </w:tr>
      <w:tr w:rsidR="00F120F2" w:rsidRPr="00F120F2" w:rsidTr="0046613A">
        <w:tc>
          <w:tcPr>
            <w:tcW w:w="5954" w:type="dxa"/>
            <w:tcBorders>
              <w:top w:val="nil"/>
              <w:left w:val="nil"/>
              <w:bottom w:val="nil"/>
              <w:right w:val="nil"/>
            </w:tcBorders>
            <w:shd w:val="clear" w:color="auto" w:fill="auto"/>
          </w:tcPr>
          <w:p w:rsidR="005547E6" w:rsidRPr="008337BA" w:rsidRDefault="005547E6" w:rsidP="00C821FD">
            <w:pPr>
              <w:tabs>
                <w:tab w:val="left" w:pos="3828"/>
                <w:tab w:val="left" w:pos="4395"/>
              </w:tabs>
              <w:spacing w:after="0" w:line="240" w:lineRule="auto"/>
              <w:rPr>
                <w:rFonts w:cs="Calibri"/>
                <w:b/>
                <w:sz w:val="24"/>
                <w:szCs w:val="24"/>
                <w:lang w:val="en-US"/>
              </w:rPr>
            </w:pPr>
            <w:proofErr w:type="spellStart"/>
            <w:r w:rsidRPr="008337BA">
              <w:rPr>
                <w:rFonts w:cs="Calibri"/>
                <w:b/>
                <w:sz w:val="24"/>
                <w:szCs w:val="24"/>
                <w:lang w:val="en-US"/>
              </w:rPr>
              <w:t>TNFi</w:t>
            </w:r>
            <w:proofErr w:type="spellEnd"/>
            <w:r w:rsidRPr="008337BA">
              <w:rPr>
                <w:rFonts w:cs="Calibri"/>
                <w:b/>
                <w:sz w:val="24"/>
                <w:szCs w:val="24"/>
                <w:lang w:val="en-US"/>
              </w:rPr>
              <w:t xml:space="preserve"> use during the radiographic interval yes vs. no</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0.87</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0.49-1.56</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0.64</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1.07</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1.04-1.09</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2.20</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1.10-4.37</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0.03</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1.11</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0.97-1.27</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0.14</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1.14</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0.64-2.03</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0.66</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0.46-2.34</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0.93</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0.82-1.10</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0.48</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0.92</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0.51-1.67</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0.79</w:t>
            </w:r>
          </w:p>
        </w:tc>
      </w:tr>
      <w:tr w:rsidR="00F120F2" w:rsidRPr="00F120F2" w:rsidTr="0046613A">
        <w:tc>
          <w:tcPr>
            <w:tcW w:w="5954" w:type="dxa"/>
            <w:tcBorders>
              <w:top w:val="nil"/>
              <w:left w:val="nil"/>
              <w:bottom w:val="nil"/>
              <w:right w:val="nil"/>
            </w:tcBorders>
            <w:shd w:val="clear" w:color="auto" w:fill="auto"/>
          </w:tcPr>
          <w:p w:rsidR="005547E6" w:rsidRPr="00F120F2" w:rsidRDefault="0046613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w:t>
            </w:r>
            <w:r w:rsidR="005547E6" w:rsidRPr="00F120F2">
              <w:rPr>
                <w:rFonts w:cs="Calibri"/>
                <w:sz w:val="24"/>
                <w:szCs w:val="24"/>
                <w:lang w:val="en-US"/>
              </w:rPr>
              <w:t xml:space="preserve"> use at start of each radiographic interval</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0.84</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0.41-1.70</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0.62</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1.38</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0.77-2.45</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0.28</w:t>
            </w:r>
          </w:p>
        </w:tc>
      </w:tr>
      <w:tr w:rsidR="00F120F2" w:rsidRPr="00F120F2" w:rsidTr="0046613A">
        <w:tc>
          <w:tcPr>
            <w:tcW w:w="5954"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1.68</w:t>
            </w:r>
          </w:p>
        </w:tc>
        <w:tc>
          <w:tcPr>
            <w:tcW w:w="1701"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0.81-3.51</w:t>
            </w:r>
          </w:p>
        </w:tc>
        <w:tc>
          <w:tcPr>
            <w:tcW w:w="1276" w:type="dxa"/>
            <w:tcBorders>
              <w:top w:val="nil"/>
              <w:left w:val="nil"/>
              <w:bottom w:val="nil"/>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0.17</w:t>
            </w:r>
          </w:p>
        </w:tc>
      </w:tr>
      <w:tr w:rsidR="00F120F2" w:rsidRPr="00F120F2" w:rsidTr="0046613A">
        <w:tc>
          <w:tcPr>
            <w:tcW w:w="5954" w:type="dxa"/>
            <w:tcBorders>
              <w:top w:val="nil"/>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1.66</w:t>
            </w:r>
          </w:p>
        </w:tc>
        <w:tc>
          <w:tcPr>
            <w:tcW w:w="1701" w:type="dxa"/>
            <w:tcBorders>
              <w:top w:val="nil"/>
              <w:left w:val="nil"/>
              <w:bottom w:val="single" w:sz="4" w:space="0" w:color="auto"/>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0.86-3.20</w:t>
            </w:r>
          </w:p>
        </w:tc>
        <w:tc>
          <w:tcPr>
            <w:tcW w:w="1276" w:type="dxa"/>
            <w:tcBorders>
              <w:top w:val="nil"/>
              <w:left w:val="nil"/>
              <w:bottom w:val="single" w:sz="4" w:space="0" w:color="auto"/>
              <w:right w:val="nil"/>
            </w:tcBorders>
            <w:shd w:val="clear" w:color="auto" w:fill="auto"/>
          </w:tcPr>
          <w:p w:rsidR="005547E6" w:rsidRPr="00F120F2" w:rsidRDefault="003316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0.13</w:t>
            </w:r>
          </w:p>
        </w:tc>
      </w:tr>
    </w:tbl>
    <w:p w:rsidR="005547E6" w:rsidRPr="00F120F2" w:rsidRDefault="005547E6"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w:t>
      </w:r>
      <w:r w:rsidR="00624CFB" w:rsidRPr="00F120F2">
        <w:rPr>
          <w:sz w:val="24"/>
          <w:szCs w:val="24"/>
          <w:lang w:val="en-US"/>
        </w:rPr>
        <w:t xml:space="preserve"> Spondylitis Spine Score; NSAID</w:t>
      </w:r>
      <w:r w:rsidRPr="00F120F2">
        <w:rPr>
          <w:sz w:val="24"/>
          <w:szCs w:val="24"/>
          <w:lang w:val="en-US"/>
        </w:rPr>
        <w:t xml:space="preserve"> = Nons</w:t>
      </w:r>
      <w:r w:rsidR="00624CFB" w:rsidRPr="00F120F2">
        <w:rPr>
          <w:sz w:val="24"/>
          <w:szCs w:val="24"/>
          <w:lang w:val="en-US"/>
        </w:rPr>
        <w:t>teroidal anti-inflammatory drug</w:t>
      </w:r>
      <w:r w:rsidRPr="00F120F2">
        <w:rPr>
          <w:sz w:val="24"/>
          <w:szCs w:val="24"/>
          <w:lang w:val="en-US"/>
        </w:rPr>
        <w:t xml:space="preserve">;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Default="007B3C65"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t>Table S6</w:t>
      </w:r>
      <w:r w:rsidR="005547E6" w:rsidRPr="00F120F2">
        <w:rPr>
          <w:rFonts w:cs="Calibri"/>
          <w:b/>
          <w:sz w:val="24"/>
          <w:szCs w:val="24"/>
          <w:lang w:val="en-US"/>
        </w:rPr>
        <w:t xml:space="preserve">. </w:t>
      </w:r>
      <w:r w:rsidR="005547E6" w:rsidRPr="00F120F2">
        <w:rPr>
          <w:rFonts w:cs="Calibri"/>
          <w:sz w:val="24"/>
          <w:szCs w:val="24"/>
          <w:lang w:val="en-US"/>
        </w:rPr>
        <w:t xml:space="preserve">Multivariable analysis for the identification of factors associated with spinal radiographic progression </w:t>
      </w:r>
    </w:p>
    <w:p w:rsidR="00C821FD" w:rsidRPr="00F120F2" w:rsidRDefault="00C821FD" w:rsidP="00C821FD">
      <w:pPr>
        <w:tabs>
          <w:tab w:val="left" w:pos="3828"/>
          <w:tab w:val="left" w:pos="4395"/>
        </w:tabs>
        <w:spacing w:after="0" w:line="240" w:lineRule="auto"/>
        <w:rPr>
          <w:rFonts w:cs="Calibri"/>
          <w:b/>
          <w:sz w:val="24"/>
          <w:szCs w:val="24"/>
          <w:lang w:val="en-US"/>
        </w:rPr>
      </w:pPr>
      <w:r>
        <w:rPr>
          <w:rFonts w:cs="Calibri"/>
          <w:sz w:val="24"/>
          <w:szCs w:val="24"/>
          <w:lang w:val="en-US"/>
        </w:rPr>
        <w:t>(</w:t>
      </w:r>
      <w:proofErr w:type="gramStart"/>
      <w:r>
        <w:rPr>
          <w:rFonts w:cs="Calibri"/>
          <w:sz w:val="24"/>
          <w:szCs w:val="24"/>
          <w:lang w:val="en-US"/>
        </w:rPr>
        <w:t>alternative</w:t>
      </w:r>
      <w:proofErr w:type="gramEnd"/>
      <w:r>
        <w:rPr>
          <w:rFonts w:cs="Calibri"/>
          <w:sz w:val="24"/>
          <w:szCs w:val="24"/>
          <w:lang w:val="en-US"/>
        </w:rPr>
        <w:t xml:space="preserve"> </w:t>
      </w:r>
      <w:proofErr w:type="spellStart"/>
      <w:r>
        <w:rPr>
          <w:rFonts w:cs="Calibri"/>
          <w:sz w:val="24"/>
          <w:szCs w:val="24"/>
          <w:lang w:val="en-US"/>
        </w:rPr>
        <w:t>TNFi</w:t>
      </w:r>
      <w:proofErr w:type="spellEnd"/>
      <w:r>
        <w:rPr>
          <w:rFonts w:cs="Calibri"/>
          <w:sz w:val="24"/>
          <w:szCs w:val="24"/>
          <w:lang w:val="en-US"/>
        </w:rPr>
        <w:t xml:space="preserve"> variable; model corresponds to model 5 in Table 3 of main manuscript) </w:t>
      </w:r>
      <w:r w:rsidRPr="00F120F2">
        <w:rPr>
          <w:rFonts w:cs="Calibri"/>
          <w:sz w:val="24"/>
          <w:szCs w:val="24"/>
          <w:lang w:val="en-US"/>
        </w:rPr>
        <w:t xml:space="preserve">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992"/>
        <w:gridCol w:w="1701"/>
        <w:gridCol w:w="1276"/>
      </w:tblGrid>
      <w:tr w:rsidR="00F120F2" w:rsidRPr="007049E3" w:rsidTr="008337BA">
        <w:tc>
          <w:tcPr>
            <w:tcW w:w="6379"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8337BA">
        <w:tc>
          <w:tcPr>
            <w:tcW w:w="6379"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8337BA">
        <w:tc>
          <w:tcPr>
            <w:tcW w:w="6379" w:type="dxa"/>
            <w:tcBorders>
              <w:top w:val="nil"/>
              <w:left w:val="nil"/>
              <w:bottom w:val="nil"/>
              <w:right w:val="nil"/>
            </w:tcBorders>
            <w:shd w:val="clear" w:color="auto" w:fill="auto"/>
          </w:tcPr>
          <w:p w:rsidR="00331621" w:rsidRPr="008337BA" w:rsidRDefault="00331621" w:rsidP="00C821FD">
            <w:pPr>
              <w:tabs>
                <w:tab w:val="left" w:pos="3828"/>
                <w:tab w:val="left" w:pos="4395"/>
              </w:tabs>
              <w:spacing w:after="0" w:line="240" w:lineRule="auto"/>
              <w:rPr>
                <w:rFonts w:cs="Calibri"/>
                <w:b/>
                <w:sz w:val="24"/>
                <w:szCs w:val="24"/>
                <w:lang w:val="en-US"/>
              </w:rPr>
            </w:pPr>
            <w:proofErr w:type="spellStart"/>
            <w:r w:rsidRPr="008337BA">
              <w:rPr>
                <w:rFonts w:cs="Calibri"/>
                <w:b/>
                <w:sz w:val="24"/>
                <w:szCs w:val="24"/>
                <w:lang w:val="en-US"/>
              </w:rPr>
              <w:t>TNFi</w:t>
            </w:r>
            <w:proofErr w:type="spellEnd"/>
            <w:r w:rsidRPr="008337BA">
              <w:rPr>
                <w:rFonts w:cs="Calibri"/>
                <w:b/>
                <w:sz w:val="24"/>
                <w:szCs w:val="24"/>
                <w:lang w:val="en-US"/>
              </w:rPr>
              <w:t xml:space="preserve"> use prior to</w:t>
            </w:r>
            <w:r w:rsidR="0046613A" w:rsidRPr="008337BA">
              <w:rPr>
                <w:rFonts w:cs="Calibri"/>
                <w:b/>
                <w:sz w:val="24"/>
                <w:szCs w:val="24"/>
                <w:lang w:val="en-US"/>
              </w:rPr>
              <w:t xml:space="preserve"> each</w:t>
            </w:r>
            <w:r w:rsidRPr="008337BA">
              <w:rPr>
                <w:rFonts w:cs="Calibri"/>
                <w:b/>
                <w:sz w:val="24"/>
                <w:szCs w:val="24"/>
                <w:lang w:val="en-US"/>
              </w:rPr>
              <w:t xml:space="preserve"> radiographic interval yes vs. no</w:t>
            </w:r>
          </w:p>
        </w:tc>
        <w:tc>
          <w:tcPr>
            <w:tcW w:w="992" w:type="dxa"/>
            <w:tcBorders>
              <w:top w:val="nil"/>
              <w:left w:val="nil"/>
              <w:bottom w:val="nil"/>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0.54</w:t>
            </w:r>
          </w:p>
        </w:tc>
        <w:tc>
          <w:tcPr>
            <w:tcW w:w="1701" w:type="dxa"/>
            <w:tcBorders>
              <w:top w:val="nil"/>
              <w:left w:val="nil"/>
              <w:bottom w:val="nil"/>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0.28-1.03</w:t>
            </w:r>
          </w:p>
        </w:tc>
        <w:tc>
          <w:tcPr>
            <w:tcW w:w="1276" w:type="dxa"/>
            <w:tcBorders>
              <w:top w:val="nil"/>
              <w:left w:val="nil"/>
              <w:bottom w:val="nil"/>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0.06</w:t>
            </w:r>
          </w:p>
        </w:tc>
      </w:tr>
      <w:tr w:rsidR="00F120F2" w:rsidRPr="00F120F2" w:rsidTr="008337BA">
        <w:tc>
          <w:tcPr>
            <w:tcW w:w="6379" w:type="dxa"/>
            <w:tcBorders>
              <w:top w:val="nil"/>
              <w:left w:val="nil"/>
              <w:bottom w:val="nil"/>
              <w:right w:val="nil"/>
            </w:tcBorders>
            <w:shd w:val="clear" w:color="auto" w:fill="auto"/>
          </w:tcPr>
          <w:p w:rsidR="00331621" w:rsidRPr="008337BA" w:rsidRDefault="00331621" w:rsidP="00C821FD">
            <w:pPr>
              <w:tabs>
                <w:tab w:val="left" w:pos="3828"/>
                <w:tab w:val="left" w:pos="4395"/>
              </w:tabs>
              <w:spacing w:after="0" w:line="240" w:lineRule="auto"/>
              <w:rPr>
                <w:rFonts w:cs="Calibri"/>
                <w:b/>
                <w:sz w:val="24"/>
                <w:szCs w:val="24"/>
                <w:lang w:val="en-US"/>
              </w:rPr>
            </w:pPr>
            <w:proofErr w:type="spellStart"/>
            <w:r w:rsidRPr="008337BA">
              <w:rPr>
                <w:rFonts w:cs="Calibri"/>
                <w:b/>
                <w:sz w:val="24"/>
                <w:szCs w:val="24"/>
                <w:lang w:val="en-US"/>
              </w:rPr>
              <w:t>TNFi</w:t>
            </w:r>
            <w:proofErr w:type="spellEnd"/>
            <w:r w:rsidRPr="008337BA">
              <w:rPr>
                <w:rFonts w:cs="Calibri"/>
                <w:b/>
                <w:sz w:val="24"/>
                <w:szCs w:val="24"/>
                <w:lang w:val="en-US"/>
              </w:rPr>
              <w:t xml:space="preserve"> use during ≤50% of duration of radiographic interval </w:t>
            </w:r>
          </w:p>
        </w:tc>
        <w:tc>
          <w:tcPr>
            <w:tcW w:w="992" w:type="dxa"/>
            <w:tcBorders>
              <w:top w:val="nil"/>
              <w:left w:val="nil"/>
              <w:bottom w:val="nil"/>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1.41</w:t>
            </w:r>
          </w:p>
        </w:tc>
        <w:tc>
          <w:tcPr>
            <w:tcW w:w="1701" w:type="dxa"/>
            <w:tcBorders>
              <w:top w:val="nil"/>
              <w:left w:val="nil"/>
              <w:bottom w:val="nil"/>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0.66-3.00</w:t>
            </w:r>
          </w:p>
        </w:tc>
        <w:tc>
          <w:tcPr>
            <w:tcW w:w="1276" w:type="dxa"/>
            <w:tcBorders>
              <w:top w:val="nil"/>
              <w:left w:val="nil"/>
              <w:bottom w:val="nil"/>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0.37</w:t>
            </w:r>
          </w:p>
        </w:tc>
      </w:tr>
      <w:tr w:rsidR="00F120F2" w:rsidRPr="00F120F2" w:rsidTr="008337BA">
        <w:tc>
          <w:tcPr>
            <w:tcW w:w="6379" w:type="dxa"/>
            <w:tcBorders>
              <w:top w:val="nil"/>
              <w:left w:val="nil"/>
              <w:bottom w:val="single" w:sz="4" w:space="0" w:color="auto"/>
              <w:right w:val="nil"/>
            </w:tcBorders>
            <w:shd w:val="clear" w:color="auto" w:fill="auto"/>
          </w:tcPr>
          <w:p w:rsidR="00331621" w:rsidRPr="008337BA" w:rsidRDefault="00331621" w:rsidP="00C821FD">
            <w:pPr>
              <w:tabs>
                <w:tab w:val="left" w:pos="3828"/>
                <w:tab w:val="left" w:pos="4395"/>
              </w:tabs>
              <w:spacing w:after="0" w:line="240" w:lineRule="auto"/>
              <w:rPr>
                <w:rFonts w:cs="Calibri"/>
                <w:b/>
                <w:sz w:val="24"/>
                <w:szCs w:val="24"/>
                <w:lang w:val="en-US"/>
              </w:rPr>
            </w:pPr>
            <w:proofErr w:type="spellStart"/>
            <w:r w:rsidRPr="008337BA">
              <w:rPr>
                <w:rFonts w:cs="Calibri"/>
                <w:b/>
                <w:sz w:val="24"/>
                <w:szCs w:val="24"/>
                <w:lang w:val="en-US"/>
              </w:rPr>
              <w:t>TNFi</w:t>
            </w:r>
            <w:proofErr w:type="spellEnd"/>
            <w:r w:rsidRPr="008337BA">
              <w:rPr>
                <w:rFonts w:cs="Calibri"/>
                <w:b/>
                <w:sz w:val="24"/>
                <w:szCs w:val="24"/>
                <w:lang w:val="en-US"/>
              </w:rPr>
              <w:t xml:space="preserve"> use during &gt;50% of duration of radiographic interval </w:t>
            </w:r>
          </w:p>
        </w:tc>
        <w:tc>
          <w:tcPr>
            <w:tcW w:w="992" w:type="dxa"/>
            <w:tcBorders>
              <w:top w:val="nil"/>
              <w:left w:val="nil"/>
              <w:bottom w:val="single" w:sz="4" w:space="0" w:color="auto"/>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w:t>
            </w:r>
          </w:p>
        </w:tc>
        <w:tc>
          <w:tcPr>
            <w:tcW w:w="1701" w:type="dxa"/>
            <w:tcBorders>
              <w:top w:val="nil"/>
              <w:left w:val="nil"/>
              <w:bottom w:val="single" w:sz="4" w:space="0" w:color="auto"/>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0.43-1.50</w:t>
            </w:r>
          </w:p>
        </w:tc>
        <w:tc>
          <w:tcPr>
            <w:tcW w:w="1276" w:type="dxa"/>
            <w:tcBorders>
              <w:top w:val="nil"/>
              <w:left w:val="nil"/>
              <w:bottom w:val="single" w:sz="4" w:space="0" w:color="auto"/>
              <w:right w:val="nil"/>
            </w:tcBorders>
            <w:shd w:val="clear" w:color="auto" w:fill="auto"/>
          </w:tcPr>
          <w:p w:rsidR="00331621"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0.50</w:t>
            </w:r>
          </w:p>
        </w:tc>
      </w:tr>
      <w:tr w:rsidR="00F120F2" w:rsidRPr="00F120F2" w:rsidTr="008337BA">
        <w:tc>
          <w:tcPr>
            <w:tcW w:w="6379" w:type="dxa"/>
            <w:tcBorders>
              <w:top w:val="single" w:sz="4" w:space="0" w:color="auto"/>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single" w:sz="4" w:space="0" w:color="auto"/>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1.07</w:t>
            </w:r>
          </w:p>
        </w:tc>
        <w:tc>
          <w:tcPr>
            <w:tcW w:w="1701" w:type="dxa"/>
            <w:tcBorders>
              <w:top w:val="single" w:sz="4" w:space="0" w:color="auto"/>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1.04-1.09</w:t>
            </w:r>
          </w:p>
        </w:tc>
        <w:tc>
          <w:tcPr>
            <w:tcW w:w="1276" w:type="dxa"/>
            <w:tcBorders>
              <w:top w:val="single" w:sz="4" w:space="0" w:color="auto"/>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2.24</w:t>
            </w:r>
          </w:p>
        </w:tc>
        <w:tc>
          <w:tcPr>
            <w:tcW w:w="1701" w:type="dxa"/>
            <w:tcBorders>
              <w:top w:val="nil"/>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1.11-4.52</w:t>
            </w:r>
          </w:p>
        </w:tc>
        <w:tc>
          <w:tcPr>
            <w:tcW w:w="1276" w:type="dxa"/>
            <w:tcBorders>
              <w:top w:val="nil"/>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0.03</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1.11</w:t>
            </w:r>
          </w:p>
        </w:tc>
        <w:tc>
          <w:tcPr>
            <w:tcW w:w="1701" w:type="dxa"/>
            <w:tcBorders>
              <w:top w:val="nil"/>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0.98-1.27</w:t>
            </w:r>
          </w:p>
        </w:tc>
        <w:tc>
          <w:tcPr>
            <w:tcW w:w="1276" w:type="dxa"/>
            <w:tcBorders>
              <w:top w:val="nil"/>
              <w:left w:val="nil"/>
              <w:bottom w:val="nil"/>
              <w:right w:val="nil"/>
            </w:tcBorders>
            <w:shd w:val="clear" w:color="auto" w:fill="auto"/>
          </w:tcPr>
          <w:p w:rsidR="005547E6" w:rsidRPr="00F120F2" w:rsidRDefault="00714EBF"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0.11</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1.13</w:t>
            </w:r>
          </w:p>
        </w:tc>
        <w:tc>
          <w:tcPr>
            <w:tcW w:w="1701"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0.64-2.02</w:t>
            </w:r>
          </w:p>
        </w:tc>
        <w:tc>
          <w:tcPr>
            <w:tcW w:w="1276"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0.67</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1.02</w:t>
            </w:r>
          </w:p>
        </w:tc>
        <w:tc>
          <w:tcPr>
            <w:tcW w:w="1701"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0.45-2.29</w:t>
            </w:r>
          </w:p>
        </w:tc>
        <w:tc>
          <w:tcPr>
            <w:tcW w:w="1276"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0.97</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0.82-1.09</w:t>
            </w:r>
          </w:p>
        </w:tc>
        <w:tc>
          <w:tcPr>
            <w:tcW w:w="1276"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0.90</w:t>
            </w:r>
          </w:p>
        </w:tc>
        <w:tc>
          <w:tcPr>
            <w:tcW w:w="1701"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0.50-1.63</w:t>
            </w:r>
          </w:p>
        </w:tc>
        <w:tc>
          <w:tcPr>
            <w:tcW w:w="1276"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0.73</w:t>
            </w:r>
          </w:p>
        </w:tc>
      </w:tr>
      <w:tr w:rsidR="00F120F2" w:rsidRPr="00F120F2" w:rsidTr="008337BA">
        <w:tc>
          <w:tcPr>
            <w:tcW w:w="6379" w:type="dxa"/>
            <w:tcBorders>
              <w:top w:val="nil"/>
              <w:left w:val="nil"/>
              <w:bottom w:val="nil"/>
              <w:right w:val="nil"/>
            </w:tcBorders>
            <w:shd w:val="clear" w:color="auto" w:fill="auto"/>
          </w:tcPr>
          <w:p w:rsidR="005547E6" w:rsidRPr="00F120F2" w:rsidRDefault="0046613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w:t>
            </w:r>
            <w:r w:rsidR="005547E6" w:rsidRPr="00F120F2">
              <w:rPr>
                <w:rFonts w:cs="Calibri"/>
                <w:sz w:val="24"/>
                <w:szCs w:val="24"/>
                <w:lang w:val="en-US"/>
              </w:rPr>
              <w:t xml:space="preserve"> use at start of each radiographic interval</w:t>
            </w:r>
          </w:p>
        </w:tc>
        <w:tc>
          <w:tcPr>
            <w:tcW w:w="992"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0.84</w:t>
            </w:r>
          </w:p>
        </w:tc>
        <w:tc>
          <w:tcPr>
            <w:tcW w:w="1701"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0.41-1.72</w:t>
            </w:r>
          </w:p>
        </w:tc>
        <w:tc>
          <w:tcPr>
            <w:tcW w:w="1276"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0.64</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1.34</w:t>
            </w:r>
          </w:p>
        </w:tc>
        <w:tc>
          <w:tcPr>
            <w:tcW w:w="1701"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0.75-2.39</w:t>
            </w:r>
          </w:p>
        </w:tc>
        <w:tc>
          <w:tcPr>
            <w:tcW w:w="1276"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0.32</w:t>
            </w:r>
          </w:p>
        </w:tc>
      </w:tr>
      <w:tr w:rsidR="00F120F2" w:rsidRPr="00F120F2" w:rsidTr="008337BA">
        <w:tc>
          <w:tcPr>
            <w:tcW w:w="6379" w:type="dxa"/>
            <w:tcBorders>
              <w:top w:val="nil"/>
              <w:left w:val="nil"/>
              <w:bottom w:val="nil"/>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1.63</w:t>
            </w:r>
          </w:p>
        </w:tc>
        <w:tc>
          <w:tcPr>
            <w:tcW w:w="1701"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0.79-3.39</w:t>
            </w:r>
          </w:p>
        </w:tc>
        <w:tc>
          <w:tcPr>
            <w:tcW w:w="1276" w:type="dxa"/>
            <w:tcBorders>
              <w:top w:val="nil"/>
              <w:left w:val="nil"/>
              <w:bottom w:val="nil"/>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0.19</w:t>
            </w:r>
          </w:p>
        </w:tc>
      </w:tr>
      <w:tr w:rsidR="00F120F2" w:rsidRPr="00F120F2" w:rsidTr="008337BA">
        <w:tc>
          <w:tcPr>
            <w:tcW w:w="6379" w:type="dxa"/>
            <w:tcBorders>
              <w:top w:val="nil"/>
              <w:left w:val="nil"/>
              <w:bottom w:val="single" w:sz="4" w:space="0" w:color="auto"/>
              <w:right w:val="nil"/>
            </w:tcBorders>
            <w:shd w:val="clear" w:color="auto" w:fill="auto"/>
          </w:tcPr>
          <w:p w:rsidR="005547E6" w:rsidRPr="00F120F2" w:rsidRDefault="005547E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1.63</w:t>
            </w:r>
          </w:p>
        </w:tc>
        <w:tc>
          <w:tcPr>
            <w:tcW w:w="1701" w:type="dxa"/>
            <w:tcBorders>
              <w:top w:val="nil"/>
              <w:left w:val="nil"/>
              <w:bottom w:val="single" w:sz="4" w:space="0" w:color="auto"/>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0.85-3.15</w:t>
            </w:r>
          </w:p>
        </w:tc>
        <w:tc>
          <w:tcPr>
            <w:tcW w:w="1276" w:type="dxa"/>
            <w:tcBorders>
              <w:top w:val="nil"/>
              <w:left w:val="nil"/>
              <w:bottom w:val="single" w:sz="4" w:space="0" w:color="auto"/>
              <w:right w:val="nil"/>
            </w:tcBorders>
            <w:shd w:val="clear" w:color="auto" w:fill="auto"/>
          </w:tcPr>
          <w:p w:rsidR="005547E6" w:rsidRPr="00F120F2" w:rsidRDefault="00527513"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0.14</w:t>
            </w:r>
          </w:p>
        </w:tc>
      </w:tr>
    </w:tbl>
    <w:p w:rsidR="005547E6" w:rsidRPr="00F120F2" w:rsidRDefault="005547E6"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w:t>
      </w:r>
      <w:r w:rsidR="00624CFB" w:rsidRPr="00F120F2">
        <w:rPr>
          <w:sz w:val="24"/>
          <w:szCs w:val="24"/>
          <w:lang w:val="en-US"/>
        </w:rPr>
        <w:t xml:space="preserve"> Spondylitis Spine Score; NSAID</w:t>
      </w:r>
      <w:r w:rsidRPr="00F120F2">
        <w:rPr>
          <w:sz w:val="24"/>
          <w:szCs w:val="24"/>
          <w:lang w:val="en-US"/>
        </w:rPr>
        <w:t xml:space="preserve"> = Nons</w:t>
      </w:r>
      <w:r w:rsidR="00624CFB" w:rsidRPr="00F120F2">
        <w:rPr>
          <w:sz w:val="24"/>
          <w:szCs w:val="24"/>
          <w:lang w:val="en-US"/>
        </w:rPr>
        <w:t>teroidal anti-inflammatory drug</w:t>
      </w:r>
      <w:r w:rsidRPr="00F120F2">
        <w:rPr>
          <w:sz w:val="24"/>
          <w:szCs w:val="24"/>
          <w:lang w:val="en-US"/>
        </w:rPr>
        <w:t xml:space="preserve">;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5547E6" w:rsidRPr="00F120F2" w:rsidRDefault="005547E6" w:rsidP="00C821FD">
      <w:pPr>
        <w:tabs>
          <w:tab w:val="left" w:pos="3828"/>
          <w:tab w:val="left" w:pos="4395"/>
        </w:tabs>
        <w:spacing w:after="0" w:line="240" w:lineRule="auto"/>
        <w:rPr>
          <w:rFonts w:cs="Calibri"/>
          <w:sz w:val="24"/>
          <w:szCs w:val="24"/>
          <w:lang w:val="en-US"/>
        </w:rPr>
      </w:pPr>
    </w:p>
    <w:p w:rsidR="005547E6" w:rsidRPr="00F120F2" w:rsidRDefault="005547E6" w:rsidP="00C821FD">
      <w:pPr>
        <w:tabs>
          <w:tab w:val="left" w:pos="3828"/>
          <w:tab w:val="left" w:pos="4395"/>
        </w:tabs>
        <w:spacing w:after="0" w:line="240" w:lineRule="auto"/>
        <w:rPr>
          <w:rFonts w:cs="Calibri"/>
          <w:sz w:val="24"/>
          <w:szCs w:val="24"/>
          <w:lang w:val="en-US"/>
        </w:rPr>
      </w:pPr>
    </w:p>
    <w:p w:rsidR="00773DB9" w:rsidRPr="00F120F2" w:rsidRDefault="00773DB9" w:rsidP="00C821FD">
      <w:pPr>
        <w:tabs>
          <w:tab w:val="left" w:pos="3828"/>
          <w:tab w:val="left" w:pos="4395"/>
        </w:tabs>
        <w:spacing w:after="0" w:line="240" w:lineRule="auto"/>
        <w:rPr>
          <w:rFonts w:cs="Calibri"/>
          <w:sz w:val="24"/>
          <w:szCs w:val="24"/>
          <w:lang w:val="en-US"/>
        </w:rPr>
      </w:pPr>
    </w:p>
    <w:p w:rsidR="00773DB9" w:rsidRPr="00F120F2" w:rsidRDefault="00773DB9" w:rsidP="00C821FD">
      <w:pPr>
        <w:tabs>
          <w:tab w:val="left" w:pos="3828"/>
          <w:tab w:val="left" w:pos="4395"/>
        </w:tabs>
        <w:spacing w:after="0" w:line="240" w:lineRule="auto"/>
        <w:rPr>
          <w:rFonts w:cs="Calibri"/>
          <w:sz w:val="24"/>
          <w:szCs w:val="24"/>
          <w:lang w:val="en-US"/>
        </w:rPr>
      </w:pPr>
    </w:p>
    <w:p w:rsidR="00773DB9" w:rsidRPr="00F120F2" w:rsidRDefault="00773DB9" w:rsidP="00C821FD">
      <w:pPr>
        <w:tabs>
          <w:tab w:val="left" w:pos="3828"/>
          <w:tab w:val="left" w:pos="4395"/>
        </w:tabs>
        <w:spacing w:after="0" w:line="240" w:lineRule="auto"/>
        <w:rPr>
          <w:rFonts w:cs="Calibri"/>
          <w:sz w:val="24"/>
          <w:szCs w:val="24"/>
          <w:lang w:val="en-US"/>
        </w:rPr>
      </w:pPr>
    </w:p>
    <w:p w:rsidR="00773DB9" w:rsidRPr="00F120F2" w:rsidRDefault="00773DB9" w:rsidP="00C821FD">
      <w:pPr>
        <w:tabs>
          <w:tab w:val="left" w:pos="3828"/>
          <w:tab w:val="left" w:pos="4395"/>
        </w:tabs>
        <w:spacing w:after="0" w:line="240" w:lineRule="auto"/>
        <w:rPr>
          <w:rFonts w:cs="Calibri"/>
          <w:sz w:val="24"/>
          <w:szCs w:val="24"/>
          <w:lang w:val="en-US"/>
        </w:rPr>
      </w:pPr>
    </w:p>
    <w:p w:rsidR="00773DB9" w:rsidRPr="00F120F2" w:rsidRDefault="00773DB9" w:rsidP="00C821FD">
      <w:pPr>
        <w:tabs>
          <w:tab w:val="left" w:pos="3828"/>
          <w:tab w:val="left" w:pos="4395"/>
        </w:tabs>
        <w:spacing w:after="0" w:line="240" w:lineRule="auto"/>
        <w:rPr>
          <w:rFonts w:cs="Calibri"/>
          <w:sz w:val="24"/>
          <w:szCs w:val="24"/>
          <w:lang w:val="en-US"/>
        </w:rPr>
      </w:pPr>
    </w:p>
    <w:p w:rsidR="00773DB9" w:rsidRPr="00F120F2" w:rsidRDefault="00773DB9" w:rsidP="00C821FD">
      <w:pPr>
        <w:tabs>
          <w:tab w:val="left" w:pos="3828"/>
          <w:tab w:val="left" w:pos="4395"/>
        </w:tabs>
        <w:spacing w:after="0" w:line="240" w:lineRule="auto"/>
        <w:rPr>
          <w:rFonts w:cs="Calibri"/>
          <w:sz w:val="24"/>
          <w:szCs w:val="24"/>
          <w:lang w:val="en-US"/>
        </w:rPr>
      </w:pPr>
    </w:p>
    <w:p w:rsidR="00773DB9" w:rsidRPr="00F120F2" w:rsidRDefault="00773DB9" w:rsidP="00C821FD">
      <w:pPr>
        <w:tabs>
          <w:tab w:val="left" w:pos="3828"/>
          <w:tab w:val="left" w:pos="4395"/>
        </w:tabs>
        <w:spacing w:after="0" w:line="240" w:lineRule="auto"/>
        <w:rPr>
          <w:rFonts w:cs="Calibri"/>
          <w:sz w:val="24"/>
          <w:szCs w:val="24"/>
          <w:lang w:val="en-US"/>
        </w:rPr>
      </w:pPr>
    </w:p>
    <w:p w:rsidR="002B7986" w:rsidRPr="00F120F2" w:rsidRDefault="00411549"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t>Table S7</w:t>
      </w:r>
      <w:r w:rsidR="002B7986" w:rsidRPr="00F120F2">
        <w:rPr>
          <w:rFonts w:cs="Calibri"/>
          <w:b/>
          <w:sz w:val="24"/>
          <w:szCs w:val="24"/>
          <w:lang w:val="en-US"/>
        </w:rPr>
        <w:t xml:space="preserve">. </w:t>
      </w:r>
      <w:r w:rsidR="002B7986" w:rsidRPr="00F120F2">
        <w:rPr>
          <w:rFonts w:cs="Calibri"/>
          <w:sz w:val="24"/>
          <w:szCs w:val="24"/>
          <w:lang w:val="en-US"/>
        </w:rPr>
        <w:t xml:space="preserve">Multivariable analysis for the identification of factors associated with spinal radiographic progression </w:t>
      </w:r>
    </w:p>
    <w:p w:rsidR="002B7986" w:rsidRDefault="00C821FD" w:rsidP="00C821FD">
      <w:pPr>
        <w:tabs>
          <w:tab w:val="left" w:pos="3828"/>
          <w:tab w:val="left" w:pos="4395"/>
        </w:tabs>
        <w:spacing w:after="0" w:line="240" w:lineRule="auto"/>
        <w:rPr>
          <w:rFonts w:cs="Calibri"/>
          <w:sz w:val="24"/>
          <w:szCs w:val="24"/>
          <w:lang w:val="en-US"/>
        </w:rPr>
      </w:pPr>
      <w:r>
        <w:rPr>
          <w:rFonts w:cs="Calibri"/>
          <w:sz w:val="24"/>
          <w:szCs w:val="24"/>
          <w:lang w:val="en-US"/>
        </w:rPr>
        <w:t>Sensitivity Analysis for Model in Figure 1: a</w:t>
      </w:r>
      <w:r w:rsidR="002B7986" w:rsidRPr="00F120F2">
        <w:rPr>
          <w:rFonts w:cs="Calibri"/>
          <w:sz w:val="24"/>
          <w:szCs w:val="24"/>
          <w:lang w:val="en-US"/>
        </w:rPr>
        <w:t>lternat</w:t>
      </w:r>
      <w:r>
        <w:rPr>
          <w:rFonts w:cs="Calibri"/>
          <w:sz w:val="24"/>
          <w:szCs w:val="24"/>
          <w:lang w:val="en-US"/>
        </w:rPr>
        <w:t>ive scoring adjudication using the score of the adjudicator instead to the score of the primary reader closest to the adjudicator.</w:t>
      </w:r>
    </w:p>
    <w:p w:rsidR="008337BA" w:rsidRPr="00F120F2" w:rsidRDefault="008337BA" w:rsidP="00C821FD">
      <w:pPr>
        <w:tabs>
          <w:tab w:val="left" w:pos="3828"/>
          <w:tab w:val="left" w:pos="4395"/>
        </w:tabs>
        <w:spacing w:after="0" w:line="240" w:lineRule="auto"/>
        <w:rPr>
          <w:rFonts w:cs="Calibri"/>
          <w:b/>
          <w:sz w:val="24"/>
          <w:szCs w:val="24"/>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92"/>
        <w:gridCol w:w="1701"/>
        <w:gridCol w:w="1276"/>
      </w:tblGrid>
      <w:tr w:rsidR="00F120F2" w:rsidRPr="007049E3" w:rsidTr="009B29F7">
        <w:tc>
          <w:tcPr>
            <w:tcW w:w="5954" w:type="dxa"/>
            <w:tcBorders>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2B7986" w:rsidRPr="00F120F2" w:rsidRDefault="002B798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9B29F7">
        <w:tc>
          <w:tcPr>
            <w:tcW w:w="5954" w:type="dxa"/>
            <w:tcBorders>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9B29F7">
        <w:tc>
          <w:tcPr>
            <w:tcW w:w="5954" w:type="dxa"/>
            <w:tcBorders>
              <w:top w:val="single" w:sz="4" w:space="0" w:color="auto"/>
              <w:left w:val="nil"/>
              <w:bottom w:val="nil"/>
              <w:right w:val="nil"/>
            </w:tcBorders>
            <w:shd w:val="clear" w:color="auto" w:fill="auto"/>
          </w:tcPr>
          <w:p w:rsidR="002B7986" w:rsidRPr="008337BA" w:rsidRDefault="002B7986" w:rsidP="00C821FD">
            <w:pPr>
              <w:tabs>
                <w:tab w:val="left" w:pos="3828"/>
                <w:tab w:val="left" w:pos="4395"/>
              </w:tabs>
              <w:spacing w:after="0" w:line="240" w:lineRule="auto"/>
              <w:rPr>
                <w:rFonts w:cs="Calibri"/>
                <w:sz w:val="24"/>
                <w:szCs w:val="24"/>
                <w:lang w:val="en-US"/>
              </w:rPr>
            </w:pPr>
            <w:proofErr w:type="spellStart"/>
            <w:r w:rsidRPr="008337BA">
              <w:rPr>
                <w:rFonts w:cs="Calibri"/>
                <w:sz w:val="24"/>
                <w:szCs w:val="24"/>
                <w:lang w:val="en-US"/>
              </w:rPr>
              <w:t>TNFi</w:t>
            </w:r>
            <w:proofErr w:type="spellEnd"/>
            <w:r w:rsidRPr="008337BA">
              <w:rPr>
                <w:rFonts w:cs="Calibri"/>
                <w:sz w:val="24"/>
                <w:szCs w:val="24"/>
                <w:lang w:val="en-US"/>
              </w:rPr>
              <w:t xml:space="preserve"> use prior to each radiographic interval yes vs. no</w:t>
            </w:r>
          </w:p>
        </w:tc>
        <w:tc>
          <w:tcPr>
            <w:tcW w:w="992" w:type="dxa"/>
            <w:tcBorders>
              <w:top w:val="single" w:sz="4" w:space="0" w:color="auto"/>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0.51</w:t>
            </w:r>
          </w:p>
        </w:tc>
        <w:tc>
          <w:tcPr>
            <w:tcW w:w="1701" w:type="dxa"/>
            <w:tcBorders>
              <w:top w:val="single" w:sz="4" w:space="0" w:color="auto"/>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0.29-0.88</w:t>
            </w:r>
          </w:p>
        </w:tc>
        <w:tc>
          <w:tcPr>
            <w:tcW w:w="1276" w:type="dxa"/>
            <w:tcBorders>
              <w:top w:val="single" w:sz="4" w:space="0" w:color="auto"/>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0.02</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1.05</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1.03-1.07</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2.63</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1.29-5.35</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0.01</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1.11</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0.96-1.27</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0.16</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0.99</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0.55-1.76</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0.96</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1.00</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0.45-2.23</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1.00</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0.83-1.10</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0.50</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1.02</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0.58-1.79</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0.94</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NSAIDs use at start of each radiographic interval</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0.90</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0.45-1.77</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0.75</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1.47</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0.83-2.61</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0.18</w:t>
            </w:r>
          </w:p>
        </w:tc>
      </w:tr>
      <w:tr w:rsidR="00F120F2" w:rsidRPr="00F120F2" w:rsidTr="009B29F7">
        <w:tc>
          <w:tcPr>
            <w:tcW w:w="5954"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1.61</w:t>
            </w:r>
          </w:p>
        </w:tc>
        <w:tc>
          <w:tcPr>
            <w:tcW w:w="1701"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0.78-3.31</w:t>
            </w:r>
          </w:p>
        </w:tc>
        <w:tc>
          <w:tcPr>
            <w:tcW w:w="1276" w:type="dxa"/>
            <w:tcBorders>
              <w:top w:val="nil"/>
              <w:left w:val="nil"/>
              <w:bottom w:val="nil"/>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0.20</w:t>
            </w:r>
          </w:p>
        </w:tc>
      </w:tr>
      <w:tr w:rsidR="00F120F2" w:rsidRPr="00F120F2" w:rsidTr="009B29F7">
        <w:tc>
          <w:tcPr>
            <w:tcW w:w="5954" w:type="dxa"/>
            <w:tcBorders>
              <w:top w:val="nil"/>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1.34</w:t>
            </w:r>
          </w:p>
        </w:tc>
        <w:tc>
          <w:tcPr>
            <w:tcW w:w="1701" w:type="dxa"/>
            <w:tcBorders>
              <w:top w:val="nil"/>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0.72-2.50</w:t>
            </w:r>
          </w:p>
        </w:tc>
        <w:tc>
          <w:tcPr>
            <w:tcW w:w="1276" w:type="dxa"/>
            <w:tcBorders>
              <w:top w:val="nil"/>
              <w:left w:val="nil"/>
              <w:bottom w:val="single" w:sz="4" w:space="0" w:color="auto"/>
              <w:right w:val="nil"/>
            </w:tcBorders>
            <w:shd w:val="clear" w:color="auto" w:fill="auto"/>
          </w:tcPr>
          <w:p w:rsidR="002B7986" w:rsidRPr="00F120F2" w:rsidRDefault="002B7986"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0.36</w:t>
            </w:r>
          </w:p>
        </w:tc>
      </w:tr>
    </w:tbl>
    <w:p w:rsidR="002B7986" w:rsidRPr="00F120F2" w:rsidRDefault="002B7986"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 Spondylitis Spine Score; NSAIDs = Nonsteroidal anti-inflammatory drugs;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746976" w:rsidRDefault="00746976" w:rsidP="00C821FD">
      <w:pPr>
        <w:spacing w:before="120" w:after="120"/>
        <w:jc w:val="both"/>
        <w:rPr>
          <w:sz w:val="24"/>
          <w:szCs w:val="24"/>
          <w:lang w:val="en-US"/>
        </w:rPr>
      </w:pPr>
    </w:p>
    <w:p w:rsidR="00F120F2" w:rsidRDefault="00F120F2" w:rsidP="00C821FD">
      <w:pPr>
        <w:spacing w:before="120" w:after="120"/>
        <w:jc w:val="both"/>
        <w:rPr>
          <w:sz w:val="24"/>
          <w:szCs w:val="24"/>
          <w:lang w:val="en-US"/>
        </w:rPr>
      </w:pPr>
    </w:p>
    <w:p w:rsidR="00F120F2" w:rsidRDefault="00F120F2" w:rsidP="00C821FD">
      <w:pPr>
        <w:spacing w:before="120" w:after="120"/>
        <w:jc w:val="both"/>
        <w:rPr>
          <w:sz w:val="24"/>
          <w:szCs w:val="24"/>
          <w:lang w:val="en-US"/>
        </w:rPr>
      </w:pPr>
    </w:p>
    <w:p w:rsidR="00746976" w:rsidRPr="00F120F2" w:rsidRDefault="00411549" w:rsidP="00C821FD">
      <w:pPr>
        <w:spacing w:after="0" w:line="240" w:lineRule="auto"/>
        <w:jc w:val="both"/>
        <w:rPr>
          <w:lang w:val="en-US"/>
        </w:rPr>
      </w:pPr>
      <w:r w:rsidRPr="00F120F2">
        <w:rPr>
          <w:b/>
          <w:lang w:val="en-US"/>
        </w:rPr>
        <w:lastRenderedPageBreak/>
        <w:t>Table S8</w:t>
      </w:r>
      <w:r w:rsidR="00746976" w:rsidRPr="00F120F2">
        <w:rPr>
          <w:b/>
          <w:lang w:val="en-US"/>
        </w:rPr>
        <w:t>.</w:t>
      </w:r>
      <w:r w:rsidR="00746976" w:rsidRPr="00F120F2">
        <w:rPr>
          <w:lang w:val="en-US"/>
        </w:rPr>
        <w:t xml:space="preserve"> Baseline characteristics of patients with different number of radiographic intervals.</w:t>
      </w:r>
    </w:p>
    <w:p w:rsidR="00746976" w:rsidRPr="00F120F2" w:rsidRDefault="00746976" w:rsidP="00C821FD">
      <w:pPr>
        <w:spacing w:after="0" w:line="240" w:lineRule="auto"/>
        <w:ind w:left="425"/>
        <w:jc w:val="both"/>
        <w:rPr>
          <w:rFonts w:cs="Calibri"/>
          <w:b/>
          <w:sz w:val="24"/>
          <w:szCs w:val="24"/>
          <w:lang w:val="en-US"/>
        </w:rPr>
      </w:pPr>
    </w:p>
    <w:tbl>
      <w:tblPr>
        <w:tblW w:w="12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734"/>
        <w:gridCol w:w="1618"/>
        <w:gridCol w:w="1750"/>
        <w:gridCol w:w="1559"/>
        <w:gridCol w:w="1472"/>
        <w:gridCol w:w="1029"/>
      </w:tblGrid>
      <w:tr w:rsidR="00F120F2" w:rsidRPr="00F120F2" w:rsidTr="009B29F7">
        <w:trPr>
          <w:trHeight w:val="596"/>
        </w:trPr>
        <w:tc>
          <w:tcPr>
            <w:tcW w:w="3403" w:type="dxa"/>
            <w:tcBorders>
              <w:top w:val="nil"/>
              <w:left w:val="nil"/>
              <w:right w:val="nil"/>
            </w:tcBorders>
            <w:shd w:val="clear" w:color="auto" w:fill="auto"/>
          </w:tcPr>
          <w:p w:rsidR="00746976" w:rsidRPr="00F120F2" w:rsidRDefault="00746976" w:rsidP="00C821FD">
            <w:pPr>
              <w:spacing w:after="0" w:line="240" w:lineRule="auto"/>
              <w:rPr>
                <w:b/>
                <w:sz w:val="24"/>
                <w:szCs w:val="24"/>
                <w:lang w:val="en-US"/>
              </w:rPr>
            </w:pPr>
            <w:r w:rsidRPr="00F120F2">
              <w:rPr>
                <w:lang w:val="en-US"/>
              </w:rPr>
              <w:t xml:space="preserve">                      </w:t>
            </w:r>
          </w:p>
        </w:tc>
        <w:tc>
          <w:tcPr>
            <w:tcW w:w="8133" w:type="dxa"/>
            <w:gridSpan w:val="5"/>
            <w:tcBorders>
              <w:top w:val="single" w:sz="4" w:space="0" w:color="auto"/>
              <w:left w:val="nil"/>
              <w:right w:val="nil"/>
            </w:tcBorders>
            <w:shd w:val="clear" w:color="auto" w:fill="auto"/>
          </w:tcPr>
          <w:p w:rsidR="00746976" w:rsidRPr="00F120F2" w:rsidRDefault="00746976" w:rsidP="00C821FD">
            <w:pPr>
              <w:spacing w:after="0" w:line="240" w:lineRule="auto"/>
              <w:jc w:val="center"/>
              <w:rPr>
                <w:b/>
                <w:sz w:val="24"/>
                <w:szCs w:val="24"/>
                <w:lang w:val="en-US"/>
              </w:rPr>
            </w:pPr>
            <w:r w:rsidRPr="00F120F2">
              <w:rPr>
                <w:b/>
                <w:sz w:val="24"/>
                <w:szCs w:val="24"/>
                <w:lang w:val="en-US"/>
              </w:rPr>
              <w:t>Number of radiographic intervals</w:t>
            </w:r>
          </w:p>
        </w:tc>
        <w:tc>
          <w:tcPr>
            <w:tcW w:w="1029" w:type="dxa"/>
            <w:tcBorders>
              <w:top w:val="nil"/>
              <w:left w:val="nil"/>
              <w:right w:val="nil"/>
            </w:tcBorders>
            <w:shd w:val="clear" w:color="auto" w:fill="auto"/>
          </w:tcPr>
          <w:p w:rsidR="00746976" w:rsidRPr="00F120F2" w:rsidRDefault="00746976" w:rsidP="00C821FD">
            <w:pPr>
              <w:spacing w:after="0" w:line="240" w:lineRule="auto"/>
              <w:jc w:val="center"/>
              <w:rPr>
                <w:b/>
                <w:sz w:val="24"/>
                <w:szCs w:val="24"/>
                <w:lang w:val="en-US"/>
              </w:rPr>
            </w:pPr>
          </w:p>
        </w:tc>
      </w:tr>
      <w:tr w:rsidR="00F120F2" w:rsidRPr="00F120F2" w:rsidTr="009B29F7">
        <w:tc>
          <w:tcPr>
            <w:tcW w:w="3403" w:type="dxa"/>
            <w:tcBorders>
              <w:top w:val="nil"/>
              <w:left w:val="nil"/>
              <w:bottom w:val="single" w:sz="4" w:space="0" w:color="auto"/>
              <w:right w:val="nil"/>
            </w:tcBorders>
            <w:shd w:val="clear" w:color="auto" w:fill="FFFFFF"/>
          </w:tcPr>
          <w:p w:rsidR="00746976" w:rsidRPr="00F120F2" w:rsidRDefault="00746976" w:rsidP="00C821FD">
            <w:pPr>
              <w:spacing w:after="0" w:line="240" w:lineRule="auto"/>
              <w:rPr>
                <w:sz w:val="24"/>
                <w:szCs w:val="24"/>
                <w:lang w:val="en-US"/>
              </w:rPr>
            </w:pPr>
          </w:p>
        </w:tc>
        <w:tc>
          <w:tcPr>
            <w:tcW w:w="1734" w:type="dxa"/>
            <w:tcBorders>
              <w:top w:val="nil"/>
              <w:left w:val="nil"/>
              <w:bottom w:val="single" w:sz="4" w:space="0" w:color="auto"/>
              <w:right w:val="nil"/>
            </w:tcBorders>
            <w:shd w:val="clear" w:color="auto" w:fill="FFFFFF"/>
          </w:tcPr>
          <w:p w:rsidR="00746976" w:rsidRPr="00F120F2" w:rsidRDefault="00746976" w:rsidP="00C821FD">
            <w:pPr>
              <w:spacing w:after="0" w:line="240" w:lineRule="auto"/>
              <w:jc w:val="center"/>
              <w:rPr>
                <w:b/>
                <w:sz w:val="24"/>
                <w:szCs w:val="24"/>
                <w:lang w:val="en-US"/>
              </w:rPr>
            </w:pPr>
            <w:r w:rsidRPr="00F120F2">
              <w:rPr>
                <w:b/>
                <w:sz w:val="24"/>
                <w:szCs w:val="24"/>
                <w:lang w:val="en-US"/>
              </w:rPr>
              <w:t>1</w:t>
            </w:r>
          </w:p>
          <w:p w:rsidR="00746976" w:rsidRPr="00F120F2" w:rsidRDefault="00746976" w:rsidP="00C821FD">
            <w:pPr>
              <w:spacing w:after="0" w:line="240" w:lineRule="auto"/>
              <w:jc w:val="center"/>
              <w:rPr>
                <w:b/>
                <w:sz w:val="24"/>
                <w:szCs w:val="24"/>
                <w:lang w:val="en-US"/>
              </w:rPr>
            </w:pPr>
            <w:r w:rsidRPr="00F120F2">
              <w:rPr>
                <w:b/>
                <w:sz w:val="24"/>
                <w:szCs w:val="24"/>
                <w:lang w:val="en-US"/>
              </w:rPr>
              <w:t>N=304</w:t>
            </w:r>
          </w:p>
        </w:tc>
        <w:tc>
          <w:tcPr>
            <w:tcW w:w="1618" w:type="dxa"/>
            <w:tcBorders>
              <w:top w:val="nil"/>
              <w:left w:val="nil"/>
              <w:bottom w:val="single" w:sz="4" w:space="0" w:color="auto"/>
              <w:right w:val="nil"/>
            </w:tcBorders>
            <w:shd w:val="clear" w:color="auto" w:fill="FFFFFF"/>
          </w:tcPr>
          <w:p w:rsidR="00746976" w:rsidRPr="00F120F2" w:rsidRDefault="00746976" w:rsidP="00C821FD">
            <w:pPr>
              <w:spacing w:after="0" w:line="240" w:lineRule="auto"/>
              <w:jc w:val="center"/>
              <w:rPr>
                <w:b/>
                <w:sz w:val="24"/>
                <w:szCs w:val="24"/>
                <w:lang w:val="en-US"/>
              </w:rPr>
            </w:pPr>
            <w:r w:rsidRPr="00F120F2">
              <w:rPr>
                <w:b/>
                <w:sz w:val="24"/>
                <w:szCs w:val="24"/>
                <w:lang w:val="en-US"/>
              </w:rPr>
              <w:t>2</w:t>
            </w:r>
          </w:p>
          <w:p w:rsidR="00746976" w:rsidRPr="00F120F2" w:rsidRDefault="00746976" w:rsidP="00C821FD">
            <w:pPr>
              <w:spacing w:after="0" w:line="240" w:lineRule="auto"/>
              <w:jc w:val="center"/>
              <w:rPr>
                <w:b/>
                <w:sz w:val="24"/>
                <w:szCs w:val="24"/>
                <w:lang w:val="en-US"/>
              </w:rPr>
            </w:pPr>
            <w:r w:rsidRPr="00F120F2">
              <w:rPr>
                <w:b/>
                <w:sz w:val="24"/>
                <w:szCs w:val="24"/>
                <w:lang w:val="en-US"/>
              </w:rPr>
              <w:t>N=83</w:t>
            </w:r>
          </w:p>
        </w:tc>
        <w:tc>
          <w:tcPr>
            <w:tcW w:w="1750" w:type="dxa"/>
            <w:tcBorders>
              <w:top w:val="nil"/>
              <w:left w:val="nil"/>
              <w:bottom w:val="single" w:sz="4" w:space="0" w:color="auto"/>
              <w:right w:val="nil"/>
            </w:tcBorders>
            <w:shd w:val="clear" w:color="auto" w:fill="FFFFFF"/>
          </w:tcPr>
          <w:p w:rsidR="00746976" w:rsidRPr="00F120F2" w:rsidRDefault="00746976" w:rsidP="00C821FD">
            <w:pPr>
              <w:spacing w:after="0" w:line="240" w:lineRule="auto"/>
              <w:jc w:val="center"/>
              <w:rPr>
                <w:b/>
                <w:sz w:val="24"/>
                <w:szCs w:val="24"/>
                <w:lang w:val="en-US"/>
              </w:rPr>
            </w:pPr>
            <w:r w:rsidRPr="00F120F2">
              <w:rPr>
                <w:b/>
                <w:sz w:val="24"/>
                <w:szCs w:val="24"/>
                <w:lang w:val="en-US"/>
              </w:rPr>
              <w:t>3</w:t>
            </w:r>
          </w:p>
          <w:p w:rsidR="00746976" w:rsidRPr="00F120F2" w:rsidRDefault="00746976" w:rsidP="00C821FD">
            <w:pPr>
              <w:spacing w:after="0" w:line="240" w:lineRule="auto"/>
              <w:jc w:val="center"/>
              <w:rPr>
                <w:b/>
                <w:sz w:val="24"/>
                <w:szCs w:val="24"/>
                <w:lang w:val="en-US"/>
              </w:rPr>
            </w:pPr>
            <w:r w:rsidRPr="00F120F2">
              <w:rPr>
                <w:b/>
                <w:sz w:val="24"/>
                <w:szCs w:val="24"/>
                <w:lang w:val="en-US"/>
              </w:rPr>
              <w:t>N=35</w:t>
            </w:r>
          </w:p>
        </w:tc>
        <w:tc>
          <w:tcPr>
            <w:tcW w:w="1559" w:type="dxa"/>
            <w:tcBorders>
              <w:top w:val="nil"/>
              <w:left w:val="nil"/>
              <w:bottom w:val="single" w:sz="4" w:space="0" w:color="auto"/>
              <w:right w:val="nil"/>
            </w:tcBorders>
            <w:shd w:val="clear" w:color="auto" w:fill="FFFFFF"/>
          </w:tcPr>
          <w:p w:rsidR="00746976" w:rsidRPr="00F120F2" w:rsidRDefault="00746976" w:rsidP="00C821FD">
            <w:pPr>
              <w:spacing w:after="0" w:line="240" w:lineRule="auto"/>
              <w:jc w:val="center"/>
              <w:rPr>
                <w:b/>
                <w:sz w:val="24"/>
                <w:szCs w:val="24"/>
                <w:lang w:val="en-US"/>
              </w:rPr>
            </w:pPr>
            <w:r w:rsidRPr="00F120F2">
              <w:rPr>
                <w:b/>
                <w:sz w:val="24"/>
                <w:szCs w:val="24"/>
                <w:lang w:val="en-US"/>
              </w:rPr>
              <w:t>4</w:t>
            </w:r>
          </w:p>
          <w:p w:rsidR="00746976" w:rsidRPr="00F120F2" w:rsidRDefault="00746976" w:rsidP="00C821FD">
            <w:pPr>
              <w:spacing w:after="0" w:line="240" w:lineRule="auto"/>
              <w:jc w:val="center"/>
              <w:rPr>
                <w:b/>
                <w:sz w:val="24"/>
                <w:szCs w:val="24"/>
                <w:lang w:val="en-US"/>
              </w:rPr>
            </w:pPr>
            <w:r w:rsidRPr="00F120F2">
              <w:rPr>
                <w:b/>
                <w:sz w:val="24"/>
                <w:szCs w:val="24"/>
                <w:lang w:val="en-US"/>
              </w:rPr>
              <w:t>N=9</w:t>
            </w:r>
          </w:p>
        </w:tc>
        <w:tc>
          <w:tcPr>
            <w:tcW w:w="1472" w:type="dxa"/>
            <w:tcBorders>
              <w:top w:val="nil"/>
              <w:left w:val="nil"/>
              <w:bottom w:val="single" w:sz="4" w:space="0" w:color="auto"/>
              <w:right w:val="nil"/>
            </w:tcBorders>
            <w:shd w:val="clear" w:color="auto" w:fill="FFFFFF"/>
          </w:tcPr>
          <w:p w:rsidR="00746976" w:rsidRPr="00F120F2" w:rsidRDefault="00746976" w:rsidP="00C821FD">
            <w:pPr>
              <w:spacing w:after="0" w:line="240" w:lineRule="auto"/>
              <w:jc w:val="center"/>
              <w:rPr>
                <w:b/>
                <w:sz w:val="24"/>
                <w:szCs w:val="24"/>
                <w:lang w:val="en-US"/>
              </w:rPr>
            </w:pPr>
            <w:r w:rsidRPr="00F120F2">
              <w:rPr>
                <w:b/>
                <w:sz w:val="24"/>
                <w:szCs w:val="24"/>
                <w:lang w:val="en-US"/>
              </w:rPr>
              <w:t>5</w:t>
            </w:r>
          </w:p>
          <w:p w:rsidR="00746976" w:rsidRPr="00F120F2" w:rsidRDefault="00746976" w:rsidP="00C821FD">
            <w:pPr>
              <w:spacing w:after="0" w:line="240" w:lineRule="auto"/>
              <w:jc w:val="center"/>
              <w:rPr>
                <w:b/>
                <w:sz w:val="24"/>
                <w:szCs w:val="24"/>
                <w:lang w:val="en-US"/>
              </w:rPr>
            </w:pPr>
            <w:r w:rsidRPr="00F120F2">
              <w:rPr>
                <w:b/>
                <w:sz w:val="24"/>
                <w:szCs w:val="24"/>
                <w:lang w:val="en-US"/>
              </w:rPr>
              <w:t>N=1</w:t>
            </w:r>
          </w:p>
        </w:tc>
        <w:tc>
          <w:tcPr>
            <w:tcW w:w="1029" w:type="dxa"/>
            <w:tcBorders>
              <w:top w:val="nil"/>
              <w:left w:val="nil"/>
              <w:bottom w:val="single" w:sz="4" w:space="0" w:color="auto"/>
              <w:right w:val="nil"/>
            </w:tcBorders>
            <w:shd w:val="clear" w:color="auto" w:fill="FFFFFF"/>
          </w:tcPr>
          <w:p w:rsidR="00746976" w:rsidRPr="00F120F2" w:rsidRDefault="00746976" w:rsidP="00C821FD">
            <w:pPr>
              <w:spacing w:after="0" w:line="240" w:lineRule="auto"/>
              <w:jc w:val="center"/>
              <w:rPr>
                <w:b/>
                <w:sz w:val="24"/>
                <w:szCs w:val="24"/>
                <w:lang w:val="en-US"/>
              </w:rPr>
            </w:pPr>
            <w:r w:rsidRPr="00F120F2">
              <w:rPr>
                <w:b/>
                <w:sz w:val="24"/>
                <w:szCs w:val="24"/>
                <w:lang w:val="en-US"/>
              </w:rPr>
              <w:t>P value</w:t>
            </w:r>
          </w:p>
        </w:tc>
      </w:tr>
      <w:tr w:rsidR="00F120F2" w:rsidRPr="00F120F2" w:rsidTr="009B29F7">
        <w:tc>
          <w:tcPr>
            <w:tcW w:w="3403" w:type="dxa"/>
            <w:tcBorders>
              <w:top w:val="single" w:sz="4" w:space="0" w:color="auto"/>
              <w:left w:val="nil"/>
              <w:bottom w:val="nil"/>
              <w:right w:val="nil"/>
            </w:tcBorders>
            <w:shd w:val="clear" w:color="auto" w:fill="FFFFFF"/>
          </w:tcPr>
          <w:p w:rsidR="00746976" w:rsidRPr="00F120F2" w:rsidRDefault="00746976" w:rsidP="00C821FD">
            <w:pPr>
              <w:spacing w:after="0" w:line="240" w:lineRule="auto"/>
              <w:rPr>
                <w:sz w:val="24"/>
                <w:szCs w:val="24"/>
                <w:lang w:val="en-US"/>
              </w:rPr>
            </w:pPr>
            <w:r w:rsidRPr="00F120F2">
              <w:rPr>
                <w:sz w:val="24"/>
                <w:szCs w:val="24"/>
                <w:lang w:val="en-US"/>
              </w:rPr>
              <w:t>Male sex, %</w:t>
            </w:r>
          </w:p>
        </w:tc>
        <w:tc>
          <w:tcPr>
            <w:tcW w:w="1734" w:type="dxa"/>
            <w:tcBorders>
              <w:top w:val="single" w:sz="4" w:space="0" w:color="auto"/>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36.5</w:t>
            </w:r>
          </w:p>
        </w:tc>
        <w:tc>
          <w:tcPr>
            <w:tcW w:w="1618" w:type="dxa"/>
            <w:tcBorders>
              <w:top w:val="single" w:sz="4" w:space="0" w:color="auto"/>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30.1</w:t>
            </w:r>
          </w:p>
        </w:tc>
        <w:tc>
          <w:tcPr>
            <w:tcW w:w="1750" w:type="dxa"/>
            <w:tcBorders>
              <w:top w:val="single" w:sz="4" w:space="0" w:color="auto"/>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22.9</w:t>
            </w:r>
          </w:p>
        </w:tc>
        <w:tc>
          <w:tcPr>
            <w:tcW w:w="1559" w:type="dxa"/>
            <w:tcBorders>
              <w:top w:val="single" w:sz="4" w:space="0" w:color="auto"/>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33.3</w:t>
            </w:r>
          </w:p>
        </w:tc>
        <w:tc>
          <w:tcPr>
            <w:tcW w:w="1472" w:type="dxa"/>
            <w:tcBorders>
              <w:top w:val="single" w:sz="4" w:space="0" w:color="auto"/>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100</w:t>
            </w:r>
          </w:p>
        </w:tc>
        <w:tc>
          <w:tcPr>
            <w:tcW w:w="1029" w:type="dxa"/>
            <w:tcBorders>
              <w:top w:val="single" w:sz="4" w:space="0" w:color="auto"/>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0.26</w:t>
            </w:r>
          </w:p>
        </w:tc>
      </w:tr>
      <w:tr w:rsidR="00F120F2" w:rsidRPr="00F120F2" w:rsidTr="009B29F7">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en-US"/>
              </w:rPr>
            </w:pPr>
            <w:r w:rsidRPr="00F120F2">
              <w:rPr>
                <w:sz w:val="24"/>
                <w:szCs w:val="24"/>
                <w:lang w:val="en-US"/>
              </w:rPr>
              <w:t>HLA-B27 positive, %</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79.6</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79.2</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90.3</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87.5</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100</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0.65</w:t>
            </w:r>
          </w:p>
        </w:tc>
      </w:tr>
      <w:tr w:rsidR="00F120F2" w:rsidRPr="00F120F2" w:rsidTr="009B29F7">
        <w:tc>
          <w:tcPr>
            <w:tcW w:w="3403" w:type="dxa"/>
            <w:tcBorders>
              <w:top w:val="nil"/>
              <w:left w:val="nil"/>
              <w:bottom w:val="nil"/>
              <w:right w:val="nil"/>
            </w:tcBorders>
            <w:shd w:val="clear" w:color="auto" w:fill="FFFFFF"/>
          </w:tcPr>
          <w:p w:rsidR="00746976" w:rsidRPr="00F120F2" w:rsidRDefault="00746976" w:rsidP="00C821FD">
            <w:pPr>
              <w:spacing w:after="0" w:line="240" w:lineRule="auto"/>
              <w:rPr>
                <w:sz w:val="24"/>
                <w:szCs w:val="24"/>
                <w:lang w:val="en-US"/>
              </w:rPr>
            </w:pPr>
            <w:r w:rsidRPr="00F120F2">
              <w:rPr>
                <w:sz w:val="24"/>
                <w:szCs w:val="24"/>
                <w:lang w:val="en-US"/>
              </w:rPr>
              <w:t>Age, years</w:t>
            </w:r>
          </w:p>
        </w:tc>
        <w:tc>
          <w:tcPr>
            <w:tcW w:w="1734"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41.0 (10.9)</w:t>
            </w:r>
          </w:p>
        </w:tc>
        <w:tc>
          <w:tcPr>
            <w:tcW w:w="1618"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38.4 (11.7)</w:t>
            </w:r>
          </w:p>
        </w:tc>
        <w:tc>
          <w:tcPr>
            <w:tcW w:w="1750"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39.5 (9.8)</w:t>
            </w:r>
          </w:p>
        </w:tc>
        <w:tc>
          <w:tcPr>
            <w:tcW w:w="1559"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39.5 (10.6)</w:t>
            </w:r>
          </w:p>
        </w:tc>
        <w:tc>
          <w:tcPr>
            <w:tcW w:w="1472"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37.0 (NA)</w:t>
            </w:r>
          </w:p>
        </w:tc>
        <w:tc>
          <w:tcPr>
            <w:tcW w:w="1029"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0.42</w:t>
            </w:r>
          </w:p>
        </w:tc>
      </w:tr>
      <w:tr w:rsidR="00F120F2" w:rsidRPr="00F120F2" w:rsidTr="009B29F7">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en-US"/>
              </w:rPr>
            </w:pPr>
            <w:r w:rsidRPr="00F120F2">
              <w:rPr>
                <w:sz w:val="24"/>
                <w:szCs w:val="24"/>
                <w:lang w:val="en-US"/>
              </w:rPr>
              <w:t>Symptom duration, years</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14.1 (10.0)</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12.7 (9.0)</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15.7 (9.2)</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9.6 (7.4)</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7.2 (NA)</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0.27</w:t>
            </w:r>
          </w:p>
        </w:tc>
      </w:tr>
      <w:tr w:rsidR="00F120F2" w:rsidRPr="00F120F2" w:rsidTr="009B29F7">
        <w:tc>
          <w:tcPr>
            <w:tcW w:w="3403" w:type="dxa"/>
            <w:tcBorders>
              <w:top w:val="nil"/>
              <w:left w:val="nil"/>
              <w:bottom w:val="nil"/>
              <w:right w:val="nil"/>
            </w:tcBorders>
            <w:shd w:val="clear" w:color="auto" w:fill="FFFFFF"/>
          </w:tcPr>
          <w:p w:rsidR="00746976" w:rsidRPr="00F120F2" w:rsidRDefault="00746976" w:rsidP="00C821FD">
            <w:pPr>
              <w:spacing w:after="0" w:line="240" w:lineRule="auto"/>
              <w:rPr>
                <w:sz w:val="24"/>
                <w:szCs w:val="24"/>
                <w:lang w:val="en-US"/>
              </w:rPr>
            </w:pPr>
            <w:r w:rsidRPr="00F120F2">
              <w:rPr>
                <w:sz w:val="24"/>
                <w:szCs w:val="24"/>
                <w:lang w:val="en-US"/>
              </w:rPr>
              <w:t>BASDAI</w:t>
            </w:r>
          </w:p>
        </w:tc>
        <w:tc>
          <w:tcPr>
            <w:tcW w:w="1734"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4.3 (2.2)</w:t>
            </w:r>
          </w:p>
        </w:tc>
        <w:tc>
          <w:tcPr>
            <w:tcW w:w="1618"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4.2 (2.6)</w:t>
            </w:r>
          </w:p>
        </w:tc>
        <w:tc>
          <w:tcPr>
            <w:tcW w:w="1750"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4.0 (2.0)</w:t>
            </w:r>
          </w:p>
        </w:tc>
        <w:tc>
          <w:tcPr>
            <w:tcW w:w="1559"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4.0 (2.1)</w:t>
            </w:r>
          </w:p>
        </w:tc>
        <w:tc>
          <w:tcPr>
            <w:tcW w:w="1472"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3.2 (NA)</w:t>
            </w:r>
          </w:p>
        </w:tc>
        <w:tc>
          <w:tcPr>
            <w:tcW w:w="1029"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0.93</w:t>
            </w:r>
          </w:p>
        </w:tc>
      </w:tr>
      <w:tr w:rsidR="00F120F2" w:rsidRPr="00F120F2" w:rsidTr="009B29F7">
        <w:trPr>
          <w:trHeight w:val="159"/>
        </w:trPr>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en-US"/>
              </w:rPr>
            </w:pPr>
            <w:r w:rsidRPr="00F120F2">
              <w:rPr>
                <w:sz w:val="24"/>
                <w:szCs w:val="24"/>
                <w:lang w:val="en-US"/>
              </w:rPr>
              <w:t>ASDAS</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2.8 (1.1)</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2.8 (1.2)</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2.9 (1.1)</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2.7 (0.9)</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2.2 (NA)</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0.93</w:t>
            </w:r>
          </w:p>
        </w:tc>
      </w:tr>
      <w:tr w:rsidR="00F120F2" w:rsidRPr="00F120F2" w:rsidTr="009B29F7">
        <w:tc>
          <w:tcPr>
            <w:tcW w:w="3403" w:type="dxa"/>
            <w:tcBorders>
              <w:top w:val="nil"/>
              <w:left w:val="nil"/>
              <w:bottom w:val="nil"/>
              <w:right w:val="nil"/>
            </w:tcBorders>
            <w:shd w:val="clear" w:color="auto" w:fill="FFFFFF"/>
          </w:tcPr>
          <w:p w:rsidR="00746976" w:rsidRPr="00F120F2" w:rsidRDefault="00746976" w:rsidP="00C821FD">
            <w:pPr>
              <w:spacing w:after="0" w:line="240" w:lineRule="auto"/>
              <w:rPr>
                <w:sz w:val="24"/>
                <w:szCs w:val="24"/>
                <w:lang w:val="en-US"/>
              </w:rPr>
            </w:pPr>
            <w:r w:rsidRPr="00F120F2">
              <w:rPr>
                <w:sz w:val="24"/>
                <w:szCs w:val="24"/>
                <w:lang w:val="en-US"/>
              </w:rPr>
              <w:t>CRP (mg/l), median (IQR)</w:t>
            </w:r>
          </w:p>
        </w:tc>
        <w:tc>
          <w:tcPr>
            <w:tcW w:w="1734"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8 (3; 11)</w:t>
            </w:r>
          </w:p>
        </w:tc>
        <w:tc>
          <w:tcPr>
            <w:tcW w:w="1618"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8 (2.2; 13)</w:t>
            </w:r>
          </w:p>
        </w:tc>
        <w:tc>
          <w:tcPr>
            <w:tcW w:w="1750"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8 (4.2; 15)</w:t>
            </w:r>
          </w:p>
        </w:tc>
        <w:tc>
          <w:tcPr>
            <w:tcW w:w="1559"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8 (3; 8)</w:t>
            </w:r>
          </w:p>
        </w:tc>
        <w:tc>
          <w:tcPr>
            <w:tcW w:w="1472"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1.0 (NA)</w:t>
            </w:r>
          </w:p>
        </w:tc>
        <w:tc>
          <w:tcPr>
            <w:tcW w:w="1029" w:type="dxa"/>
            <w:tcBorders>
              <w:top w:val="nil"/>
              <w:left w:val="nil"/>
              <w:bottom w:val="nil"/>
              <w:right w:val="nil"/>
            </w:tcBorders>
            <w:shd w:val="clear" w:color="auto" w:fill="FFFFFF"/>
          </w:tcPr>
          <w:p w:rsidR="00746976" w:rsidRPr="00F120F2" w:rsidRDefault="00746976" w:rsidP="00C821FD">
            <w:pPr>
              <w:spacing w:after="0" w:line="240" w:lineRule="auto"/>
              <w:jc w:val="center"/>
              <w:rPr>
                <w:sz w:val="24"/>
                <w:szCs w:val="24"/>
                <w:lang w:val="en-US"/>
              </w:rPr>
            </w:pPr>
            <w:r w:rsidRPr="00F120F2">
              <w:rPr>
                <w:sz w:val="24"/>
                <w:szCs w:val="24"/>
                <w:lang w:val="en-US"/>
              </w:rPr>
              <w:t>0.52</w:t>
            </w:r>
          </w:p>
        </w:tc>
      </w:tr>
      <w:tr w:rsidR="00F120F2" w:rsidRPr="00F120F2" w:rsidTr="009B29F7">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it-CH"/>
              </w:rPr>
            </w:pPr>
            <w:proofErr w:type="spellStart"/>
            <w:r w:rsidRPr="00F120F2">
              <w:rPr>
                <w:sz w:val="24"/>
                <w:szCs w:val="24"/>
                <w:lang w:val="it-CH"/>
              </w:rPr>
              <w:t>Elevated</w:t>
            </w:r>
            <w:proofErr w:type="spellEnd"/>
            <w:r w:rsidRPr="00F120F2">
              <w:rPr>
                <w:sz w:val="24"/>
                <w:szCs w:val="24"/>
                <w:lang w:val="it-CH"/>
              </w:rPr>
              <w:t xml:space="preserve"> CRP, %</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41.3</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39.2</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44.8</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12.5</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0.0</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0.50</w:t>
            </w:r>
          </w:p>
        </w:tc>
      </w:tr>
      <w:tr w:rsidR="00F120F2" w:rsidRPr="00F120F2" w:rsidTr="009B29F7">
        <w:tc>
          <w:tcPr>
            <w:tcW w:w="3403" w:type="dxa"/>
            <w:tcBorders>
              <w:top w:val="nil"/>
              <w:left w:val="nil"/>
              <w:bottom w:val="nil"/>
              <w:right w:val="nil"/>
            </w:tcBorders>
            <w:shd w:val="clear" w:color="auto" w:fill="auto"/>
          </w:tcPr>
          <w:p w:rsidR="00746976" w:rsidRPr="00F120F2" w:rsidRDefault="00746976" w:rsidP="00C821FD">
            <w:pPr>
              <w:spacing w:after="0" w:line="240" w:lineRule="auto"/>
              <w:rPr>
                <w:sz w:val="24"/>
                <w:szCs w:val="24"/>
                <w:lang w:val="it-CH"/>
              </w:rPr>
            </w:pPr>
            <w:r w:rsidRPr="00F120F2">
              <w:rPr>
                <w:sz w:val="24"/>
                <w:szCs w:val="24"/>
                <w:lang w:val="it-CH"/>
              </w:rPr>
              <w:t>BASFI</w:t>
            </w:r>
          </w:p>
        </w:tc>
        <w:tc>
          <w:tcPr>
            <w:tcW w:w="1734"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it-CH"/>
              </w:rPr>
            </w:pPr>
            <w:r w:rsidRPr="00F120F2">
              <w:rPr>
                <w:sz w:val="24"/>
                <w:szCs w:val="24"/>
                <w:lang w:val="it-CH"/>
              </w:rPr>
              <w:t>3.0 (2.6)</w:t>
            </w:r>
          </w:p>
        </w:tc>
        <w:tc>
          <w:tcPr>
            <w:tcW w:w="1618"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3.3 (2.8)</w:t>
            </w:r>
          </w:p>
        </w:tc>
        <w:tc>
          <w:tcPr>
            <w:tcW w:w="1750"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3.1 (2.1)</w:t>
            </w:r>
          </w:p>
        </w:tc>
        <w:tc>
          <w:tcPr>
            <w:tcW w:w="1559"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2.7 (2.4)</w:t>
            </w:r>
          </w:p>
        </w:tc>
        <w:tc>
          <w:tcPr>
            <w:tcW w:w="1472"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0.8 (NA)</w:t>
            </w:r>
          </w:p>
        </w:tc>
        <w:tc>
          <w:tcPr>
            <w:tcW w:w="1029"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0.86</w:t>
            </w:r>
          </w:p>
        </w:tc>
      </w:tr>
      <w:tr w:rsidR="00F120F2" w:rsidRPr="00F120F2" w:rsidTr="009B29F7">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it-CH"/>
              </w:rPr>
            </w:pPr>
            <w:r w:rsidRPr="00F120F2">
              <w:rPr>
                <w:sz w:val="24"/>
                <w:szCs w:val="24"/>
                <w:lang w:val="it-CH"/>
              </w:rPr>
              <w:t>BASMI</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2.0 (1.9)</w:t>
            </w:r>
          </w:p>
        </w:tc>
        <w:tc>
          <w:tcPr>
            <w:tcW w:w="1618" w:type="dxa"/>
            <w:tcBorders>
              <w:top w:val="nil"/>
              <w:left w:val="nil"/>
              <w:bottom w:val="nil"/>
              <w:right w:val="nil"/>
            </w:tcBorders>
            <w:shd w:val="clear" w:color="auto" w:fill="F2F2F2"/>
          </w:tcPr>
          <w:p w:rsidR="00746976" w:rsidRPr="00F120F2" w:rsidRDefault="00746976" w:rsidP="00C821FD">
            <w:pPr>
              <w:tabs>
                <w:tab w:val="center" w:pos="701"/>
              </w:tabs>
              <w:spacing w:after="0" w:line="240" w:lineRule="auto"/>
              <w:jc w:val="center"/>
              <w:rPr>
                <w:sz w:val="24"/>
                <w:szCs w:val="24"/>
                <w:lang w:val="it-CH"/>
              </w:rPr>
            </w:pPr>
            <w:r w:rsidRPr="00F120F2">
              <w:rPr>
                <w:sz w:val="24"/>
                <w:szCs w:val="24"/>
                <w:lang w:val="it-CH"/>
              </w:rPr>
              <w:t>2.5 (2.2)</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2.7 (1.8)</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1.9 (2.6)</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0.0 (NA)</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0.08</w:t>
            </w:r>
          </w:p>
        </w:tc>
      </w:tr>
      <w:tr w:rsidR="00F120F2" w:rsidRPr="00F120F2" w:rsidTr="009B29F7">
        <w:tc>
          <w:tcPr>
            <w:tcW w:w="3403" w:type="dxa"/>
            <w:tcBorders>
              <w:top w:val="nil"/>
              <w:left w:val="nil"/>
              <w:bottom w:val="nil"/>
              <w:right w:val="nil"/>
            </w:tcBorders>
            <w:shd w:val="clear" w:color="auto" w:fill="auto"/>
          </w:tcPr>
          <w:p w:rsidR="00746976" w:rsidRPr="00F120F2" w:rsidRDefault="00746976" w:rsidP="00C821FD">
            <w:pPr>
              <w:spacing w:after="0" w:line="240" w:lineRule="auto"/>
              <w:rPr>
                <w:sz w:val="24"/>
                <w:szCs w:val="24"/>
                <w:lang w:val="it-CH"/>
              </w:rPr>
            </w:pPr>
            <w:proofErr w:type="spellStart"/>
            <w:r w:rsidRPr="00F120F2">
              <w:rPr>
                <w:sz w:val="24"/>
                <w:szCs w:val="24"/>
                <w:lang w:val="it-CH"/>
              </w:rPr>
              <w:t>mSASSS</w:t>
            </w:r>
            <w:proofErr w:type="spellEnd"/>
            <w:r w:rsidRPr="00F120F2">
              <w:rPr>
                <w:sz w:val="24"/>
                <w:szCs w:val="24"/>
                <w:lang w:val="it-CH"/>
              </w:rPr>
              <w:t xml:space="preserve">  </w:t>
            </w:r>
            <w:proofErr w:type="spellStart"/>
            <w:r w:rsidRPr="00F120F2">
              <w:rPr>
                <w:sz w:val="24"/>
                <w:szCs w:val="24"/>
                <w:lang w:val="it-CH"/>
              </w:rPr>
              <w:t>mean</w:t>
            </w:r>
            <w:proofErr w:type="spellEnd"/>
            <w:r w:rsidRPr="00F120F2">
              <w:rPr>
                <w:sz w:val="24"/>
                <w:szCs w:val="24"/>
                <w:lang w:val="it-CH"/>
              </w:rPr>
              <w:t xml:space="preserve"> (SD)</w:t>
            </w:r>
          </w:p>
        </w:tc>
        <w:tc>
          <w:tcPr>
            <w:tcW w:w="1734"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it-CH"/>
              </w:rPr>
            </w:pPr>
            <w:r w:rsidRPr="00F120F2">
              <w:rPr>
                <w:sz w:val="24"/>
                <w:szCs w:val="24"/>
                <w:lang w:val="it-CH"/>
              </w:rPr>
              <w:t>6.4 (12.4)</w:t>
            </w:r>
          </w:p>
        </w:tc>
        <w:tc>
          <w:tcPr>
            <w:tcW w:w="1618"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6.0 (12.2)</w:t>
            </w:r>
          </w:p>
        </w:tc>
        <w:tc>
          <w:tcPr>
            <w:tcW w:w="1750"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9.1 (13.9)</w:t>
            </w:r>
          </w:p>
        </w:tc>
        <w:tc>
          <w:tcPr>
            <w:tcW w:w="1559"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8.5 (15.4)</w:t>
            </w:r>
          </w:p>
        </w:tc>
        <w:tc>
          <w:tcPr>
            <w:tcW w:w="1472"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0.0 (NA)</w:t>
            </w:r>
          </w:p>
        </w:tc>
        <w:tc>
          <w:tcPr>
            <w:tcW w:w="1029" w:type="dxa"/>
            <w:tcBorders>
              <w:top w:val="nil"/>
              <w:left w:val="nil"/>
              <w:bottom w:val="nil"/>
              <w:right w:val="nil"/>
            </w:tcBorders>
          </w:tcPr>
          <w:p w:rsidR="00746976" w:rsidRPr="00F120F2" w:rsidRDefault="00746976" w:rsidP="00C821FD">
            <w:pPr>
              <w:spacing w:after="0" w:line="240" w:lineRule="auto"/>
              <w:jc w:val="center"/>
              <w:rPr>
                <w:sz w:val="24"/>
                <w:szCs w:val="24"/>
                <w:lang w:val="it-CH"/>
              </w:rPr>
            </w:pPr>
            <w:r w:rsidRPr="00F120F2">
              <w:rPr>
                <w:sz w:val="24"/>
                <w:szCs w:val="24"/>
                <w:lang w:val="it-CH"/>
              </w:rPr>
              <w:t>0.13</w:t>
            </w:r>
          </w:p>
        </w:tc>
      </w:tr>
      <w:tr w:rsidR="00F120F2" w:rsidRPr="00F120F2" w:rsidTr="009B29F7">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it-CH"/>
              </w:rPr>
            </w:pPr>
            <w:proofErr w:type="spellStart"/>
            <w:r w:rsidRPr="00F120F2">
              <w:rPr>
                <w:sz w:val="24"/>
                <w:szCs w:val="24"/>
                <w:lang w:val="it-CH"/>
              </w:rPr>
              <w:t>Syndesmophytes</w:t>
            </w:r>
            <w:proofErr w:type="spellEnd"/>
            <w:r w:rsidRPr="00F120F2">
              <w:rPr>
                <w:sz w:val="24"/>
                <w:szCs w:val="24"/>
                <w:lang w:val="it-CH"/>
              </w:rPr>
              <w:t xml:space="preserve"> </w:t>
            </w:r>
            <w:proofErr w:type="spellStart"/>
            <w:r w:rsidRPr="00F120F2">
              <w:rPr>
                <w:sz w:val="24"/>
                <w:szCs w:val="24"/>
                <w:lang w:val="it-CH"/>
              </w:rPr>
              <w:t>present</w:t>
            </w:r>
            <w:proofErr w:type="spellEnd"/>
            <w:r w:rsidRPr="00F120F2">
              <w:rPr>
                <w:sz w:val="24"/>
                <w:szCs w:val="24"/>
                <w:lang w:val="it-CH"/>
              </w:rPr>
              <w:t>, %</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34.5</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27.7</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45.7</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44.4</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0.0</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it-CH"/>
              </w:rPr>
            </w:pPr>
            <w:r w:rsidRPr="00F120F2">
              <w:rPr>
                <w:sz w:val="24"/>
                <w:szCs w:val="24"/>
                <w:lang w:val="it-CH"/>
              </w:rPr>
              <w:t>0.29</w:t>
            </w:r>
          </w:p>
        </w:tc>
      </w:tr>
      <w:tr w:rsidR="00F120F2" w:rsidRPr="00F120F2" w:rsidTr="009B29F7">
        <w:tc>
          <w:tcPr>
            <w:tcW w:w="3403" w:type="dxa"/>
            <w:tcBorders>
              <w:top w:val="nil"/>
              <w:left w:val="nil"/>
              <w:bottom w:val="nil"/>
              <w:right w:val="nil"/>
            </w:tcBorders>
            <w:shd w:val="clear" w:color="auto" w:fill="auto"/>
          </w:tcPr>
          <w:p w:rsidR="00746976" w:rsidRPr="00F120F2" w:rsidRDefault="00746976" w:rsidP="00C821FD">
            <w:pPr>
              <w:spacing w:after="0" w:line="240" w:lineRule="auto"/>
              <w:rPr>
                <w:sz w:val="24"/>
                <w:szCs w:val="24"/>
                <w:lang w:val="it-CH"/>
              </w:rPr>
            </w:pPr>
            <w:r w:rsidRPr="00F120F2">
              <w:rPr>
                <w:sz w:val="24"/>
                <w:szCs w:val="24"/>
                <w:lang w:val="it-CH"/>
              </w:rPr>
              <w:t>EQ-5D</w:t>
            </w:r>
          </w:p>
        </w:tc>
        <w:tc>
          <w:tcPr>
            <w:tcW w:w="1734"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fr-CH"/>
              </w:rPr>
            </w:pPr>
            <w:r w:rsidRPr="00F120F2">
              <w:rPr>
                <w:sz w:val="24"/>
                <w:szCs w:val="24"/>
                <w:lang w:val="fr-CH"/>
              </w:rPr>
              <w:t>65.1 (22.0)</w:t>
            </w:r>
          </w:p>
        </w:tc>
        <w:tc>
          <w:tcPr>
            <w:tcW w:w="1618" w:type="dxa"/>
            <w:tcBorders>
              <w:top w:val="nil"/>
              <w:left w:val="nil"/>
              <w:bottom w:val="nil"/>
              <w:right w:val="nil"/>
            </w:tcBorders>
          </w:tcPr>
          <w:p w:rsidR="00746976" w:rsidRPr="00F120F2" w:rsidRDefault="00746976" w:rsidP="00C821FD">
            <w:pPr>
              <w:spacing w:after="0" w:line="240" w:lineRule="auto"/>
              <w:jc w:val="center"/>
              <w:rPr>
                <w:sz w:val="24"/>
                <w:szCs w:val="24"/>
                <w:lang w:val="fr-CH"/>
              </w:rPr>
            </w:pPr>
            <w:r w:rsidRPr="00F120F2">
              <w:rPr>
                <w:sz w:val="24"/>
                <w:szCs w:val="24"/>
                <w:lang w:val="fr-CH"/>
              </w:rPr>
              <w:t>64.3 (22.2)</w:t>
            </w:r>
          </w:p>
        </w:tc>
        <w:tc>
          <w:tcPr>
            <w:tcW w:w="1750" w:type="dxa"/>
            <w:tcBorders>
              <w:top w:val="nil"/>
              <w:left w:val="nil"/>
              <w:bottom w:val="nil"/>
              <w:right w:val="nil"/>
            </w:tcBorders>
          </w:tcPr>
          <w:p w:rsidR="00746976" w:rsidRPr="00F120F2" w:rsidRDefault="00746976" w:rsidP="00C821FD">
            <w:pPr>
              <w:spacing w:after="0" w:line="240" w:lineRule="auto"/>
              <w:jc w:val="center"/>
              <w:rPr>
                <w:sz w:val="24"/>
                <w:szCs w:val="24"/>
                <w:lang w:val="fr-CH"/>
              </w:rPr>
            </w:pPr>
            <w:r w:rsidRPr="00F120F2">
              <w:rPr>
                <w:sz w:val="24"/>
                <w:szCs w:val="24"/>
                <w:lang w:val="fr-CH"/>
              </w:rPr>
              <w:t>65.0 (20.5)</w:t>
            </w:r>
          </w:p>
        </w:tc>
        <w:tc>
          <w:tcPr>
            <w:tcW w:w="1559" w:type="dxa"/>
            <w:tcBorders>
              <w:top w:val="nil"/>
              <w:left w:val="nil"/>
              <w:bottom w:val="nil"/>
              <w:right w:val="nil"/>
            </w:tcBorders>
          </w:tcPr>
          <w:p w:rsidR="00746976" w:rsidRPr="00F120F2" w:rsidRDefault="00746976" w:rsidP="00C821FD">
            <w:pPr>
              <w:spacing w:after="0" w:line="240" w:lineRule="auto"/>
              <w:jc w:val="center"/>
              <w:rPr>
                <w:sz w:val="24"/>
                <w:szCs w:val="24"/>
                <w:lang w:val="fr-CH"/>
              </w:rPr>
            </w:pPr>
            <w:r w:rsidRPr="00F120F2">
              <w:rPr>
                <w:sz w:val="24"/>
                <w:szCs w:val="24"/>
                <w:lang w:val="fr-CH"/>
              </w:rPr>
              <w:t>74.5 (5.9)</w:t>
            </w:r>
          </w:p>
        </w:tc>
        <w:tc>
          <w:tcPr>
            <w:tcW w:w="1472" w:type="dxa"/>
            <w:tcBorders>
              <w:top w:val="nil"/>
              <w:left w:val="nil"/>
              <w:bottom w:val="nil"/>
              <w:right w:val="nil"/>
            </w:tcBorders>
          </w:tcPr>
          <w:p w:rsidR="00746976" w:rsidRPr="00F120F2" w:rsidRDefault="00746976" w:rsidP="00C821FD">
            <w:pPr>
              <w:spacing w:after="0" w:line="240" w:lineRule="auto"/>
              <w:jc w:val="center"/>
              <w:rPr>
                <w:sz w:val="24"/>
                <w:szCs w:val="24"/>
                <w:lang w:val="fr-CH"/>
              </w:rPr>
            </w:pPr>
            <w:r w:rsidRPr="00F120F2">
              <w:rPr>
                <w:sz w:val="24"/>
                <w:szCs w:val="24"/>
                <w:lang w:val="fr-CH"/>
              </w:rPr>
              <w:t>68.7 (NA)</w:t>
            </w:r>
          </w:p>
        </w:tc>
        <w:tc>
          <w:tcPr>
            <w:tcW w:w="1029" w:type="dxa"/>
            <w:tcBorders>
              <w:top w:val="nil"/>
              <w:left w:val="nil"/>
              <w:bottom w:val="nil"/>
              <w:right w:val="nil"/>
            </w:tcBorders>
          </w:tcPr>
          <w:p w:rsidR="00746976" w:rsidRPr="00F120F2" w:rsidRDefault="00746976" w:rsidP="00C821FD">
            <w:pPr>
              <w:spacing w:after="0" w:line="240" w:lineRule="auto"/>
              <w:jc w:val="center"/>
              <w:rPr>
                <w:sz w:val="24"/>
                <w:szCs w:val="24"/>
                <w:lang w:val="fr-CH"/>
              </w:rPr>
            </w:pPr>
            <w:r w:rsidRPr="00F120F2">
              <w:rPr>
                <w:sz w:val="24"/>
                <w:szCs w:val="24"/>
                <w:lang w:val="fr-CH"/>
              </w:rPr>
              <w:t>0.58</w:t>
            </w:r>
          </w:p>
        </w:tc>
      </w:tr>
      <w:tr w:rsidR="00F120F2" w:rsidRPr="00F120F2" w:rsidTr="009B29F7">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en-US"/>
              </w:rPr>
            </w:pPr>
            <w:proofErr w:type="spellStart"/>
            <w:r w:rsidRPr="00F120F2">
              <w:rPr>
                <w:sz w:val="24"/>
                <w:szCs w:val="24"/>
                <w:lang w:val="fr-CH"/>
              </w:rPr>
              <w:t>Current</w:t>
            </w:r>
            <w:proofErr w:type="spellEnd"/>
            <w:r w:rsidRPr="00F120F2">
              <w:rPr>
                <w:sz w:val="24"/>
                <w:szCs w:val="24"/>
                <w:lang w:val="fr-CH"/>
              </w:rPr>
              <w:t xml:space="preserve"> p</w:t>
            </w:r>
            <w:proofErr w:type="spellStart"/>
            <w:r w:rsidRPr="00F120F2">
              <w:rPr>
                <w:sz w:val="24"/>
                <w:szCs w:val="24"/>
                <w:lang w:val="en-US"/>
              </w:rPr>
              <w:t>eripheral</w:t>
            </w:r>
            <w:proofErr w:type="spellEnd"/>
            <w:r w:rsidRPr="00F120F2">
              <w:rPr>
                <w:sz w:val="24"/>
                <w:szCs w:val="24"/>
                <w:lang w:val="en-US"/>
              </w:rPr>
              <w:t xml:space="preserve"> arthritis, %</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30.1</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30.3</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9.7</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37.5</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0.0</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0.10</w:t>
            </w:r>
          </w:p>
        </w:tc>
      </w:tr>
      <w:tr w:rsidR="00F120F2" w:rsidRPr="00F120F2" w:rsidTr="009B29F7">
        <w:tc>
          <w:tcPr>
            <w:tcW w:w="3403" w:type="dxa"/>
            <w:tcBorders>
              <w:top w:val="nil"/>
              <w:left w:val="nil"/>
              <w:bottom w:val="nil"/>
              <w:right w:val="nil"/>
            </w:tcBorders>
            <w:shd w:val="clear" w:color="auto" w:fill="auto"/>
          </w:tcPr>
          <w:p w:rsidR="00746976" w:rsidRPr="00F120F2" w:rsidRDefault="00746976" w:rsidP="00C821FD">
            <w:pPr>
              <w:spacing w:after="0" w:line="240" w:lineRule="auto"/>
              <w:rPr>
                <w:sz w:val="24"/>
                <w:szCs w:val="24"/>
                <w:lang w:val="en-US"/>
              </w:rPr>
            </w:pPr>
            <w:r w:rsidRPr="00F120F2">
              <w:rPr>
                <w:sz w:val="24"/>
                <w:szCs w:val="24"/>
                <w:lang w:val="en-US"/>
              </w:rPr>
              <w:t xml:space="preserve">Current </w:t>
            </w:r>
            <w:proofErr w:type="spellStart"/>
            <w:r w:rsidRPr="00F120F2">
              <w:rPr>
                <w:sz w:val="24"/>
                <w:szCs w:val="24"/>
                <w:lang w:val="en-US"/>
              </w:rPr>
              <w:t>enthesitis</w:t>
            </w:r>
            <w:proofErr w:type="spellEnd"/>
            <w:r w:rsidRPr="00F120F2">
              <w:rPr>
                <w:sz w:val="24"/>
                <w:szCs w:val="24"/>
                <w:lang w:val="en-US"/>
              </w:rPr>
              <w:t>, %</w:t>
            </w:r>
          </w:p>
        </w:tc>
        <w:tc>
          <w:tcPr>
            <w:tcW w:w="1734"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53.2</w:t>
            </w:r>
          </w:p>
        </w:tc>
        <w:tc>
          <w:tcPr>
            <w:tcW w:w="1618" w:type="dxa"/>
            <w:tcBorders>
              <w:top w:val="nil"/>
              <w:left w:val="nil"/>
              <w:bottom w:val="nil"/>
              <w:right w:val="nil"/>
            </w:tcBorders>
          </w:tcPr>
          <w:p w:rsidR="00746976" w:rsidRPr="00F120F2" w:rsidRDefault="00746976" w:rsidP="00C821FD">
            <w:pPr>
              <w:spacing w:after="0" w:line="240" w:lineRule="auto"/>
              <w:jc w:val="center"/>
              <w:rPr>
                <w:sz w:val="24"/>
                <w:szCs w:val="24"/>
                <w:lang w:val="en-US"/>
              </w:rPr>
            </w:pPr>
            <w:r w:rsidRPr="00F120F2">
              <w:rPr>
                <w:sz w:val="24"/>
                <w:szCs w:val="24"/>
                <w:lang w:val="en-US"/>
              </w:rPr>
              <w:t>61.8</w:t>
            </w:r>
          </w:p>
        </w:tc>
        <w:tc>
          <w:tcPr>
            <w:tcW w:w="1750" w:type="dxa"/>
            <w:tcBorders>
              <w:top w:val="nil"/>
              <w:left w:val="nil"/>
              <w:bottom w:val="nil"/>
              <w:right w:val="nil"/>
            </w:tcBorders>
          </w:tcPr>
          <w:p w:rsidR="00746976" w:rsidRPr="00F120F2" w:rsidRDefault="00746976" w:rsidP="00C821FD">
            <w:pPr>
              <w:spacing w:after="0" w:line="240" w:lineRule="auto"/>
              <w:jc w:val="center"/>
              <w:rPr>
                <w:sz w:val="24"/>
                <w:szCs w:val="24"/>
                <w:lang w:val="en-US"/>
              </w:rPr>
            </w:pPr>
            <w:r w:rsidRPr="00F120F2">
              <w:rPr>
                <w:sz w:val="24"/>
                <w:szCs w:val="24"/>
                <w:lang w:val="en-US"/>
              </w:rPr>
              <w:t>38.7</w:t>
            </w:r>
          </w:p>
        </w:tc>
        <w:tc>
          <w:tcPr>
            <w:tcW w:w="1559" w:type="dxa"/>
            <w:tcBorders>
              <w:top w:val="nil"/>
              <w:left w:val="nil"/>
              <w:bottom w:val="nil"/>
              <w:right w:val="nil"/>
            </w:tcBorders>
          </w:tcPr>
          <w:p w:rsidR="00746976" w:rsidRPr="00F120F2" w:rsidRDefault="00746976" w:rsidP="00C821FD">
            <w:pPr>
              <w:spacing w:after="0" w:line="240" w:lineRule="auto"/>
              <w:jc w:val="center"/>
              <w:rPr>
                <w:sz w:val="24"/>
                <w:szCs w:val="24"/>
                <w:lang w:val="en-US"/>
              </w:rPr>
            </w:pPr>
            <w:r w:rsidRPr="00F120F2">
              <w:rPr>
                <w:sz w:val="24"/>
                <w:szCs w:val="24"/>
                <w:lang w:val="en-US"/>
              </w:rPr>
              <w:t>87.5</w:t>
            </w:r>
          </w:p>
        </w:tc>
        <w:tc>
          <w:tcPr>
            <w:tcW w:w="1472" w:type="dxa"/>
            <w:tcBorders>
              <w:top w:val="nil"/>
              <w:left w:val="nil"/>
              <w:bottom w:val="nil"/>
              <w:right w:val="nil"/>
            </w:tcBorders>
          </w:tcPr>
          <w:p w:rsidR="00746976" w:rsidRPr="00F120F2" w:rsidRDefault="00746976" w:rsidP="00C821FD">
            <w:pPr>
              <w:spacing w:after="0" w:line="240" w:lineRule="auto"/>
              <w:jc w:val="center"/>
              <w:rPr>
                <w:sz w:val="24"/>
                <w:szCs w:val="24"/>
                <w:lang w:val="en-US"/>
              </w:rPr>
            </w:pPr>
            <w:r w:rsidRPr="00F120F2">
              <w:rPr>
                <w:sz w:val="24"/>
                <w:szCs w:val="24"/>
                <w:lang w:val="en-US"/>
              </w:rPr>
              <w:t>0.0</w:t>
            </w:r>
          </w:p>
        </w:tc>
        <w:tc>
          <w:tcPr>
            <w:tcW w:w="1029" w:type="dxa"/>
            <w:tcBorders>
              <w:top w:val="nil"/>
              <w:left w:val="nil"/>
              <w:bottom w:val="nil"/>
              <w:right w:val="nil"/>
            </w:tcBorders>
          </w:tcPr>
          <w:p w:rsidR="00746976" w:rsidRPr="00F120F2" w:rsidRDefault="00746976" w:rsidP="00C821FD">
            <w:pPr>
              <w:spacing w:after="0" w:line="240" w:lineRule="auto"/>
              <w:jc w:val="center"/>
              <w:rPr>
                <w:sz w:val="24"/>
                <w:szCs w:val="24"/>
                <w:lang w:val="en-US"/>
              </w:rPr>
            </w:pPr>
            <w:r w:rsidRPr="00F120F2">
              <w:rPr>
                <w:sz w:val="24"/>
                <w:szCs w:val="24"/>
                <w:lang w:val="en-US"/>
              </w:rPr>
              <w:t>0.03</w:t>
            </w:r>
          </w:p>
        </w:tc>
      </w:tr>
      <w:tr w:rsidR="00F120F2" w:rsidRPr="00F120F2" w:rsidTr="009B29F7">
        <w:tc>
          <w:tcPr>
            <w:tcW w:w="3403" w:type="dxa"/>
            <w:tcBorders>
              <w:top w:val="nil"/>
              <w:left w:val="nil"/>
              <w:bottom w:val="nil"/>
              <w:right w:val="nil"/>
            </w:tcBorders>
            <w:shd w:val="clear" w:color="auto" w:fill="F2F2F2"/>
          </w:tcPr>
          <w:p w:rsidR="00746976" w:rsidRPr="00F120F2" w:rsidRDefault="00624CFB" w:rsidP="00C821FD">
            <w:pPr>
              <w:spacing w:after="0" w:line="240" w:lineRule="auto"/>
              <w:rPr>
                <w:sz w:val="24"/>
                <w:szCs w:val="24"/>
                <w:lang w:val="en-US"/>
              </w:rPr>
            </w:pPr>
            <w:r w:rsidRPr="00F120F2">
              <w:rPr>
                <w:sz w:val="24"/>
                <w:szCs w:val="24"/>
                <w:lang w:val="en-US"/>
              </w:rPr>
              <w:t>NSAID</w:t>
            </w:r>
            <w:r w:rsidR="00746976" w:rsidRPr="00F120F2">
              <w:rPr>
                <w:sz w:val="24"/>
                <w:szCs w:val="24"/>
                <w:lang w:val="en-US"/>
              </w:rPr>
              <w:t xml:space="preserve"> use, %</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80.9</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92.4</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85.2</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100</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100</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0.15</w:t>
            </w:r>
          </w:p>
        </w:tc>
      </w:tr>
      <w:tr w:rsidR="00F120F2" w:rsidRPr="00F120F2" w:rsidTr="009B29F7">
        <w:tc>
          <w:tcPr>
            <w:tcW w:w="3403" w:type="dxa"/>
            <w:tcBorders>
              <w:top w:val="nil"/>
              <w:left w:val="nil"/>
              <w:bottom w:val="nil"/>
              <w:right w:val="nil"/>
            </w:tcBorders>
            <w:shd w:val="clear" w:color="auto" w:fill="auto"/>
          </w:tcPr>
          <w:p w:rsidR="00746976" w:rsidRPr="00F120F2" w:rsidRDefault="00746976" w:rsidP="00C821FD">
            <w:pPr>
              <w:spacing w:after="0" w:line="240" w:lineRule="auto"/>
              <w:rPr>
                <w:sz w:val="24"/>
                <w:szCs w:val="24"/>
                <w:lang w:val="en-US"/>
              </w:rPr>
            </w:pPr>
            <w:proofErr w:type="spellStart"/>
            <w:r w:rsidRPr="00F120F2">
              <w:rPr>
                <w:sz w:val="24"/>
                <w:szCs w:val="24"/>
                <w:lang w:val="en-US"/>
              </w:rPr>
              <w:t>TNFi</w:t>
            </w:r>
            <w:proofErr w:type="spellEnd"/>
            <w:r w:rsidRPr="00F120F2">
              <w:rPr>
                <w:sz w:val="24"/>
                <w:szCs w:val="24"/>
                <w:lang w:val="en-US"/>
              </w:rPr>
              <w:t xml:space="preserve"> use, %</w:t>
            </w:r>
          </w:p>
        </w:tc>
        <w:tc>
          <w:tcPr>
            <w:tcW w:w="1734"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41.1</w:t>
            </w:r>
          </w:p>
        </w:tc>
        <w:tc>
          <w:tcPr>
            <w:tcW w:w="1618"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28.9</w:t>
            </w:r>
          </w:p>
        </w:tc>
        <w:tc>
          <w:tcPr>
            <w:tcW w:w="1750"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31.4</w:t>
            </w:r>
          </w:p>
        </w:tc>
        <w:tc>
          <w:tcPr>
            <w:tcW w:w="1559"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3.3</w:t>
            </w:r>
          </w:p>
        </w:tc>
        <w:tc>
          <w:tcPr>
            <w:tcW w:w="1472"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0.0</w:t>
            </w:r>
          </w:p>
        </w:tc>
        <w:tc>
          <w:tcPr>
            <w:tcW w:w="1029"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0.21</w:t>
            </w:r>
          </w:p>
        </w:tc>
      </w:tr>
      <w:tr w:rsidR="00F120F2" w:rsidRPr="00F120F2" w:rsidTr="009B29F7">
        <w:tc>
          <w:tcPr>
            <w:tcW w:w="3403" w:type="dxa"/>
            <w:tcBorders>
              <w:top w:val="nil"/>
              <w:left w:val="nil"/>
              <w:bottom w:val="nil"/>
              <w:right w:val="nil"/>
            </w:tcBorders>
            <w:shd w:val="clear" w:color="auto" w:fill="F2F2F2"/>
          </w:tcPr>
          <w:p w:rsidR="00746976" w:rsidRPr="00F120F2" w:rsidRDefault="00746976" w:rsidP="00C821FD">
            <w:pPr>
              <w:spacing w:after="0" w:line="240" w:lineRule="auto"/>
              <w:rPr>
                <w:sz w:val="24"/>
                <w:szCs w:val="24"/>
                <w:lang w:val="en-US"/>
              </w:rPr>
            </w:pPr>
            <w:r w:rsidRPr="00F120F2">
              <w:rPr>
                <w:sz w:val="24"/>
                <w:szCs w:val="24"/>
                <w:lang w:val="en-US"/>
              </w:rPr>
              <w:t>Current smokers, %</w:t>
            </w:r>
          </w:p>
        </w:tc>
        <w:tc>
          <w:tcPr>
            <w:tcW w:w="1734"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42.1</w:t>
            </w:r>
          </w:p>
        </w:tc>
        <w:tc>
          <w:tcPr>
            <w:tcW w:w="1618"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32.9</w:t>
            </w:r>
          </w:p>
        </w:tc>
        <w:tc>
          <w:tcPr>
            <w:tcW w:w="1750"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31.0</w:t>
            </w:r>
          </w:p>
        </w:tc>
        <w:tc>
          <w:tcPr>
            <w:tcW w:w="155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0.0</w:t>
            </w:r>
          </w:p>
        </w:tc>
        <w:tc>
          <w:tcPr>
            <w:tcW w:w="1472"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0.0</w:t>
            </w:r>
          </w:p>
        </w:tc>
        <w:tc>
          <w:tcPr>
            <w:tcW w:w="1029" w:type="dxa"/>
            <w:tcBorders>
              <w:top w:val="nil"/>
              <w:left w:val="nil"/>
              <w:bottom w:val="nil"/>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0.05</w:t>
            </w:r>
          </w:p>
        </w:tc>
      </w:tr>
      <w:tr w:rsidR="00F120F2" w:rsidRPr="00F120F2" w:rsidTr="009B29F7">
        <w:tc>
          <w:tcPr>
            <w:tcW w:w="3403" w:type="dxa"/>
            <w:tcBorders>
              <w:top w:val="nil"/>
              <w:left w:val="nil"/>
              <w:bottom w:val="nil"/>
              <w:right w:val="nil"/>
            </w:tcBorders>
            <w:shd w:val="clear" w:color="auto" w:fill="auto"/>
          </w:tcPr>
          <w:p w:rsidR="00746976" w:rsidRPr="00F120F2" w:rsidRDefault="00746976" w:rsidP="00C821FD">
            <w:pPr>
              <w:spacing w:after="0" w:line="240" w:lineRule="auto"/>
              <w:rPr>
                <w:sz w:val="24"/>
                <w:szCs w:val="24"/>
                <w:lang w:val="en-US"/>
              </w:rPr>
            </w:pPr>
            <w:r w:rsidRPr="00F120F2">
              <w:rPr>
                <w:sz w:val="24"/>
                <w:szCs w:val="24"/>
                <w:lang w:val="en-US"/>
              </w:rPr>
              <w:t>Number exercise sessions/week</w:t>
            </w:r>
          </w:p>
        </w:tc>
        <w:tc>
          <w:tcPr>
            <w:tcW w:w="1734"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2.0 (0.0; 2.0)</w:t>
            </w:r>
          </w:p>
        </w:tc>
        <w:tc>
          <w:tcPr>
            <w:tcW w:w="1618"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1.0 (0.0; 2.0)</w:t>
            </w:r>
          </w:p>
        </w:tc>
        <w:tc>
          <w:tcPr>
            <w:tcW w:w="1750"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2.0 (0.0; 3.0)</w:t>
            </w:r>
          </w:p>
        </w:tc>
        <w:tc>
          <w:tcPr>
            <w:tcW w:w="1559"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2.0 (0.8; 2.2)</w:t>
            </w:r>
          </w:p>
        </w:tc>
        <w:tc>
          <w:tcPr>
            <w:tcW w:w="1472"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0.0 (NA)</w:t>
            </w:r>
          </w:p>
        </w:tc>
        <w:tc>
          <w:tcPr>
            <w:tcW w:w="1029" w:type="dxa"/>
            <w:tcBorders>
              <w:top w:val="nil"/>
              <w:left w:val="nil"/>
              <w:bottom w:val="nil"/>
              <w:right w:val="nil"/>
            </w:tcBorders>
            <w:shd w:val="clear" w:color="auto" w:fill="auto"/>
          </w:tcPr>
          <w:p w:rsidR="00746976" w:rsidRPr="00F120F2" w:rsidRDefault="00746976" w:rsidP="00C821FD">
            <w:pPr>
              <w:spacing w:after="0" w:line="240" w:lineRule="auto"/>
              <w:jc w:val="center"/>
              <w:rPr>
                <w:sz w:val="24"/>
                <w:szCs w:val="24"/>
                <w:lang w:val="en-US"/>
              </w:rPr>
            </w:pPr>
            <w:r w:rsidRPr="00F120F2">
              <w:rPr>
                <w:sz w:val="24"/>
                <w:szCs w:val="24"/>
                <w:lang w:val="en-US"/>
              </w:rPr>
              <w:t>0.77</w:t>
            </w:r>
          </w:p>
        </w:tc>
      </w:tr>
      <w:tr w:rsidR="00F120F2" w:rsidRPr="00F120F2" w:rsidTr="009B29F7">
        <w:tc>
          <w:tcPr>
            <w:tcW w:w="3403" w:type="dxa"/>
            <w:tcBorders>
              <w:top w:val="nil"/>
              <w:left w:val="nil"/>
              <w:bottom w:val="single" w:sz="4" w:space="0" w:color="auto"/>
              <w:right w:val="nil"/>
            </w:tcBorders>
            <w:shd w:val="clear" w:color="auto" w:fill="F2F2F2"/>
          </w:tcPr>
          <w:p w:rsidR="00746976" w:rsidRPr="00F120F2" w:rsidRDefault="00746976" w:rsidP="00C821FD">
            <w:pPr>
              <w:spacing w:after="0" w:line="240" w:lineRule="auto"/>
              <w:rPr>
                <w:sz w:val="24"/>
                <w:szCs w:val="24"/>
                <w:lang w:val="en-US"/>
              </w:rPr>
            </w:pPr>
            <w:r w:rsidRPr="00F120F2">
              <w:rPr>
                <w:sz w:val="24"/>
                <w:szCs w:val="24"/>
                <w:lang w:val="en-US"/>
              </w:rPr>
              <w:t>BMI</w:t>
            </w:r>
          </w:p>
        </w:tc>
        <w:tc>
          <w:tcPr>
            <w:tcW w:w="1734" w:type="dxa"/>
            <w:tcBorders>
              <w:top w:val="nil"/>
              <w:left w:val="nil"/>
              <w:bottom w:val="single" w:sz="4" w:space="0" w:color="auto"/>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25.3 (4.5)</w:t>
            </w:r>
          </w:p>
        </w:tc>
        <w:tc>
          <w:tcPr>
            <w:tcW w:w="1618" w:type="dxa"/>
            <w:tcBorders>
              <w:top w:val="nil"/>
              <w:left w:val="nil"/>
              <w:bottom w:val="single" w:sz="4" w:space="0" w:color="auto"/>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24.9 (3.8)</w:t>
            </w:r>
          </w:p>
        </w:tc>
        <w:tc>
          <w:tcPr>
            <w:tcW w:w="1750" w:type="dxa"/>
            <w:tcBorders>
              <w:top w:val="nil"/>
              <w:left w:val="nil"/>
              <w:bottom w:val="single" w:sz="4" w:space="0" w:color="auto"/>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25.6 (3.8)</w:t>
            </w:r>
          </w:p>
        </w:tc>
        <w:tc>
          <w:tcPr>
            <w:tcW w:w="1559" w:type="dxa"/>
            <w:tcBorders>
              <w:top w:val="nil"/>
              <w:left w:val="nil"/>
              <w:bottom w:val="single" w:sz="4" w:space="0" w:color="auto"/>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24.8 (2.9)</w:t>
            </w:r>
          </w:p>
        </w:tc>
        <w:tc>
          <w:tcPr>
            <w:tcW w:w="1472" w:type="dxa"/>
            <w:tcBorders>
              <w:top w:val="nil"/>
              <w:left w:val="nil"/>
              <w:bottom w:val="single" w:sz="4" w:space="0" w:color="auto"/>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25.4 (NA)</w:t>
            </w:r>
          </w:p>
        </w:tc>
        <w:tc>
          <w:tcPr>
            <w:tcW w:w="1029" w:type="dxa"/>
            <w:tcBorders>
              <w:top w:val="nil"/>
              <w:left w:val="nil"/>
              <w:bottom w:val="single" w:sz="4" w:space="0" w:color="auto"/>
              <w:right w:val="nil"/>
            </w:tcBorders>
            <w:shd w:val="clear" w:color="auto" w:fill="F2F2F2"/>
          </w:tcPr>
          <w:p w:rsidR="00746976" w:rsidRPr="00F120F2" w:rsidRDefault="00746976" w:rsidP="00C821FD">
            <w:pPr>
              <w:spacing w:after="0" w:line="240" w:lineRule="auto"/>
              <w:jc w:val="center"/>
              <w:rPr>
                <w:sz w:val="24"/>
                <w:szCs w:val="24"/>
                <w:lang w:val="en-US"/>
              </w:rPr>
            </w:pPr>
            <w:r w:rsidRPr="00F120F2">
              <w:rPr>
                <w:sz w:val="24"/>
                <w:szCs w:val="24"/>
                <w:lang w:val="en-US"/>
              </w:rPr>
              <w:t>0.93</w:t>
            </w:r>
          </w:p>
        </w:tc>
      </w:tr>
    </w:tbl>
    <w:p w:rsidR="00624CFB" w:rsidRPr="00F120F2" w:rsidRDefault="00624CFB" w:rsidP="00C821FD">
      <w:pPr>
        <w:spacing w:after="0" w:line="240" w:lineRule="auto"/>
        <w:ind w:left="425"/>
        <w:jc w:val="both"/>
      </w:pPr>
      <w:r w:rsidRPr="00F120F2">
        <w:t xml:space="preserve">Spondylitis </w:t>
      </w:r>
      <w:proofErr w:type="spellStart"/>
      <w:r w:rsidRPr="00F120F2">
        <w:t>Disease</w:t>
      </w:r>
      <w:proofErr w:type="spellEnd"/>
      <w:r w:rsidRPr="00F120F2">
        <w:t xml:space="preserve"> </w:t>
      </w:r>
      <w:proofErr w:type="spellStart"/>
      <w:r w:rsidRPr="00F120F2">
        <w:t>Activity</w:t>
      </w:r>
      <w:proofErr w:type="spellEnd"/>
      <w:r w:rsidRPr="00F120F2">
        <w:t xml:space="preserve"> Score; BASDAI = </w:t>
      </w:r>
      <w:proofErr w:type="spellStart"/>
      <w:r w:rsidRPr="00F120F2">
        <w:t>Bath</w:t>
      </w:r>
      <w:proofErr w:type="spellEnd"/>
      <w:r w:rsidRPr="00F120F2">
        <w:t xml:space="preserve"> </w:t>
      </w:r>
      <w:proofErr w:type="spellStart"/>
      <w:r w:rsidRPr="00F120F2">
        <w:t>Ankylosing</w:t>
      </w:r>
      <w:proofErr w:type="spellEnd"/>
      <w:r w:rsidRPr="00F120F2">
        <w:t xml:space="preserve"> Spondylitis </w:t>
      </w:r>
      <w:proofErr w:type="spellStart"/>
      <w:r w:rsidRPr="00F120F2">
        <w:t>Disease</w:t>
      </w:r>
      <w:proofErr w:type="spellEnd"/>
      <w:r w:rsidRPr="00F120F2">
        <w:t xml:space="preserve"> </w:t>
      </w:r>
      <w:proofErr w:type="spellStart"/>
      <w:r w:rsidRPr="00F120F2">
        <w:t>Activity</w:t>
      </w:r>
      <w:proofErr w:type="spellEnd"/>
      <w:r w:rsidRPr="00F120F2">
        <w:t xml:space="preserve"> Index; BASFI = </w:t>
      </w:r>
      <w:proofErr w:type="spellStart"/>
      <w:r w:rsidRPr="00F120F2">
        <w:t>Bath</w:t>
      </w:r>
      <w:proofErr w:type="spellEnd"/>
      <w:r w:rsidRPr="00F120F2">
        <w:t xml:space="preserve"> </w:t>
      </w:r>
      <w:proofErr w:type="spellStart"/>
      <w:r w:rsidRPr="00F120F2">
        <w:t>Ankylosing</w:t>
      </w:r>
      <w:proofErr w:type="spellEnd"/>
      <w:r w:rsidRPr="00F120F2">
        <w:t xml:space="preserve"> Spondylitis </w:t>
      </w:r>
      <w:proofErr w:type="spellStart"/>
      <w:r w:rsidRPr="00F120F2">
        <w:t>Functional</w:t>
      </w:r>
      <w:proofErr w:type="spellEnd"/>
      <w:r w:rsidRPr="00F120F2">
        <w:t xml:space="preserve"> Index; BASMI = </w:t>
      </w:r>
      <w:proofErr w:type="spellStart"/>
      <w:r w:rsidRPr="00F120F2">
        <w:t>Bath</w:t>
      </w:r>
      <w:proofErr w:type="spellEnd"/>
      <w:r w:rsidRPr="00F120F2">
        <w:t xml:space="preserve"> </w:t>
      </w:r>
      <w:proofErr w:type="spellStart"/>
      <w:r w:rsidRPr="00F120F2">
        <w:t>Ankylosing</w:t>
      </w:r>
      <w:proofErr w:type="spellEnd"/>
      <w:r w:rsidRPr="00F120F2">
        <w:t xml:space="preserve"> Spondylitis </w:t>
      </w:r>
      <w:proofErr w:type="spellStart"/>
      <w:r w:rsidRPr="00F120F2">
        <w:t>Metrology</w:t>
      </w:r>
      <w:proofErr w:type="spellEnd"/>
      <w:r w:rsidRPr="00F120F2">
        <w:t xml:space="preserve"> Index; </w:t>
      </w:r>
      <w:r w:rsidRPr="00F120F2">
        <w:rPr>
          <w:rFonts w:cs="Calibri"/>
          <w:sz w:val="24"/>
          <w:szCs w:val="24"/>
        </w:rPr>
        <w:t>BMI = Body Mass Index;</w:t>
      </w:r>
      <w:r w:rsidRPr="00F120F2">
        <w:rPr>
          <w:rFonts w:cs="Calibri"/>
          <w:b/>
          <w:sz w:val="24"/>
          <w:szCs w:val="24"/>
        </w:rPr>
        <w:t xml:space="preserve"> </w:t>
      </w:r>
      <w:r w:rsidRPr="00F120F2">
        <w:t>CRP = C-</w:t>
      </w:r>
      <w:proofErr w:type="spellStart"/>
      <w:r w:rsidRPr="00F120F2">
        <w:t>reactive</w:t>
      </w:r>
      <w:proofErr w:type="spellEnd"/>
      <w:r w:rsidRPr="00F120F2">
        <w:t xml:space="preserve"> </w:t>
      </w:r>
      <w:proofErr w:type="spellStart"/>
      <w:r w:rsidRPr="00F120F2">
        <w:t>protein</w:t>
      </w:r>
      <w:proofErr w:type="spellEnd"/>
      <w:r w:rsidRPr="00F120F2">
        <w:t xml:space="preserve"> (CRP) </w:t>
      </w:r>
      <w:proofErr w:type="spellStart"/>
      <w:r w:rsidRPr="00F120F2">
        <w:t>levels</w:t>
      </w:r>
      <w:proofErr w:type="spellEnd"/>
      <w:r w:rsidRPr="00F120F2">
        <w:t xml:space="preserve">; EQ-5D = </w:t>
      </w:r>
      <w:proofErr w:type="spellStart"/>
      <w:r w:rsidRPr="00F120F2">
        <w:t>EuroQol</w:t>
      </w:r>
      <w:proofErr w:type="spellEnd"/>
      <w:r w:rsidRPr="00F120F2">
        <w:t xml:space="preserve"> 5-domain; HLA-B27 = human </w:t>
      </w:r>
      <w:proofErr w:type="spellStart"/>
      <w:r w:rsidRPr="00F120F2">
        <w:t>leucocyte</w:t>
      </w:r>
      <w:proofErr w:type="spellEnd"/>
      <w:r w:rsidRPr="00F120F2">
        <w:t xml:space="preserve"> </w:t>
      </w:r>
      <w:proofErr w:type="spellStart"/>
      <w:r w:rsidRPr="00F120F2">
        <w:t>antigen</w:t>
      </w:r>
      <w:proofErr w:type="spellEnd"/>
      <w:r w:rsidRPr="00F120F2">
        <w:t xml:space="preserve"> B27; </w:t>
      </w:r>
      <w:proofErr w:type="spellStart"/>
      <w:r w:rsidRPr="00F120F2">
        <w:t>mSASSS</w:t>
      </w:r>
      <w:proofErr w:type="spellEnd"/>
      <w:r w:rsidRPr="00F120F2">
        <w:t xml:space="preserve"> = </w:t>
      </w:r>
      <w:proofErr w:type="spellStart"/>
      <w:r w:rsidRPr="00F120F2">
        <w:t>modified</w:t>
      </w:r>
      <w:proofErr w:type="spellEnd"/>
      <w:r w:rsidRPr="00F120F2">
        <w:t xml:space="preserve"> </w:t>
      </w:r>
      <w:proofErr w:type="spellStart"/>
      <w:r w:rsidRPr="00F120F2">
        <w:t>Stoke</w:t>
      </w:r>
      <w:proofErr w:type="spellEnd"/>
      <w:r w:rsidRPr="00F120F2">
        <w:t xml:space="preserve"> </w:t>
      </w:r>
      <w:proofErr w:type="spellStart"/>
      <w:r w:rsidRPr="00F120F2">
        <w:t>Ankylosing</w:t>
      </w:r>
      <w:proofErr w:type="spellEnd"/>
      <w:r w:rsidRPr="00F120F2">
        <w:t xml:space="preserve"> Spondylitis </w:t>
      </w:r>
      <w:proofErr w:type="spellStart"/>
      <w:r w:rsidRPr="00F120F2">
        <w:t>Spine</w:t>
      </w:r>
      <w:proofErr w:type="spellEnd"/>
      <w:r w:rsidRPr="00F120F2">
        <w:t xml:space="preserve"> Score; NSAID = </w:t>
      </w:r>
      <w:proofErr w:type="spellStart"/>
      <w:r w:rsidRPr="00F120F2">
        <w:t>Nonsteroidal</w:t>
      </w:r>
      <w:proofErr w:type="spellEnd"/>
      <w:r w:rsidRPr="00F120F2">
        <w:t xml:space="preserve"> anti-</w:t>
      </w:r>
      <w:proofErr w:type="spellStart"/>
      <w:r w:rsidRPr="00F120F2">
        <w:t>inflammatory</w:t>
      </w:r>
      <w:proofErr w:type="spellEnd"/>
      <w:r w:rsidRPr="00F120F2">
        <w:t xml:space="preserve"> </w:t>
      </w:r>
      <w:proofErr w:type="spellStart"/>
      <w:r w:rsidRPr="00F120F2">
        <w:t>drug</w:t>
      </w:r>
      <w:proofErr w:type="spellEnd"/>
      <w:r w:rsidRPr="00F120F2">
        <w:t xml:space="preserve">; </w:t>
      </w:r>
      <w:proofErr w:type="spellStart"/>
      <w:r w:rsidRPr="00F120F2">
        <w:t>TNFi</w:t>
      </w:r>
      <w:proofErr w:type="spellEnd"/>
      <w:r w:rsidRPr="00F120F2">
        <w:t xml:space="preserve"> = </w:t>
      </w:r>
      <w:proofErr w:type="spellStart"/>
      <w:r w:rsidRPr="00F120F2">
        <w:t>Tumour</w:t>
      </w:r>
      <w:proofErr w:type="spellEnd"/>
      <w:r w:rsidRPr="00F120F2">
        <w:t xml:space="preserve"> </w:t>
      </w:r>
      <w:proofErr w:type="spellStart"/>
      <w:r w:rsidRPr="00F120F2">
        <w:t>necrosis</w:t>
      </w:r>
      <w:proofErr w:type="spellEnd"/>
      <w:r w:rsidRPr="00F120F2">
        <w:t xml:space="preserve"> </w:t>
      </w:r>
      <w:proofErr w:type="spellStart"/>
      <w:r w:rsidRPr="00F120F2">
        <w:t>factor</w:t>
      </w:r>
      <w:proofErr w:type="spellEnd"/>
      <w:r w:rsidRPr="00F120F2">
        <w:t xml:space="preserve"> </w:t>
      </w:r>
      <w:proofErr w:type="spellStart"/>
      <w:r w:rsidRPr="00F120F2">
        <w:t>inhibitor</w:t>
      </w:r>
      <w:proofErr w:type="spellEnd"/>
      <w:r w:rsidRPr="00F120F2">
        <w:t>.</w:t>
      </w:r>
    </w:p>
    <w:p w:rsidR="00746976" w:rsidRPr="00F120F2" w:rsidRDefault="00746976" w:rsidP="00C821FD"/>
    <w:p w:rsidR="0019408A" w:rsidRPr="00F120F2" w:rsidRDefault="00411549"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lastRenderedPageBreak/>
        <w:t>Table S9</w:t>
      </w:r>
      <w:r w:rsidR="0019408A" w:rsidRPr="00F120F2">
        <w:rPr>
          <w:rFonts w:cs="Calibri"/>
          <w:b/>
          <w:sz w:val="24"/>
          <w:szCs w:val="24"/>
          <w:lang w:val="en-US"/>
        </w:rPr>
        <w:t xml:space="preserve">. </w:t>
      </w:r>
      <w:r w:rsidR="0019408A" w:rsidRPr="00F120F2">
        <w:rPr>
          <w:rFonts w:cs="Calibri"/>
          <w:sz w:val="24"/>
          <w:szCs w:val="24"/>
          <w:lang w:val="en-US"/>
        </w:rPr>
        <w:t xml:space="preserve">Multivariable analysis for the identification of factors associated with spinal radiographic progression </w:t>
      </w:r>
    </w:p>
    <w:p w:rsidR="0019408A" w:rsidRPr="00F120F2" w:rsidRDefault="0019408A" w:rsidP="00C821FD">
      <w:pPr>
        <w:tabs>
          <w:tab w:val="left" w:pos="3828"/>
          <w:tab w:val="left" w:pos="4395"/>
        </w:tabs>
        <w:spacing w:after="0" w:line="240" w:lineRule="auto"/>
        <w:rPr>
          <w:rFonts w:cs="Calibri"/>
          <w:b/>
          <w:sz w:val="24"/>
          <w:szCs w:val="24"/>
          <w:lang w:val="en-US"/>
        </w:rPr>
      </w:pPr>
      <w:r w:rsidRPr="00F120F2">
        <w:rPr>
          <w:rFonts w:cs="Calibri"/>
          <w:sz w:val="24"/>
          <w:szCs w:val="24"/>
          <w:lang w:val="en-US"/>
        </w:rPr>
        <w:t xml:space="preserve">Sensitivity Analysis </w:t>
      </w:r>
      <w:r w:rsidR="00C821FD">
        <w:rPr>
          <w:rFonts w:cs="Calibri"/>
          <w:sz w:val="24"/>
          <w:szCs w:val="24"/>
          <w:lang w:val="en-US"/>
        </w:rPr>
        <w:t xml:space="preserve">for GEE model in Figure 1 </w:t>
      </w:r>
      <w:r w:rsidRPr="00F120F2">
        <w:rPr>
          <w:rFonts w:cs="Calibri"/>
          <w:sz w:val="24"/>
          <w:szCs w:val="24"/>
          <w:lang w:val="en-US"/>
        </w:rPr>
        <w:t>with</w:t>
      </w:r>
      <w:r w:rsidR="00DA1421" w:rsidRPr="00F120F2">
        <w:rPr>
          <w:rFonts w:cs="Calibri"/>
          <w:sz w:val="24"/>
          <w:szCs w:val="24"/>
          <w:lang w:val="en-US"/>
        </w:rPr>
        <w:t xml:space="preserve"> “Independent” correlation structure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92"/>
        <w:gridCol w:w="1701"/>
        <w:gridCol w:w="1276"/>
      </w:tblGrid>
      <w:tr w:rsidR="00F120F2" w:rsidRPr="007049E3" w:rsidTr="00CB07D0">
        <w:tc>
          <w:tcPr>
            <w:tcW w:w="5954" w:type="dxa"/>
            <w:tcBorders>
              <w:left w:val="nil"/>
              <w:bottom w:val="single" w:sz="4" w:space="0" w:color="auto"/>
              <w:right w:val="nil"/>
            </w:tcBorders>
            <w:shd w:val="clear" w:color="auto" w:fill="auto"/>
          </w:tcPr>
          <w:p w:rsidR="0019408A" w:rsidRPr="00F120F2" w:rsidRDefault="0019408A"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19408A" w:rsidRPr="00F120F2" w:rsidRDefault="0019408A"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19408A" w:rsidRPr="00F120F2" w:rsidRDefault="0019408A"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CB07D0">
        <w:tc>
          <w:tcPr>
            <w:tcW w:w="5954" w:type="dxa"/>
            <w:tcBorders>
              <w:left w:val="nil"/>
              <w:bottom w:val="single" w:sz="4" w:space="0" w:color="auto"/>
              <w:right w:val="nil"/>
            </w:tcBorders>
            <w:shd w:val="clear" w:color="auto" w:fill="auto"/>
          </w:tcPr>
          <w:p w:rsidR="0019408A" w:rsidRPr="00F120F2" w:rsidRDefault="0019408A"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19408A" w:rsidRPr="00F120F2" w:rsidRDefault="0019408A"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19408A" w:rsidRPr="00F120F2" w:rsidRDefault="0019408A"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19408A" w:rsidRPr="00F120F2" w:rsidRDefault="0019408A"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CB07D0">
        <w:tc>
          <w:tcPr>
            <w:tcW w:w="5954" w:type="dxa"/>
            <w:tcBorders>
              <w:top w:val="single" w:sz="4" w:space="0" w:color="auto"/>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TNFi</w:t>
            </w:r>
            <w:proofErr w:type="spellEnd"/>
            <w:r w:rsidRPr="00F120F2">
              <w:rPr>
                <w:rFonts w:cs="Calibri"/>
                <w:sz w:val="24"/>
                <w:szCs w:val="24"/>
                <w:lang w:val="en-US"/>
              </w:rPr>
              <w:t xml:space="preserve"> use prior to each radiographic interval yes vs. no</w:t>
            </w:r>
          </w:p>
        </w:tc>
        <w:tc>
          <w:tcPr>
            <w:tcW w:w="992" w:type="dxa"/>
            <w:tcBorders>
              <w:top w:val="single" w:sz="4" w:space="0" w:color="auto"/>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0.47</w:t>
            </w:r>
          </w:p>
        </w:tc>
        <w:tc>
          <w:tcPr>
            <w:tcW w:w="1701" w:type="dxa"/>
            <w:tcBorders>
              <w:top w:val="single" w:sz="4" w:space="0" w:color="auto"/>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0.26-0.83</w:t>
            </w:r>
          </w:p>
        </w:tc>
        <w:tc>
          <w:tcPr>
            <w:tcW w:w="1276" w:type="dxa"/>
            <w:tcBorders>
              <w:top w:val="single" w:sz="4" w:space="0" w:color="auto"/>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0.01</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1.07</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1.04-1.09</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1.88</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0.94-3.78</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0.07</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1.11</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0.97-1.27</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0.12</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1.08</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0.61-1.91</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0.78</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0.45-2.40</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0.93</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0.82-1.10</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0.48</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0.91</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0.49-1.68</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0.76</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NSAIDs use at start of each radiographic interval</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0.76</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0.37-1.56</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1.55</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0.87-2.77</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0.14</w:t>
            </w:r>
          </w:p>
        </w:tc>
      </w:tr>
      <w:tr w:rsidR="00F120F2" w:rsidRPr="00F120F2" w:rsidTr="00CB07D0">
        <w:tc>
          <w:tcPr>
            <w:tcW w:w="5954" w:type="dxa"/>
            <w:tcBorders>
              <w:top w:val="nil"/>
              <w:left w:val="nil"/>
              <w:bottom w:val="nil"/>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1.95</w:t>
            </w:r>
          </w:p>
        </w:tc>
        <w:tc>
          <w:tcPr>
            <w:tcW w:w="1701"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0.93-4.07</w:t>
            </w:r>
          </w:p>
        </w:tc>
        <w:tc>
          <w:tcPr>
            <w:tcW w:w="1276" w:type="dxa"/>
            <w:tcBorders>
              <w:top w:val="nil"/>
              <w:left w:val="nil"/>
              <w:bottom w:val="nil"/>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0.08</w:t>
            </w:r>
          </w:p>
        </w:tc>
      </w:tr>
      <w:tr w:rsidR="00F120F2" w:rsidRPr="00F120F2" w:rsidTr="00CB07D0">
        <w:tc>
          <w:tcPr>
            <w:tcW w:w="5954" w:type="dxa"/>
            <w:tcBorders>
              <w:top w:val="nil"/>
              <w:left w:val="nil"/>
              <w:bottom w:val="single" w:sz="4" w:space="0" w:color="auto"/>
              <w:right w:val="nil"/>
            </w:tcBorders>
            <w:shd w:val="clear" w:color="auto" w:fill="auto"/>
          </w:tcPr>
          <w:p w:rsidR="0019408A" w:rsidRPr="00F120F2" w:rsidRDefault="0019408A"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1.66</w:t>
            </w:r>
          </w:p>
        </w:tc>
        <w:tc>
          <w:tcPr>
            <w:tcW w:w="1701" w:type="dxa"/>
            <w:tcBorders>
              <w:top w:val="nil"/>
              <w:left w:val="nil"/>
              <w:bottom w:val="single" w:sz="4" w:space="0" w:color="auto"/>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0.88-3.12</w:t>
            </w:r>
          </w:p>
        </w:tc>
        <w:tc>
          <w:tcPr>
            <w:tcW w:w="1276" w:type="dxa"/>
            <w:tcBorders>
              <w:top w:val="nil"/>
              <w:left w:val="nil"/>
              <w:bottom w:val="single" w:sz="4" w:space="0" w:color="auto"/>
              <w:right w:val="nil"/>
            </w:tcBorders>
            <w:shd w:val="clear" w:color="auto" w:fill="auto"/>
          </w:tcPr>
          <w:p w:rsidR="0019408A" w:rsidRPr="00F120F2" w:rsidRDefault="00DA1421"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0.12</w:t>
            </w:r>
          </w:p>
        </w:tc>
      </w:tr>
    </w:tbl>
    <w:p w:rsidR="0019408A" w:rsidRPr="00F120F2" w:rsidRDefault="0019408A"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 Spondylitis Spine Score; NSAIDs = Nonsteroidal anti-inflammatory drugs;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19408A" w:rsidRPr="00F120F2" w:rsidRDefault="0019408A" w:rsidP="00C821FD">
      <w:pPr>
        <w:spacing w:before="120" w:after="120"/>
        <w:jc w:val="both"/>
        <w:rPr>
          <w:sz w:val="24"/>
          <w:szCs w:val="24"/>
          <w:lang w:val="en-US"/>
        </w:rPr>
      </w:pPr>
    </w:p>
    <w:p w:rsidR="00746976" w:rsidRDefault="00746976" w:rsidP="00C821FD">
      <w:pPr>
        <w:spacing w:before="120" w:after="120"/>
        <w:jc w:val="both"/>
        <w:rPr>
          <w:sz w:val="24"/>
          <w:szCs w:val="24"/>
          <w:lang w:val="en-US"/>
        </w:rPr>
      </w:pPr>
    </w:p>
    <w:p w:rsidR="00F120F2" w:rsidRDefault="00F120F2" w:rsidP="00C821FD">
      <w:pPr>
        <w:spacing w:before="120" w:after="120"/>
        <w:jc w:val="both"/>
        <w:rPr>
          <w:sz w:val="24"/>
          <w:szCs w:val="24"/>
          <w:lang w:val="en-US"/>
        </w:rPr>
      </w:pPr>
    </w:p>
    <w:p w:rsidR="00F120F2" w:rsidRDefault="00F120F2" w:rsidP="00C821FD">
      <w:pPr>
        <w:spacing w:before="120" w:after="120"/>
        <w:jc w:val="both"/>
        <w:rPr>
          <w:sz w:val="24"/>
          <w:szCs w:val="24"/>
          <w:lang w:val="en-US"/>
        </w:rPr>
      </w:pPr>
    </w:p>
    <w:p w:rsidR="00F120F2" w:rsidRDefault="00F120F2" w:rsidP="00C821FD">
      <w:pPr>
        <w:spacing w:before="120" w:after="120"/>
        <w:jc w:val="both"/>
        <w:rPr>
          <w:sz w:val="24"/>
          <w:szCs w:val="24"/>
          <w:lang w:val="en-US"/>
        </w:rPr>
      </w:pPr>
    </w:p>
    <w:p w:rsidR="00F120F2" w:rsidRPr="00F120F2" w:rsidRDefault="00F120F2" w:rsidP="00C821FD">
      <w:pPr>
        <w:spacing w:before="120" w:after="120"/>
        <w:jc w:val="both"/>
        <w:rPr>
          <w:sz w:val="24"/>
          <w:szCs w:val="24"/>
          <w:lang w:val="en-US"/>
        </w:rPr>
      </w:pPr>
    </w:p>
    <w:p w:rsidR="002B7986" w:rsidRPr="00F120F2" w:rsidRDefault="002B7986" w:rsidP="00C821FD">
      <w:pPr>
        <w:tabs>
          <w:tab w:val="left" w:pos="3828"/>
          <w:tab w:val="left" w:pos="4395"/>
        </w:tabs>
        <w:spacing w:after="0" w:line="240" w:lineRule="auto"/>
        <w:rPr>
          <w:rFonts w:cs="Calibri"/>
          <w:sz w:val="24"/>
          <w:szCs w:val="24"/>
          <w:lang w:val="en-US"/>
        </w:rPr>
      </w:pPr>
    </w:p>
    <w:p w:rsidR="00752BA9" w:rsidRPr="00F120F2" w:rsidRDefault="00411549"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lastRenderedPageBreak/>
        <w:t>Table S10</w:t>
      </w:r>
      <w:r w:rsidR="00752BA9" w:rsidRPr="00F120F2">
        <w:rPr>
          <w:rFonts w:cs="Calibri"/>
          <w:b/>
          <w:sz w:val="24"/>
          <w:szCs w:val="24"/>
          <w:lang w:val="en-US"/>
        </w:rPr>
        <w:t xml:space="preserve">. </w:t>
      </w:r>
      <w:r w:rsidR="00752BA9" w:rsidRPr="00F120F2">
        <w:rPr>
          <w:rFonts w:cs="Calibri"/>
          <w:sz w:val="24"/>
          <w:szCs w:val="24"/>
          <w:lang w:val="en-US"/>
        </w:rPr>
        <w:t xml:space="preserve">Multivariable analysis for the identification of factors associated with spinal radiographic progression </w:t>
      </w:r>
    </w:p>
    <w:p w:rsidR="00752BA9" w:rsidRPr="00F120F2" w:rsidRDefault="00C821FD" w:rsidP="00C821FD">
      <w:pPr>
        <w:tabs>
          <w:tab w:val="left" w:pos="3828"/>
          <w:tab w:val="left" w:pos="4395"/>
        </w:tabs>
        <w:spacing w:after="0" w:line="240" w:lineRule="auto"/>
        <w:rPr>
          <w:rFonts w:cs="Calibri"/>
          <w:b/>
          <w:sz w:val="24"/>
          <w:szCs w:val="24"/>
          <w:lang w:val="en-US"/>
        </w:rPr>
      </w:pPr>
      <w:r w:rsidRPr="00F120F2">
        <w:rPr>
          <w:rFonts w:cs="Calibri"/>
          <w:sz w:val="24"/>
          <w:szCs w:val="24"/>
          <w:lang w:val="en-US"/>
        </w:rPr>
        <w:t xml:space="preserve">Sensitivity Analysis </w:t>
      </w:r>
      <w:r>
        <w:rPr>
          <w:rFonts w:cs="Calibri"/>
          <w:sz w:val="24"/>
          <w:szCs w:val="24"/>
          <w:lang w:val="en-US"/>
        </w:rPr>
        <w:t xml:space="preserve">for GEE model in Figure 1 </w:t>
      </w:r>
      <w:r w:rsidR="00752BA9" w:rsidRPr="00F120F2">
        <w:rPr>
          <w:rFonts w:cs="Calibri"/>
          <w:sz w:val="24"/>
          <w:szCs w:val="24"/>
          <w:lang w:val="en-US"/>
        </w:rPr>
        <w:t>with “Unstructured” correlation structure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92"/>
        <w:gridCol w:w="1701"/>
        <w:gridCol w:w="1276"/>
      </w:tblGrid>
      <w:tr w:rsidR="00F120F2" w:rsidRPr="007049E3" w:rsidTr="00CB07D0">
        <w:tc>
          <w:tcPr>
            <w:tcW w:w="5954" w:type="dxa"/>
            <w:tcBorders>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752BA9" w:rsidRPr="00F120F2" w:rsidRDefault="00752BA9"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CB07D0">
        <w:tc>
          <w:tcPr>
            <w:tcW w:w="5954" w:type="dxa"/>
            <w:tcBorders>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CB07D0">
        <w:tc>
          <w:tcPr>
            <w:tcW w:w="5954" w:type="dxa"/>
            <w:tcBorders>
              <w:top w:val="single" w:sz="4" w:space="0" w:color="auto"/>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TNFi</w:t>
            </w:r>
            <w:proofErr w:type="spellEnd"/>
            <w:r w:rsidRPr="00F120F2">
              <w:rPr>
                <w:rFonts w:cs="Calibri"/>
                <w:sz w:val="24"/>
                <w:szCs w:val="24"/>
                <w:lang w:val="en-US"/>
              </w:rPr>
              <w:t xml:space="preserve"> use prior to each radiographic interval yes vs. no</w:t>
            </w:r>
          </w:p>
        </w:tc>
        <w:tc>
          <w:tcPr>
            <w:tcW w:w="992" w:type="dxa"/>
            <w:tcBorders>
              <w:top w:val="single" w:sz="4" w:space="0" w:color="auto"/>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0.49</w:t>
            </w:r>
          </w:p>
        </w:tc>
        <w:tc>
          <w:tcPr>
            <w:tcW w:w="1701" w:type="dxa"/>
            <w:tcBorders>
              <w:top w:val="single" w:sz="4" w:space="0" w:color="auto"/>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0.27-0.88</w:t>
            </w:r>
          </w:p>
        </w:tc>
        <w:tc>
          <w:tcPr>
            <w:tcW w:w="1276" w:type="dxa"/>
            <w:tcBorders>
              <w:top w:val="single" w:sz="4" w:space="0" w:color="auto"/>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0.02</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1.06</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1.04-1.09</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2.41</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1.21-4.79</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0.01</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 years)</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1.13</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0.99-1.29</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0.08</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1.09</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0.61-1.95</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0.77</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1.06</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0.47-2.39</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0.89</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Number exercise sessions per week</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0.94</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0.81-1.10</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0.85</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0.45-1.58</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0.60</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NSAIDs use at start of each radiographic interval</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0.87</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0.43-1.74</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0.69</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(Reference: BMI &lt;25)</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1.46</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0.82-3.62</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0.20</w:t>
            </w:r>
          </w:p>
        </w:tc>
      </w:tr>
      <w:tr w:rsidR="00F120F2" w:rsidRPr="00F120F2" w:rsidTr="00CB07D0">
        <w:tc>
          <w:tcPr>
            <w:tcW w:w="5954"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(Reference: BMI &lt;25)</w:t>
            </w:r>
          </w:p>
        </w:tc>
        <w:tc>
          <w:tcPr>
            <w:tcW w:w="992"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1.74</w:t>
            </w:r>
          </w:p>
        </w:tc>
        <w:tc>
          <w:tcPr>
            <w:tcW w:w="1701"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0.83.3.62</w:t>
            </w:r>
          </w:p>
        </w:tc>
        <w:tc>
          <w:tcPr>
            <w:tcW w:w="1276" w:type="dxa"/>
            <w:tcBorders>
              <w:top w:val="nil"/>
              <w:left w:val="nil"/>
              <w:bottom w:val="nil"/>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0.14</w:t>
            </w:r>
          </w:p>
        </w:tc>
      </w:tr>
      <w:tr w:rsidR="00F120F2" w:rsidRPr="00F120F2" w:rsidTr="00CB07D0">
        <w:tc>
          <w:tcPr>
            <w:tcW w:w="5954" w:type="dxa"/>
            <w:tcBorders>
              <w:top w:val="nil"/>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1.65</w:t>
            </w:r>
          </w:p>
        </w:tc>
        <w:tc>
          <w:tcPr>
            <w:tcW w:w="1701" w:type="dxa"/>
            <w:tcBorders>
              <w:top w:val="nil"/>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0.85-3.18</w:t>
            </w:r>
          </w:p>
        </w:tc>
        <w:tc>
          <w:tcPr>
            <w:tcW w:w="1276" w:type="dxa"/>
            <w:tcBorders>
              <w:top w:val="nil"/>
              <w:left w:val="nil"/>
              <w:bottom w:val="single" w:sz="4" w:space="0" w:color="auto"/>
              <w:right w:val="nil"/>
            </w:tcBorders>
            <w:shd w:val="clear" w:color="auto" w:fill="auto"/>
          </w:tcPr>
          <w:p w:rsidR="00752BA9" w:rsidRPr="00F120F2" w:rsidRDefault="00752BA9"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0.14</w:t>
            </w:r>
          </w:p>
        </w:tc>
      </w:tr>
    </w:tbl>
    <w:p w:rsidR="00752BA9" w:rsidRPr="00F120F2" w:rsidRDefault="00752BA9"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 Spondylitis Spine Score; NSAIDs = Nonsteroidal anti-inflammatory drugs;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752BA9" w:rsidRPr="00F120F2" w:rsidRDefault="00752BA9" w:rsidP="00C821FD">
      <w:pPr>
        <w:spacing w:before="120" w:after="120"/>
        <w:jc w:val="both"/>
        <w:rPr>
          <w:sz w:val="24"/>
          <w:szCs w:val="24"/>
          <w:lang w:val="en-US"/>
        </w:rPr>
      </w:pPr>
    </w:p>
    <w:p w:rsidR="00AE2568" w:rsidRPr="00F120F2" w:rsidRDefault="00AE2568"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D0744C" w:rsidP="00C821FD">
      <w:pPr>
        <w:spacing w:after="0" w:line="240" w:lineRule="auto"/>
        <w:jc w:val="both"/>
        <w:rPr>
          <w:lang w:val="en-US"/>
        </w:rPr>
      </w:pPr>
    </w:p>
    <w:p w:rsidR="00D0744C" w:rsidRPr="00F120F2" w:rsidRDefault="00411549" w:rsidP="00C821FD">
      <w:pPr>
        <w:tabs>
          <w:tab w:val="left" w:pos="3828"/>
          <w:tab w:val="left" w:pos="4395"/>
        </w:tabs>
        <w:spacing w:after="0" w:line="240" w:lineRule="auto"/>
        <w:rPr>
          <w:rFonts w:cs="Calibri"/>
          <w:sz w:val="24"/>
          <w:szCs w:val="24"/>
          <w:lang w:val="en-US"/>
        </w:rPr>
      </w:pPr>
      <w:r w:rsidRPr="00F120F2">
        <w:rPr>
          <w:rFonts w:cs="Calibri"/>
          <w:b/>
          <w:sz w:val="24"/>
          <w:szCs w:val="24"/>
          <w:lang w:val="en-US"/>
        </w:rPr>
        <w:lastRenderedPageBreak/>
        <w:t>Table S11</w:t>
      </w:r>
      <w:r w:rsidR="00D0744C" w:rsidRPr="00F120F2">
        <w:rPr>
          <w:rFonts w:cs="Calibri"/>
          <w:b/>
          <w:sz w:val="24"/>
          <w:szCs w:val="24"/>
          <w:lang w:val="en-US"/>
        </w:rPr>
        <w:t xml:space="preserve">. </w:t>
      </w:r>
      <w:r w:rsidR="00D0744C" w:rsidRPr="00F120F2">
        <w:rPr>
          <w:rFonts w:cs="Calibri"/>
          <w:sz w:val="24"/>
          <w:szCs w:val="24"/>
          <w:lang w:val="en-US"/>
        </w:rPr>
        <w:t xml:space="preserve">Multivariable analysis for the identification of factors associated with spinal radiographic progression </w:t>
      </w:r>
    </w:p>
    <w:p w:rsidR="00D0744C" w:rsidRPr="00F120F2" w:rsidRDefault="00C821FD" w:rsidP="00C821FD">
      <w:pPr>
        <w:tabs>
          <w:tab w:val="left" w:pos="3828"/>
          <w:tab w:val="left" w:pos="4395"/>
        </w:tabs>
        <w:spacing w:after="0" w:line="240" w:lineRule="auto"/>
        <w:rPr>
          <w:rFonts w:cs="Calibri"/>
          <w:b/>
          <w:sz w:val="24"/>
          <w:szCs w:val="24"/>
          <w:lang w:val="en-US"/>
        </w:rPr>
      </w:pPr>
      <w:r w:rsidRPr="00F120F2">
        <w:rPr>
          <w:rFonts w:cs="Calibri"/>
          <w:sz w:val="24"/>
          <w:szCs w:val="24"/>
          <w:lang w:val="en-US"/>
        </w:rPr>
        <w:t xml:space="preserve">Sensitivity Analysis </w:t>
      </w:r>
      <w:r>
        <w:rPr>
          <w:rFonts w:cs="Calibri"/>
          <w:sz w:val="24"/>
          <w:szCs w:val="24"/>
          <w:lang w:val="en-US"/>
        </w:rPr>
        <w:t xml:space="preserve">for GEE model in Figure 1 </w:t>
      </w:r>
      <w:r w:rsidR="00D0744C" w:rsidRPr="00F120F2">
        <w:rPr>
          <w:rFonts w:cs="Calibri"/>
          <w:sz w:val="24"/>
          <w:szCs w:val="24"/>
          <w:lang w:val="en-US"/>
        </w:rPr>
        <w:t>with “autoregressive” correlation structure</w:t>
      </w:r>
    </w:p>
    <w:tbl>
      <w:tblPr>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1701"/>
        <w:gridCol w:w="1276"/>
      </w:tblGrid>
      <w:tr w:rsidR="00F120F2" w:rsidRPr="007049E3" w:rsidTr="00571184">
        <w:tc>
          <w:tcPr>
            <w:tcW w:w="7797" w:type="dxa"/>
            <w:tcBorders>
              <w:left w:val="nil"/>
              <w:bottom w:val="single" w:sz="4" w:space="0" w:color="auto"/>
              <w:right w:val="nil"/>
            </w:tcBorders>
            <w:shd w:val="clear" w:color="auto" w:fill="auto"/>
          </w:tcPr>
          <w:p w:rsidR="00D0744C" w:rsidRPr="00F120F2" w:rsidRDefault="00D0744C" w:rsidP="00C821FD">
            <w:pPr>
              <w:tabs>
                <w:tab w:val="left" w:pos="3828"/>
                <w:tab w:val="left" w:pos="4395"/>
              </w:tabs>
              <w:spacing w:after="0" w:line="240" w:lineRule="auto"/>
              <w:rPr>
                <w:rFonts w:cs="Calibri"/>
                <w:b/>
                <w:sz w:val="24"/>
                <w:szCs w:val="24"/>
                <w:lang w:val="en-US"/>
              </w:rPr>
            </w:pPr>
          </w:p>
        </w:tc>
        <w:tc>
          <w:tcPr>
            <w:tcW w:w="3969" w:type="dxa"/>
            <w:gridSpan w:val="3"/>
            <w:tcBorders>
              <w:left w:val="nil"/>
              <w:bottom w:val="single" w:sz="4" w:space="0" w:color="auto"/>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Progression defined as </w:t>
            </w:r>
          </w:p>
          <w:p w:rsidR="00D0744C" w:rsidRPr="00F120F2" w:rsidRDefault="00D0744C"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 xml:space="preserve">≥2 </w:t>
            </w:r>
            <w:proofErr w:type="spellStart"/>
            <w:r w:rsidRPr="00F120F2">
              <w:rPr>
                <w:rFonts w:cs="Calibri"/>
                <w:b/>
                <w:sz w:val="24"/>
                <w:szCs w:val="24"/>
                <w:lang w:val="en-US"/>
              </w:rPr>
              <w:t>mSASSS</w:t>
            </w:r>
            <w:proofErr w:type="spellEnd"/>
            <w:r w:rsidRPr="00F120F2">
              <w:rPr>
                <w:rFonts w:cs="Calibri"/>
                <w:b/>
                <w:sz w:val="24"/>
                <w:szCs w:val="24"/>
                <w:lang w:val="en-US"/>
              </w:rPr>
              <w:t xml:space="preserve"> units in 2 years</w:t>
            </w:r>
          </w:p>
        </w:tc>
      </w:tr>
      <w:tr w:rsidR="00F120F2" w:rsidRPr="00F120F2" w:rsidTr="00571184">
        <w:tc>
          <w:tcPr>
            <w:tcW w:w="7797" w:type="dxa"/>
            <w:tcBorders>
              <w:left w:val="nil"/>
              <w:bottom w:val="single" w:sz="4" w:space="0" w:color="auto"/>
              <w:right w:val="nil"/>
            </w:tcBorders>
            <w:shd w:val="clear" w:color="auto" w:fill="auto"/>
          </w:tcPr>
          <w:p w:rsidR="00D0744C" w:rsidRPr="00F120F2" w:rsidRDefault="00D0744C" w:rsidP="00C821FD">
            <w:pPr>
              <w:tabs>
                <w:tab w:val="left" w:pos="3828"/>
                <w:tab w:val="left" w:pos="4395"/>
              </w:tabs>
              <w:spacing w:after="0" w:line="240" w:lineRule="auto"/>
              <w:rPr>
                <w:rFonts w:cs="Calibri"/>
                <w:b/>
                <w:sz w:val="24"/>
                <w:szCs w:val="24"/>
                <w:lang w:val="en-US"/>
              </w:rPr>
            </w:pPr>
            <w:r w:rsidRPr="00F120F2">
              <w:rPr>
                <w:rFonts w:cs="Calibri"/>
                <w:b/>
                <w:sz w:val="24"/>
                <w:szCs w:val="24"/>
                <w:lang w:val="en-US"/>
              </w:rPr>
              <w:t>Variable</w:t>
            </w:r>
          </w:p>
        </w:tc>
        <w:tc>
          <w:tcPr>
            <w:tcW w:w="992" w:type="dxa"/>
            <w:tcBorders>
              <w:left w:val="nil"/>
              <w:bottom w:val="single" w:sz="4" w:space="0" w:color="auto"/>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OR</w:t>
            </w:r>
          </w:p>
        </w:tc>
        <w:tc>
          <w:tcPr>
            <w:tcW w:w="1701" w:type="dxa"/>
            <w:tcBorders>
              <w:left w:val="nil"/>
              <w:bottom w:val="single" w:sz="4" w:space="0" w:color="auto"/>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95% CI</w:t>
            </w:r>
          </w:p>
        </w:tc>
        <w:tc>
          <w:tcPr>
            <w:tcW w:w="1276" w:type="dxa"/>
            <w:tcBorders>
              <w:left w:val="nil"/>
              <w:bottom w:val="single" w:sz="4" w:space="0" w:color="auto"/>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b/>
                <w:sz w:val="24"/>
                <w:szCs w:val="24"/>
                <w:lang w:val="en-US"/>
              </w:rPr>
            </w:pPr>
            <w:r w:rsidRPr="00F120F2">
              <w:rPr>
                <w:rFonts w:cs="Calibri"/>
                <w:b/>
                <w:sz w:val="24"/>
                <w:szCs w:val="24"/>
                <w:lang w:val="en-US"/>
              </w:rPr>
              <w:t>P value</w:t>
            </w:r>
          </w:p>
        </w:tc>
      </w:tr>
      <w:tr w:rsidR="00F120F2" w:rsidRPr="00F120F2" w:rsidTr="00571184">
        <w:tc>
          <w:tcPr>
            <w:tcW w:w="7797" w:type="dxa"/>
            <w:tcBorders>
              <w:top w:val="single" w:sz="4" w:space="0" w:color="auto"/>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TNFi</w:t>
            </w:r>
            <w:proofErr w:type="spellEnd"/>
            <w:r w:rsidRPr="00F120F2">
              <w:rPr>
                <w:rFonts w:cs="Calibri"/>
                <w:sz w:val="24"/>
                <w:szCs w:val="24"/>
                <w:lang w:val="en-US"/>
              </w:rPr>
              <w:t xml:space="preserve"> use prior to each radiographic interval yes vs. no</w:t>
            </w:r>
          </w:p>
        </w:tc>
        <w:tc>
          <w:tcPr>
            <w:tcW w:w="992" w:type="dxa"/>
            <w:tcBorders>
              <w:top w:val="single" w:sz="4" w:space="0" w:color="auto"/>
              <w:left w:val="nil"/>
              <w:bottom w:val="nil"/>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0.50</w:t>
            </w:r>
          </w:p>
        </w:tc>
        <w:tc>
          <w:tcPr>
            <w:tcW w:w="1701" w:type="dxa"/>
            <w:tcBorders>
              <w:top w:val="single" w:sz="4" w:space="0" w:color="auto"/>
              <w:left w:val="nil"/>
              <w:bottom w:val="nil"/>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0.28-0.88</w:t>
            </w:r>
          </w:p>
        </w:tc>
        <w:tc>
          <w:tcPr>
            <w:tcW w:w="1276" w:type="dxa"/>
            <w:tcBorders>
              <w:top w:val="single" w:sz="4" w:space="0" w:color="auto"/>
              <w:left w:val="nil"/>
              <w:bottom w:val="nil"/>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0.02</w:t>
            </w:r>
          </w:p>
        </w:tc>
      </w:tr>
      <w:tr w:rsidR="00F120F2" w:rsidRPr="00F120F2" w:rsidTr="00571184">
        <w:tc>
          <w:tcPr>
            <w:tcW w:w="7797"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proofErr w:type="spellStart"/>
            <w:r w:rsidRPr="00F120F2">
              <w:rPr>
                <w:rFonts w:cs="Calibri"/>
                <w:sz w:val="24"/>
                <w:szCs w:val="24"/>
                <w:lang w:val="en-US"/>
              </w:rPr>
              <w:t>mSASSS</w:t>
            </w:r>
            <w:proofErr w:type="spellEnd"/>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1.06</w:t>
            </w:r>
          </w:p>
        </w:tc>
        <w:tc>
          <w:tcPr>
            <w:tcW w:w="1701"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1.04-1.09</w:t>
            </w:r>
          </w:p>
        </w:tc>
        <w:tc>
          <w:tcPr>
            <w:tcW w:w="1276"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&lt;0.001</w:t>
            </w:r>
          </w:p>
        </w:tc>
      </w:tr>
      <w:tr w:rsidR="00F120F2" w:rsidRPr="00F120F2" w:rsidTr="00571184">
        <w:tc>
          <w:tcPr>
            <w:tcW w:w="7797"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Male sex</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2.15</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1.08-4.28</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0.03</w:t>
            </w:r>
          </w:p>
        </w:tc>
      </w:tr>
      <w:tr w:rsidR="00F120F2" w:rsidRPr="00F120F2" w:rsidTr="00571184">
        <w:tc>
          <w:tcPr>
            <w:tcW w:w="7797" w:type="dxa"/>
            <w:tcBorders>
              <w:top w:val="nil"/>
              <w:left w:val="nil"/>
              <w:bottom w:val="nil"/>
              <w:right w:val="nil"/>
            </w:tcBorders>
            <w:shd w:val="clear" w:color="auto" w:fill="auto"/>
          </w:tcPr>
          <w:p w:rsidR="00D0744C" w:rsidRPr="00F120F2" w:rsidRDefault="00571184"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Symptom duration (5y</w:t>
            </w:r>
            <w:r w:rsidR="00D0744C" w:rsidRPr="00F120F2">
              <w:rPr>
                <w:rFonts w:cs="Calibri"/>
                <w:sz w:val="24"/>
                <w:szCs w:val="24"/>
                <w:lang w:val="en-US"/>
              </w:rPr>
              <w:t>)</w:t>
            </w:r>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1.12</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0.98-1.27</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0.10</w:t>
            </w:r>
          </w:p>
        </w:tc>
      </w:tr>
      <w:tr w:rsidR="00F120F2" w:rsidRPr="00F120F2" w:rsidTr="00571184">
        <w:tc>
          <w:tcPr>
            <w:tcW w:w="7797"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Current smoking</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1.13</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0.64-1.99</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0.67</w:t>
            </w:r>
          </w:p>
        </w:tc>
      </w:tr>
      <w:tr w:rsidR="00F120F2" w:rsidRPr="00F120F2" w:rsidTr="00571184">
        <w:tc>
          <w:tcPr>
            <w:tcW w:w="7797"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HLA-B27</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1.06</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0.47-2.38</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0.90</w:t>
            </w:r>
          </w:p>
        </w:tc>
      </w:tr>
      <w:tr w:rsidR="00F120F2" w:rsidRPr="00F120F2" w:rsidTr="00571184">
        <w:tc>
          <w:tcPr>
            <w:tcW w:w="7797"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 xml:space="preserve">Number </w:t>
            </w:r>
            <w:r w:rsidR="00571184" w:rsidRPr="00F120F2">
              <w:rPr>
                <w:rFonts w:cs="Calibri"/>
                <w:sz w:val="24"/>
                <w:szCs w:val="24"/>
                <w:lang w:val="en-US"/>
              </w:rPr>
              <w:t xml:space="preserve">of </w:t>
            </w:r>
            <w:r w:rsidRPr="00F120F2">
              <w:rPr>
                <w:rFonts w:cs="Calibri"/>
                <w:sz w:val="24"/>
                <w:szCs w:val="24"/>
                <w:lang w:val="en-US"/>
              </w:rPr>
              <w:t>exercise sessions per week</w:t>
            </w:r>
            <w:r w:rsidR="00571184"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0.95</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0.82-1.10</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0.51</w:t>
            </w:r>
          </w:p>
        </w:tc>
      </w:tr>
      <w:tr w:rsidR="00F120F2" w:rsidRPr="00F120F2" w:rsidTr="00571184">
        <w:tc>
          <w:tcPr>
            <w:tcW w:w="7797"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Peripheral arthritis</w:t>
            </w:r>
            <w:r w:rsidR="00571184"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0.89</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0.49-1.61</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0.70</w:t>
            </w:r>
          </w:p>
        </w:tc>
      </w:tr>
      <w:tr w:rsidR="00F120F2" w:rsidRPr="00F120F2" w:rsidTr="00571184">
        <w:tc>
          <w:tcPr>
            <w:tcW w:w="7797" w:type="dxa"/>
            <w:tcBorders>
              <w:top w:val="nil"/>
              <w:left w:val="nil"/>
              <w:bottom w:val="nil"/>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NSAIDs use at start of each radiographic interval</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0.83</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0.42-1.67</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0.61</w:t>
            </w:r>
          </w:p>
        </w:tc>
      </w:tr>
      <w:tr w:rsidR="00F120F2" w:rsidRPr="00F120F2" w:rsidTr="00571184">
        <w:tc>
          <w:tcPr>
            <w:tcW w:w="7797" w:type="dxa"/>
            <w:tcBorders>
              <w:top w:val="nil"/>
              <w:left w:val="nil"/>
              <w:bottom w:val="nil"/>
              <w:right w:val="nil"/>
            </w:tcBorders>
            <w:shd w:val="clear" w:color="auto" w:fill="auto"/>
          </w:tcPr>
          <w:p w:rsidR="00D0744C" w:rsidRPr="00F120F2" w:rsidRDefault="00571184"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25-30 (Ref</w:t>
            </w:r>
            <w:r w:rsidR="00D0744C" w:rsidRPr="00F120F2">
              <w:rPr>
                <w:rFonts w:cs="Calibri"/>
                <w:sz w:val="24"/>
                <w:szCs w:val="24"/>
                <w:lang w:val="en-US"/>
              </w:rPr>
              <w:t>: BMI &lt;25)</w:t>
            </w:r>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1.44</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0.81-2.57</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0.21</w:t>
            </w:r>
          </w:p>
        </w:tc>
      </w:tr>
      <w:tr w:rsidR="00F120F2" w:rsidRPr="00F120F2" w:rsidTr="00571184">
        <w:tc>
          <w:tcPr>
            <w:tcW w:w="7797" w:type="dxa"/>
            <w:tcBorders>
              <w:top w:val="nil"/>
              <w:left w:val="nil"/>
              <w:bottom w:val="nil"/>
              <w:right w:val="nil"/>
            </w:tcBorders>
            <w:shd w:val="clear" w:color="auto" w:fill="auto"/>
          </w:tcPr>
          <w:p w:rsidR="00D0744C" w:rsidRPr="00F120F2" w:rsidRDefault="00571184"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BMI &gt;30 (Ref</w:t>
            </w:r>
            <w:r w:rsidR="00D0744C" w:rsidRPr="00F120F2">
              <w:rPr>
                <w:rFonts w:cs="Calibri"/>
                <w:sz w:val="24"/>
                <w:szCs w:val="24"/>
                <w:lang w:val="en-US"/>
              </w:rPr>
              <w:t>: BMI &lt;25)</w:t>
            </w:r>
            <w:r w:rsidRPr="00F120F2">
              <w:rPr>
                <w:rFonts w:cs="Calibri"/>
                <w:sz w:val="24"/>
                <w:szCs w:val="24"/>
                <w:lang w:val="en-US"/>
              </w:rPr>
              <w:t xml:space="preserve"> at start of each radiographic interval</w:t>
            </w:r>
          </w:p>
        </w:tc>
        <w:tc>
          <w:tcPr>
            <w:tcW w:w="992"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1.69</w:t>
            </w:r>
          </w:p>
        </w:tc>
        <w:tc>
          <w:tcPr>
            <w:tcW w:w="1701"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0.81-3.49</w:t>
            </w:r>
          </w:p>
        </w:tc>
        <w:tc>
          <w:tcPr>
            <w:tcW w:w="1276" w:type="dxa"/>
            <w:tcBorders>
              <w:top w:val="nil"/>
              <w:left w:val="nil"/>
              <w:bottom w:val="nil"/>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0.16</w:t>
            </w:r>
          </w:p>
        </w:tc>
      </w:tr>
      <w:tr w:rsidR="00F120F2" w:rsidRPr="00F120F2" w:rsidTr="00571184">
        <w:tc>
          <w:tcPr>
            <w:tcW w:w="7797" w:type="dxa"/>
            <w:tcBorders>
              <w:top w:val="nil"/>
              <w:left w:val="nil"/>
              <w:bottom w:val="single" w:sz="4" w:space="0" w:color="auto"/>
              <w:right w:val="nil"/>
            </w:tcBorders>
            <w:shd w:val="clear" w:color="auto" w:fill="auto"/>
          </w:tcPr>
          <w:p w:rsidR="00D0744C" w:rsidRPr="00F120F2" w:rsidRDefault="00D0744C" w:rsidP="00C821FD">
            <w:pPr>
              <w:tabs>
                <w:tab w:val="left" w:pos="3828"/>
                <w:tab w:val="left" w:pos="4395"/>
              </w:tabs>
              <w:spacing w:after="0" w:line="240" w:lineRule="auto"/>
              <w:rPr>
                <w:rFonts w:cs="Calibri"/>
                <w:sz w:val="24"/>
                <w:szCs w:val="24"/>
                <w:lang w:val="en-US"/>
              </w:rPr>
            </w:pPr>
            <w:r w:rsidRPr="00F120F2">
              <w:rPr>
                <w:rFonts w:cs="Calibri"/>
                <w:sz w:val="24"/>
                <w:szCs w:val="24"/>
                <w:lang w:val="en-US"/>
              </w:rPr>
              <w:t>Duration of radiographic interval</w:t>
            </w:r>
          </w:p>
        </w:tc>
        <w:tc>
          <w:tcPr>
            <w:tcW w:w="992" w:type="dxa"/>
            <w:tcBorders>
              <w:top w:val="nil"/>
              <w:left w:val="nil"/>
              <w:bottom w:val="single" w:sz="4" w:space="0" w:color="auto"/>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1.63</w:t>
            </w:r>
          </w:p>
        </w:tc>
        <w:tc>
          <w:tcPr>
            <w:tcW w:w="1701" w:type="dxa"/>
            <w:tcBorders>
              <w:top w:val="nil"/>
              <w:left w:val="nil"/>
              <w:bottom w:val="single" w:sz="4" w:space="0" w:color="auto"/>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0.86-3.08</w:t>
            </w:r>
          </w:p>
        </w:tc>
        <w:tc>
          <w:tcPr>
            <w:tcW w:w="1276" w:type="dxa"/>
            <w:tcBorders>
              <w:top w:val="nil"/>
              <w:left w:val="nil"/>
              <w:bottom w:val="single" w:sz="4" w:space="0" w:color="auto"/>
              <w:right w:val="nil"/>
            </w:tcBorders>
            <w:shd w:val="clear" w:color="auto" w:fill="auto"/>
          </w:tcPr>
          <w:p w:rsidR="00D0744C" w:rsidRPr="00F120F2" w:rsidRDefault="005C123D" w:rsidP="00C821FD">
            <w:pPr>
              <w:tabs>
                <w:tab w:val="left" w:pos="3828"/>
                <w:tab w:val="left" w:pos="4395"/>
              </w:tabs>
              <w:spacing w:after="0" w:line="240" w:lineRule="auto"/>
              <w:jc w:val="center"/>
              <w:rPr>
                <w:rFonts w:cs="Calibri"/>
                <w:sz w:val="24"/>
                <w:szCs w:val="24"/>
                <w:lang w:val="en-US"/>
              </w:rPr>
            </w:pPr>
            <w:r w:rsidRPr="00F120F2">
              <w:rPr>
                <w:rFonts w:cs="Calibri"/>
                <w:sz w:val="24"/>
                <w:szCs w:val="24"/>
                <w:lang w:val="en-US"/>
              </w:rPr>
              <w:t>0.13</w:t>
            </w:r>
          </w:p>
        </w:tc>
      </w:tr>
    </w:tbl>
    <w:p w:rsidR="00D0744C" w:rsidRPr="00F120F2" w:rsidRDefault="00D0744C" w:rsidP="00C821FD">
      <w:pPr>
        <w:spacing w:before="120" w:after="120"/>
        <w:jc w:val="both"/>
        <w:rPr>
          <w:sz w:val="24"/>
          <w:szCs w:val="24"/>
          <w:lang w:val="en-US"/>
        </w:rPr>
      </w:pPr>
      <w:r w:rsidRPr="00F120F2">
        <w:rPr>
          <w:rFonts w:cs="Calibri"/>
          <w:sz w:val="24"/>
          <w:szCs w:val="24"/>
          <w:lang w:val="en-US"/>
        </w:rPr>
        <w:t>*Analysis performed in 616 radiographic intervals from 432 patients (patients with available data for all covariates; no imputation). BMI = Body Mass Index;</w:t>
      </w:r>
      <w:r w:rsidRPr="00F120F2">
        <w:rPr>
          <w:rFonts w:cs="Calibri"/>
          <w:b/>
          <w:sz w:val="24"/>
          <w:szCs w:val="24"/>
          <w:lang w:val="en-US"/>
        </w:rPr>
        <w:t xml:space="preserve"> </w:t>
      </w:r>
      <w:r w:rsidRPr="00F120F2">
        <w:rPr>
          <w:rFonts w:cs="Calibri"/>
          <w:sz w:val="24"/>
          <w:szCs w:val="24"/>
          <w:lang w:val="en-US"/>
        </w:rPr>
        <w:t xml:space="preserve">CI = confidence interval; </w:t>
      </w:r>
      <w:r w:rsidRPr="00F120F2">
        <w:rPr>
          <w:sz w:val="24"/>
          <w:szCs w:val="24"/>
          <w:lang w:val="en-US"/>
        </w:rPr>
        <w:t xml:space="preserve">HLA-B27 = human leucocyte antigen B27; </w:t>
      </w:r>
      <w:proofErr w:type="spellStart"/>
      <w:r w:rsidRPr="00F120F2">
        <w:rPr>
          <w:sz w:val="24"/>
          <w:szCs w:val="24"/>
          <w:lang w:val="en-US"/>
        </w:rPr>
        <w:t>mSASSS</w:t>
      </w:r>
      <w:proofErr w:type="spellEnd"/>
      <w:r w:rsidRPr="00F120F2">
        <w:rPr>
          <w:sz w:val="24"/>
          <w:szCs w:val="24"/>
          <w:lang w:val="en-US"/>
        </w:rPr>
        <w:t xml:space="preserve"> = modified Stoke Ankylosing Spondylitis Spine Score; NSAIDs = Nonsteroidal anti-inflammatory drugs; OR = odds ratio; </w:t>
      </w:r>
      <w:proofErr w:type="spellStart"/>
      <w:r w:rsidRPr="00F120F2">
        <w:rPr>
          <w:sz w:val="24"/>
          <w:szCs w:val="24"/>
          <w:lang w:val="en-US"/>
        </w:rPr>
        <w:t>TNFi</w:t>
      </w:r>
      <w:proofErr w:type="spellEnd"/>
      <w:r w:rsidRPr="00F120F2">
        <w:rPr>
          <w:sz w:val="24"/>
          <w:szCs w:val="24"/>
          <w:lang w:val="en-US"/>
        </w:rPr>
        <w:t xml:space="preserve"> = </w:t>
      </w:r>
      <w:proofErr w:type="spellStart"/>
      <w:r w:rsidRPr="00F120F2">
        <w:rPr>
          <w:sz w:val="24"/>
          <w:szCs w:val="24"/>
          <w:lang w:val="en-US"/>
        </w:rPr>
        <w:t>Tumour</w:t>
      </w:r>
      <w:proofErr w:type="spellEnd"/>
      <w:r w:rsidRPr="00F120F2">
        <w:rPr>
          <w:sz w:val="24"/>
          <w:szCs w:val="24"/>
          <w:lang w:val="en-US"/>
        </w:rPr>
        <w:t xml:space="preserve"> necrosis factor inhibitor.</w:t>
      </w:r>
    </w:p>
    <w:p w:rsidR="00D0744C" w:rsidRPr="00F120F2" w:rsidRDefault="00D0744C" w:rsidP="00C821FD">
      <w:pPr>
        <w:spacing w:before="120" w:after="120"/>
        <w:jc w:val="both"/>
        <w:rPr>
          <w:sz w:val="24"/>
          <w:szCs w:val="24"/>
          <w:lang w:val="en-US"/>
        </w:rPr>
      </w:pPr>
    </w:p>
    <w:p w:rsidR="00D0744C" w:rsidRPr="00F120F2" w:rsidRDefault="00D0744C" w:rsidP="00C821FD">
      <w:pPr>
        <w:spacing w:after="0" w:line="240" w:lineRule="auto"/>
        <w:jc w:val="both"/>
        <w:rPr>
          <w:lang w:val="en-US"/>
        </w:rPr>
        <w:sectPr w:rsidR="00D0744C" w:rsidRPr="00F120F2" w:rsidSect="00281DF4">
          <w:footerReference w:type="default" r:id="rId8"/>
          <w:pgSz w:w="16838" w:h="11906" w:orient="landscape"/>
          <w:pgMar w:top="851" w:right="1134" w:bottom="1702" w:left="1560" w:header="708" w:footer="708" w:gutter="0"/>
          <w:cols w:space="708"/>
          <w:docGrid w:linePitch="360"/>
        </w:sectPr>
      </w:pPr>
    </w:p>
    <w:p w:rsidR="00084403" w:rsidRPr="00F120F2" w:rsidRDefault="008D1928" w:rsidP="00C821FD">
      <w:pPr>
        <w:spacing w:after="0" w:line="240" w:lineRule="auto"/>
        <w:rPr>
          <w:sz w:val="24"/>
          <w:szCs w:val="24"/>
          <w:lang w:val="en-US"/>
        </w:rPr>
      </w:pPr>
      <w:r w:rsidRPr="00F120F2">
        <w:rPr>
          <w:noProof/>
          <w:lang w:eastAsia="de-CH"/>
        </w:rPr>
        <w:lastRenderedPageBreak/>
        <w:drawing>
          <wp:inline distT="0" distB="0" distL="0" distR="0" wp14:anchorId="2B996B9D" wp14:editId="7826B54B">
            <wp:extent cx="5760720" cy="52762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276215"/>
                    </a:xfrm>
                    <a:prstGeom prst="rect">
                      <a:avLst/>
                    </a:prstGeom>
                  </pic:spPr>
                </pic:pic>
              </a:graphicData>
            </a:graphic>
          </wp:inline>
        </w:drawing>
      </w: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r w:rsidRPr="00F120F2">
        <w:rPr>
          <w:b/>
          <w:sz w:val="24"/>
          <w:szCs w:val="24"/>
          <w:lang w:val="en-US"/>
        </w:rPr>
        <w:t>Figure S1</w:t>
      </w:r>
      <w:r w:rsidRPr="00F120F2">
        <w:rPr>
          <w:sz w:val="24"/>
          <w:szCs w:val="24"/>
          <w:lang w:val="en-US"/>
        </w:rPr>
        <w:t xml:space="preserve">. Bland and Altman plot: reliability of the </w:t>
      </w:r>
      <w:proofErr w:type="spellStart"/>
      <w:r w:rsidRPr="00F120F2">
        <w:rPr>
          <w:sz w:val="24"/>
          <w:szCs w:val="24"/>
          <w:lang w:val="en-US"/>
        </w:rPr>
        <w:t>mSASSS</w:t>
      </w:r>
      <w:proofErr w:type="spellEnd"/>
      <w:r w:rsidRPr="00F120F2">
        <w:rPr>
          <w:sz w:val="24"/>
          <w:szCs w:val="24"/>
          <w:lang w:val="en-US"/>
        </w:rPr>
        <w:t xml:space="preserve"> progression scores.</w:t>
      </w: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084403" w:rsidRPr="00F120F2" w:rsidRDefault="00084403" w:rsidP="00C821FD">
      <w:pPr>
        <w:spacing w:after="0" w:line="240" w:lineRule="auto"/>
        <w:rPr>
          <w:sz w:val="24"/>
          <w:szCs w:val="24"/>
          <w:lang w:val="en-US"/>
        </w:rPr>
      </w:pPr>
    </w:p>
    <w:p w:rsidR="00CE6724" w:rsidRPr="00F120F2" w:rsidRDefault="00CE6724" w:rsidP="00C821FD">
      <w:pPr>
        <w:spacing w:after="0" w:line="240" w:lineRule="auto"/>
        <w:rPr>
          <w:noProof/>
          <w:sz w:val="24"/>
          <w:szCs w:val="24"/>
          <w:lang w:val="en-US" w:eastAsia="de-CH"/>
        </w:rPr>
      </w:pPr>
    </w:p>
    <w:p w:rsidR="00CE6724" w:rsidRPr="00F120F2" w:rsidRDefault="00CE6724" w:rsidP="00C821FD">
      <w:pPr>
        <w:spacing w:after="0" w:line="240" w:lineRule="auto"/>
        <w:rPr>
          <w:noProof/>
          <w:sz w:val="24"/>
          <w:szCs w:val="24"/>
          <w:lang w:val="en-US" w:eastAsia="de-CH"/>
        </w:rPr>
      </w:pPr>
    </w:p>
    <w:p w:rsidR="00CE6724" w:rsidRPr="00F120F2" w:rsidRDefault="00CE6724" w:rsidP="00C821FD">
      <w:pPr>
        <w:spacing w:after="0" w:line="240" w:lineRule="auto"/>
        <w:rPr>
          <w:noProof/>
          <w:sz w:val="24"/>
          <w:szCs w:val="24"/>
          <w:lang w:val="en-US" w:eastAsia="de-CH"/>
        </w:rPr>
      </w:pPr>
    </w:p>
    <w:p w:rsidR="00CE6724" w:rsidRPr="00F120F2" w:rsidRDefault="00CE6724" w:rsidP="00C821FD">
      <w:pPr>
        <w:spacing w:after="0" w:line="240" w:lineRule="auto"/>
        <w:rPr>
          <w:noProof/>
          <w:sz w:val="24"/>
          <w:szCs w:val="24"/>
          <w:lang w:val="en-US" w:eastAsia="de-CH"/>
        </w:rPr>
      </w:pPr>
    </w:p>
    <w:p w:rsidR="00CE6724" w:rsidRPr="00F120F2" w:rsidRDefault="00CE6724" w:rsidP="00C821FD">
      <w:pPr>
        <w:spacing w:after="0" w:line="240" w:lineRule="auto"/>
        <w:rPr>
          <w:noProof/>
          <w:sz w:val="24"/>
          <w:szCs w:val="24"/>
          <w:lang w:val="en-US" w:eastAsia="de-CH"/>
        </w:rPr>
      </w:pPr>
      <w:r w:rsidRPr="00F120F2">
        <w:rPr>
          <w:noProof/>
          <w:sz w:val="24"/>
          <w:szCs w:val="24"/>
          <w:lang w:eastAsia="de-CH"/>
        </w:rPr>
        <w:drawing>
          <wp:inline distT="0" distB="0" distL="0" distR="0">
            <wp:extent cx="4986528" cy="6559296"/>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S3-neu.jpg"/>
                    <pic:cNvPicPr/>
                  </pic:nvPicPr>
                  <pic:blipFill>
                    <a:blip r:embed="rId10">
                      <a:extLst>
                        <a:ext uri="{28A0092B-C50C-407E-A947-70E740481C1C}">
                          <a14:useLocalDpi xmlns:a14="http://schemas.microsoft.com/office/drawing/2010/main" val="0"/>
                        </a:ext>
                      </a:extLst>
                    </a:blip>
                    <a:stretch>
                      <a:fillRect/>
                    </a:stretch>
                  </pic:blipFill>
                  <pic:spPr>
                    <a:xfrm>
                      <a:off x="0" y="0"/>
                      <a:ext cx="4986528" cy="6559296"/>
                    </a:xfrm>
                    <a:prstGeom prst="rect">
                      <a:avLst/>
                    </a:prstGeom>
                  </pic:spPr>
                </pic:pic>
              </a:graphicData>
            </a:graphic>
          </wp:inline>
        </w:drawing>
      </w:r>
    </w:p>
    <w:p w:rsidR="00CE6724" w:rsidRPr="00F120F2" w:rsidRDefault="005F33D7" w:rsidP="00C821FD">
      <w:pPr>
        <w:spacing w:after="0" w:line="240" w:lineRule="auto"/>
        <w:rPr>
          <w:noProof/>
          <w:sz w:val="24"/>
          <w:szCs w:val="24"/>
          <w:lang w:val="en-US" w:eastAsia="de-CH"/>
        </w:rPr>
      </w:pPr>
      <w:r>
        <w:rPr>
          <w:b/>
          <w:sz w:val="24"/>
          <w:szCs w:val="24"/>
          <w:lang w:val="en-US"/>
        </w:rPr>
        <w:t>Figure S2</w:t>
      </w:r>
      <w:r w:rsidR="00CE6724" w:rsidRPr="00F120F2">
        <w:rPr>
          <w:sz w:val="24"/>
          <w:szCs w:val="24"/>
          <w:lang w:val="en-US"/>
        </w:rPr>
        <w:t xml:space="preserve">.  </w:t>
      </w:r>
      <w:r w:rsidR="00CE6724" w:rsidRPr="00F120F2">
        <w:rPr>
          <w:noProof/>
          <w:sz w:val="24"/>
          <w:szCs w:val="24"/>
          <w:lang w:val="en-US" w:eastAsia="de-CH"/>
        </w:rPr>
        <w:t>Cumulative probability plot of 2-year progression in the modified Stoke Ankylosing Spine Score (mSASSS), illustrating the change in mSASSS values from b</w:t>
      </w:r>
      <w:r w:rsidR="00DC1EF4" w:rsidRPr="00F120F2">
        <w:rPr>
          <w:noProof/>
          <w:sz w:val="24"/>
          <w:szCs w:val="24"/>
          <w:lang w:val="en-US" w:eastAsia="de-CH"/>
        </w:rPr>
        <w:t>aseline of each individual radiographic</w:t>
      </w:r>
      <w:r w:rsidR="00CE6724" w:rsidRPr="00F120F2">
        <w:rPr>
          <w:noProof/>
          <w:sz w:val="24"/>
          <w:szCs w:val="24"/>
          <w:lang w:val="en-US" w:eastAsia="de-CH"/>
        </w:rPr>
        <w:t xml:space="preserve"> interval to 2 years in patients already treated with TNFi at start of the respective interval, stratified by the baseline CRP status (elevated CRP </w:t>
      </w:r>
      <w:r w:rsidR="00C821FD">
        <w:rPr>
          <w:noProof/>
          <w:sz w:val="24"/>
          <w:szCs w:val="24"/>
          <w:lang w:val="en-US" w:eastAsia="de-CH"/>
        </w:rPr>
        <w:t xml:space="preserve">(N=50 with 53 radiographic intervals) </w:t>
      </w:r>
      <w:r w:rsidR="00CE6724" w:rsidRPr="00F120F2">
        <w:rPr>
          <w:noProof/>
          <w:sz w:val="24"/>
          <w:szCs w:val="24"/>
          <w:lang w:val="en-US" w:eastAsia="de-CH"/>
        </w:rPr>
        <w:t>vs. normal CRP</w:t>
      </w:r>
      <w:r w:rsidR="00C821FD">
        <w:rPr>
          <w:noProof/>
          <w:sz w:val="24"/>
          <w:szCs w:val="24"/>
          <w:lang w:val="en-US" w:eastAsia="de-CH"/>
        </w:rPr>
        <w:t xml:space="preserve"> (N=165 with 231 radiographic intervals</w:t>
      </w:r>
      <w:r w:rsidR="00CE6724" w:rsidRPr="00F120F2">
        <w:rPr>
          <w:noProof/>
          <w:sz w:val="24"/>
          <w:szCs w:val="24"/>
          <w:lang w:val="en-US" w:eastAsia="de-CH"/>
        </w:rPr>
        <w:t xml:space="preserve">). </w:t>
      </w:r>
      <w:r w:rsidR="00C821FD">
        <w:rPr>
          <w:noProof/>
          <w:sz w:val="24"/>
          <w:szCs w:val="24"/>
          <w:lang w:val="en-US" w:eastAsia="de-CH"/>
        </w:rPr>
        <w:t>BL = baseline (start of each radiographic interval)</w:t>
      </w:r>
    </w:p>
    <w:p w:rsidR="00CE6724" w:rsidRPr="00F120F2" w:rsidRDefault="00CE6724" w:rsidP="00C821FD">
      <w:pPr>
        <w:spacing w:after="0" w:line="240" w:lineRule="auto"/>
        <w:rPr>
          <w:noProof/>
          <w:sz w:val="24"/>
          <w:szCs w:val="24"/>
          <w:lang w:val="en-US" w:eastAsia="de-CH"/>
        </w:rPr>
      </w:pPr>
    </w:p>
    <w:p w:rsidR="00CE6724" w:rsidRPr="00F120F2" w:rsidRDefault="00CE6724" w:rsidP="00C821FD">
      <w:pPr>
        <w:rPr>
          <w:lang w:val="en-US"/>
        </w:rPr>
      </w:pPr>
    </w:p>
    <w:sectPr w:rsidR="00CE6724" w:rsidRPr="00F120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7A" w:rsidRDefault="009C257A" w:rsidP="006C67E3">
      <w:pPr>
        <w:spacing w:after="0" w:line="240" w:lineRule="auto"/>
      </w:pPr>
      <w:r>
        <w:separator/>
      </w:r>
    </w:p>
  </w:endnote>
  <w:endnote w:type="continuationSeparator" w:id="0">
    <w:p w:rsidR="009C257A" w:rsidRDefault="009C257A" w:rsidP="006C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E3" w:rsidRDefault="007049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E3" w:rsidRDefault="007049E3" w:rsidP="006D4315">
    <w:pPr>
      <w:pStyle w:val="Fuzeile"/>
    </w:pPr>
  </w:p>
  <w:p w:rsidR="007049E3" w:rsidRDefault="007049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7A" w:rsidRDefault="009C257A" w:rsidP="006C67E3">
      <w:pPr>
        <w:spacing w:after="0" w:line="240" w:lineRule="auto"/>
      </w:pPr>
      <w:r>
        <w:separator/>
      </w:r>
    </w:p>
  </w:footnote>
  <w:footnote w:type="continuationSeparator" w:id="0">
    <w:p w:rsidR="009C257A" w:rsidRDefault="009C257A" w:rsidP="006C6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60C65"/>
    <w:multiLevelType w:val="hybridMultilevel"/>
    <w:tmpl w:val="7CCE5D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3AD33EE"/>
    <w:multiLevelType w:val="hybridMultilevel"/>
    <w:tmpl w:val="1C9C12A6"/>
    <w:lvl w:ilvl="0" w:tplc="D3945A7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6403D9"/>
    <w:multiLevelType w:val="hybridMultilevel"/>
    <w:tmpl w:val="5EDC86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en-US"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9dszxsntrfwle5xpfxaa5hf9v9pstefswa&quot;&gt;SpA&lt;record-ids&gt;&lt;item&gt;670&lt;/item&gt;&lt;item&gt;710&lt;/item&gt;&lt;item&gt;764&lt;/item&gt;&lt;item&gt;781&lt;/item&gt;&lt;item&gt;799&lt;/item&gt;&lt;item&gt;865&lt;/item&gt;&lt;item&gt;923&lt;/item&gt;&lt;item&gt;972&lt;/item&gt;&lt;item&gt;997&lt;/item&gt;&lt;item&gt;1034&lt;/item&gt;&lt;item&gt;1055&lt;/item&gt;&lt;item&gt;1079&lt;/item&gt;&lt;item&gt;1091&lt;/item&gt;&lt;item&gt;1093&lt;/item&gt;&lt;item&gt;1195&lt;/item&gt;&lt;item&gt;1202&lt;/item&gt;&lt;item&gt;1240&lt;/item&gt;&lt;item&gt;1295&lt;/item&gt;&lt;item&gt;1475&lt;/item&gt;&lt;item&gt;1476&lt;/item&gt;&lt;item&gt;1477&lt;/item&gt;&lt;item&gt;1478&lt;/item&gt;&lt;item&gt;1479&lt;/item&gt;&lt;item&gt;1480&lt;/item&gt;&lt;item&gt;1481&lt;/item&gt;&lt;item&gt;1482&lt;/item&gt;&lt;item&gt;1483&lt;/item&gt;&lt;item&gt;1484&lt;/item&gt;&lt;item&gt;1485&lt;/item&gt;&lt;item&gt;1486&lt;/item&gt;&lt;item&gt;1488&lt;/item&gt;&lt;item&gt;1489&lt;/item&gt;&lt;item&gt;1490&lt;/item&gt;&lt;item&gt;1491&lt;/item&gt;&lt;item&gt;1494&lt;/item&gt;&lt;item&gt;1513&lt;/item&gt;&lt;/record-ids&gt;&lt;/item&gt;&lt;/Libraries&gt;"/>
  </w:docVars>
  <w:rsids>
    <w:rsidRoot w:val="00680C6A"/>
    <w:rsid w:val="00010F3C"/>
    <w:rsid w:val="00015A23"/>
    <w:rsid w:val="000319E0"/>
    <w:rsid w:val="00037DBD"/>
    <w:rsid w:val="000410EC"/>
    <w:rsid w:val="00044737"/>
    <w:rsid w:val="00051CD1"/>
    <w:rsid w:val="0005485C"/>
    <w:rsid w:val="00084403"/>
    <w:rsid w:val="00084A90"/>
    <w:rsid w:val="000862A2"/>
    <w:rsid w:val="00092D07"/>
    <w:rsid w:val="000A2EAD"/>
    <w:rsid w:val="000A3EF1"/>
    <w:rsid w:val="000B414A"/>
    <w:rsid w:val="000B4493"/>
    <w:rsid w:val="000B4ADE"/>
    <w:rsid w:val="000C04E0"/>
    <w:rsid w:val="000C21C3"/>
    <w:rsid w:val="000D2400"/>
    <w:rsid w:val="000D5D0A"/>
    <w:rsid w:val="000E4D18"/>
    <w:rsid w:val="001000CE"/>
    <w:rsid w:val="00102541"/>
    <w:rsid w:val="00102DD0"/>
    <w:rsid w:val="00103845"/>
    <w:rsid w:val="00104A12"/>
    <w:rsid w:val="00107165"/>
    <w:rsid w:val="001117BE"/>
    <w:rsid w:val="001129A2"/>
    <w:rsid w:val="00152944"/>
    <w:rsid w:val="00155B11"/>
    <w:rsid w:val="0017495A"/>
    <w:rsid w:val="001761AF"/>
    <w:rsid w:val="001838F2"/>
    <w:rsid w:val="00184308"/>
    <w:rsid w:val="001906A3"/>
    <w:rsid w:val="00193FD4"/>
    <w:rsid w:val="0019408A"/>
    <w:rsid w:val="001A2BC2"/>
    <w:rsid w:val="001A4B49"/>
    <w:rsid w:val="001A53E8"/>
    <w:rsid w:val="001A7CEE"/>
    <w:rsid w:val="001B3307"/>
    <w:rsid w:val="001B3653"/>
    <w:rsid w:val="001B38B7"/>
    <w:rsid w:val="001B5B6F"/>
    <w:rsid w:val="001B67A1"/>
    <w:rsid w:val="001D007F"/>
    <w:rsid w:val="001D23FE"/>
    <w:rsid w:val="001D3199"/>
    <w:rsid w:val="001E6B71"/>
    <w:rsid w:val="002213C3"/>
    <w:rsid w:val="00224BF4"/>
    <w:rsid w:val="00224DA2"/>
    <w:rsid w:val="002273B8"/>
    <w:rsid w:val="00231120"/>
    <w:rsid w:val="0023179D"/>
    <w:rsid w:val="002404FD"/>
    <w:rsid w:val="00241517"/>
    <w:rsid w:val="0024537E"/>
    <w:rsid w:val="00245DD6"/>
    <w:rsid w:val="00247D41"/>
    <w:rsid w:val="00250D2B"/>
    <w:rsid w:val="00256E85"/>
    <w:rsid w:val="0026022E"/>
    <w:rsid w:val="00272533"/>
    <w:rsid w:val="00275C52"/>
    <w:rsid w:val="00280BBD"/>
    <w:rsid w:val="00280E28"/>
    <w:rsid w:val="00281DF4"/>
    <w:rsid w:val="002839FC"/>
    <w:rsid w:val="00286492"/>
    <w:rsid w:val="00287F6A"/>
    <w:rsid w:val="00290578"/>
    <w:rsid w:val="0029413A"/>
    <w:rsid w:val="002B0E89"/>
    <w:rsid w:val="002B5C6A"/>
    <w:rsid w:val="002B7986"/>
    <w:rsid w:val="002C598C"/>
    <w:rsid w:val="002C6374"/>
    <w:rsid w:val="002C70C2"/>
    <w:rsid w:val="002D0DCB"/>
    <w:rsid w:val="002D2721"/>
    <w:rsid w:val="002E085F"/>
    <w:rsid w:val="002E1F51"/>
    <w:rsid w:val="002F0A54"/>
    <w:rsid w:val="002F54AC"/>
    <w:rsid w:val="00301C95"/>
    <w:rsid w:val="00312435"/>
    <w:rsid w:val="00331621"/>
    <w:rsid w:val="00336415"/>
    <w:rsid w:val="00337064"/>
    <w:rsid w:val="00343B6C"/>
    <w:rsid w:val="00345C61"/>
    <w:rsid w:val="00346B4E"/>
    <w:rsid w:val="003476DC"/>
    <w:rsid w:val="00347769"/>
    <w:rsid w:val="00352839"/>
    <w:rsid w:val="00353157"/>
    <w:rsid w:val="00365259"/>
    <w:rsid w:val="00367947"/>
    <w:rsid w:val="003702E5"/>
    <w:rsid w:val="00374BDB"/>
    <w:rsid w:val="00375032"/>
    <w:rsid w:val="003775C1"/>
    <w:rsid w:val="00380095"/>
    <w:rsid w:val="00386C5C"/>
    <w:rsid w:val="00395851"/>
    <w:rsid w:val="003A0490"/>
    <w:rsid w:val="003A76F9"/>
    <w:rsid w:val="003A7999"/>
    <w:rsid w:val="003B7B43"/>
    <w:rsid w:val="003C1F78"/>
    <w:rsid w:val="003C5ABB"/>
    <w:rsid w:val="003E28AF"/>
    <w:rsid w:val="003E78CE"/>
    <w:rsid w:val="003F1D7E"/>
    <w:rsid w:val="003F25C6"/>
    <w:rsid w:val="004045E3"/>
    <w:rsid w:val="00410060"/>
    <w:rsid w:val="00411549"/>
    <w:rsid w:val="00415D4E"/>
    <w:rsid w:val="00422A1A"/>
    <w:rsid w:val="00426F11"/>
    <w:rsid w:val="004335EC"/>
    <w:rsid w:val="00447791"/>
    <w:rsid w:val="004540C8"/>
    <w:rsid w:val="00456876"/>
    <w:rsid w:val="0045796C"/>
    <w:rsid w:val="00457EB7"/>
    <w:rsid w:val="00462186"/>
    <w:rsid w:val="004642E0"/>
    <w:rsid w:val="0046613A"/>
    <w:rsid w:val="00481C70"/>
    <w:rsid w:val="00481D23"/>
    <w:rsid w:val="004862DC"/>
    <w:rsid w:val="00494CC4"/>
    <w:rsid w:val="00495EB3"/>
    <w:rsid w:val="004A2073"/>
    <w:rsid w:val="004B36AB"/>
    <w:rsid w:val="004B47F3"/>
    <w:rsid w:val="004C1981"/>
    <w:rsid w:val="004C2613"/>
    <w:rsid w:val="004C3179"/>
    <w:rsid w:val="004C524F"/>
    <w:rsid w:val="004C67A9"/>
    <w:rsid w:val="004D5A9A"/>
    <w:rsid w:val="004E2CFD"/>
    <w:rsid w:val="004E52DF"/>
    <w:rsid w:val="004E55E3"/>
    <w:rsid w:val="004F1C44"/>
    <w:rsid w:val="004F265B"/>
    <w:rsid w:val="004F48F0"/>
    <w:rsid w:val="004F4B58"/>
    <w:rsid w:val="004F662F"/>
    <w:rsid w:val="00501982"/>
    <w:rsid w:val="00503991"/>
    <w:rsid w:val="0050594A"/>
    <w:rsid w:val="00507446"/>
    <w:rsid w:val="00510B03"/>
    <w:rsid w:val="00517430"/>
    <w:rsid w:val="00517F15"/>
    <w:rsid w:val="00527513"/>
    <w:rsid w:val="00531473"/>
    <w:rsid w:val="00533C68"/>
    <w:rsid w:val="00537C9F"/>
    <w:rsid w:val="00540411"/>
    <w:rsid w:val="005408A0"/>
    <w:rsid w:val="00544BAD"/>
    <w:rsid w:val="005547E6"/>
    <w:rsid w:val="00560FF3"/>
    <w:rsid w:val="00561248"/>
    <w:rsid w:val="00561877"/>
    <w:rsid w:val="00562719"/>
    <w:rsid w:val="00562E35"/>
    <w:rsid w:val="0056349C"/>
    <w:rsid w:val="00563749"/>
    <w:rsid w:val="00571184"/>
    <w:rsid w:val="00571F90"/>
    <w:rsid w:val="005829E1"/>
    <w:rsid w:val="0058302A"/>
    <w:rsid w:val="00584FC3"/>
    <w:rsid w:val="00585191"/>
    <w:rsid w:val="00593581"/>
    <w:rsid w:val="005A203C"/>
    <w:rsid w:val="005A5691"/>
    <w:rsid w:val="005A63E9"/>
    <w:rsid w:val="005B04EC"/>
    <w:rsid w:val="005B15B0"/>
    <w:rsid w:val="005B522F"/>
    <w:rsid w:val="005C09B7"/>
    <w:rsid w:val="005C0E5A"/>
    <w:rsid w:val="005C123D"/>
    <w:rsid w:val="005C5E7D"/>
    <w:rsid w:val="005D0BE9"/>
    <w:rsid w:val="005D320D"/>
    <w:rsid w:val="005D6A81"/>
    <w:rsid w:val="005D780C"/>
    <w:rsid w:val="005E634B"/>
    <w:rsid w:val="005F16AF"/>
    <w:rsid w:val="005F33D7"/>
    <w:rsid w:val="005F351A"/>
    <w:rsid w:val="005F5B8F"/>
    <w:rsid w:val="00600E58"/>
    <w:rsid w:val="00602252"/>
    <w:rsid w:val="00606E7E"/>
    <w:rsid w:val="00611EA8"/>
    <w:rsid w:val="00612F11"/>
    <w:rsid w:val="00613067"/>
    <w:rsid w:val="00616957"/>
    <w:rsid w:val="00620371"/>
    <w:rsid w:val="0062105F"/>
    <w:rsid w:val="00624CFB"/>
    <w:rsid w:val="00651C41"/>
    <w:rsid w:val="00653C1E"/>
    <w:rsid w:val="006626B5"/>
    <w:rsid w:val="00662BEE"/>
    <w:rsid w:val="0067075A"/>
    <w:rsid w:val="00672BF6"/>
    <w:rsid w:val="00676EB5"/>
    <w:rsid w:val="00680C6A"/>
    <w:rsid w:val="006873EF"/>
    <w:rsid w:val="006906A9"/>
    <w:rsid w:val="00694EB3"/>
    <w:rsid w:val="006971E9"/>
    <w:rsid w:val="006A3D30"/>
    <w:rsid w:val="006A6FED"/>
    <w:rsid w:val="006C67E3"/>
    <w:rsid w:val="006D4315"/>
    <w:rsid w:val="006D786F"/>
    <w:rsid w:val="006E122D"/>
    <w:rsid w:val="006E208B"/>
    <w:rsid w:val="006E26B6"/>
    <w:rsid w:val="006E649B"/>
    <w:rsid w:val="007049E3"/>
    <w:rsid w:val="00704E40"/>
    <w:rsid w:val="00706AAD"/>
    <w:rsid w:val="00713DC8"/>
    <w:rsid w:val="00714EBF"/>
    <w:rsid w:val="0071500E"/>
    <w:rsid w:val="00715ED2"/>
    <w:rsid w:val="00716E52"/>
    <w:rsid w:val="0071706D"/>
    <w:rsid w:val="0072319B"/>
    <w:rsid w:val="00730A22"/>
    <w:rsid w:val="007407CF"/>
    <w:rsid w:val="0074316F"/>
    <w:rsid w:val="00746976"/>
    <w:rsid w:val="00752BA9"/>
    <w:rsid w:val="00753DFE"/>
    <w:rsid w:val="00755FBC"/>
    <w:rsid w:val="00764928"/>
    <w:rsid w:val="00766970"/>
    <w:rsid w:val="00767D0F"/>
    <w:rsid w:val="00773DB9"/>
    <w:rsid w:val="00781C69"/>
    <w:rsid w:val="007853E5"/>
    <w:rsid w:val="007875B7"/>
    <w:rsid w:val="00793356"/>
    <w:rsid w:val="007952AA"/>
    <w:rsid w:val="007A26B9"/>
    <w:rsid w:val="007A745F"/>
    <w:rsid w:val="007B0B19"/>
    <w:rsid w:val="007B1BF8"/>
    <w:rsid w:val="007B3C65"/>
    <w:rsid w:val="007B72CB"/>
    <w:rsid w:val="007D2603"/>
    <w:rsid w:val="007D4F07"/>
    <w:rsid w:val="007E5683"/>
    <w:rsid w:val="007F1217"/>
    <w:rsid w:val="007F3199"/>
    <w:rsid w:val="00812726"/>
    <w:rsid w:val="0081451B"/>
    <w:rsid w:val="00824E09"/>
    <w:rsid w:val="008310A1"/>
    <w:rsid w:val="00831CF2"/>
    <w:rsid w:val="008337BA"/>
    <w:rsid w:val="00842742"/>
    <w:rsid w:val="00861EC6"/>
    <w:rsid w:val="008719BD"/>
    <w:rsid w:val="00875DF8"/>
    <w:rsid w:val="008819F8"/>
    <w:rsid w:val="008902E5"/>
    <w:rsid w:val="0089369C"/>
    <w:rsid w:val="00893FA1"/>
    <w:rsid w:val="0089426E"/>
    <w:rsid w:val="008A3007"/>
    <w:rsid w:val="008B1B2F"/>
    <w:rsid w:val="008B41F5"/>
    <w:rsid w:val="008C1734"/>
    <w:rsid w:val="008C2492"/>
    <w:rsid w:val="008C2C71"/>
    <w:rsid w:val="008D1928"/>
    <w:rsid w:val="008D29D6"/>
    <w:rsid w:val="008E20D4"/>
    <w:rsid w:val="008E5422"/>
    <w:rsid w:val="008F0564"/>
    <w:rsid w:val="008F4875"/>
    <w:rsid w:val="00907D19"/>
    <w:rsid w:val="009141A8"/>
    <w:rsid w:val="009271E3"/>
    <w:rsid w:val="00943C07"/>
    <w:rsid w:val="009569B6"/>
    <w:rsid w:val="00972049"/>
    <w:rsid w:val="009749EC"/>
    <w:rsid w:val="00974E2F"/>
    <w:rsid w:val="00977BAB"/>
    <w:rsid w:val="00985378"/>
    <w:rsid w:val="00990152"/>
    <w:rsid w:val="009935CD"/>
    <w:rsid w:val="00993E03"/>
    <w:rsid w:val="009949DD"/>
    <w:rsid w:val="009A1108"/>
    <w:rsid w:val="009A48B1"/>
    <w:rsid w:val="009B29F7"/>
    <w:rsid w:val="009B5197"/>
    <w:rsid w:val="009C257A"/>
    <w:rsid w:val="009C323B"/>
    <w:rsid w:val="009C3CD4"/>
    <w:rsid w:val="009D3B26"/>
    <w:rsid w:val="009E76BA"/>
    <w:rsid w:val="009E7ECF"/>
    <w:rsid w:val="009F4FC5"/>
    <w:rsid w:val="00A06BDC"/>
    <w:rsid w:val="00A113E2"/>
    <w:rsid w:val="00A14A4C"/>
    <w:rsid w:val="00A17C02"/>
    <w:rsid w:val="00A269FC"/>
    <w:rsid w:val="00A31757"/>
    <w:rsid w:val="00A353D2"/>
    <w:rsid w:val="00A4360E"/>
    <w:rsid w:val="00A51797"/>
    <w:rsid w:val="00A54BE6"/>
    <w:rsid w:val="00A61DCF"/>
    <w:rsid w:val="00A62FB7"/>
    <w:rsid w:val="00A65090"/>
    <w:rsid w:val="00A805BE"/>
    <w:rsid w:val="00A821AE"/>
    <w:rsid w:val="00A82C7F"/>
    <w:rsid w:val="00A92A24"/>
    <w:rsid w:val="00A950CC"/>
    <w:rsid w:val="00A9629F"/>
    <w:rsid w:val="00AA5AFB"/>
    <w:rsid w:val="00AB010D"/>
    <w:rsid w:val="00AB6FEF"/>
    <w:rsid w:val="00AC5AD3"/>
    <w:rsid w:val="00AC6AF3"/>
    <w:rsid w:val="00AD433F"/>
    <w:rsid w:val="00AD45ED"/>
    <w:rsid w:val="00AD56B6"/>
    <w:rsid w:val="00AD7D0C"/>
    <w:rsid w:val="00AE1762"/>
    <w:rsid w:val="00AE17B3"/>
    <w:rsid w:val="00AE2568"/>
    <w:rsid w:val="00AE2FB9"/>
    <w:rsid w:val="00AE4645"/>
    <w:rsid w:val="00AE4707"/>
    <w:rsid w:val="00AF100A"/>
    <w:rsid w:val="00AF1650"/>
    <w:rsid w:val="00AF1DD9"/>
    <w:rsid w:val="00B0526D"/>
    <w:rsid w:val="00B11AD0"/>
    <w:rsid w:val="00B16010"/>
    <w:rsid w:val="00B20B0C"/>
    <w:rsid w:val="00B21124"/>
    <w:rsid w:val="00B21AB2"/>
    <w:rsid w:val="00B33BAA"/>
    <w:rsid w:val="00B34175"/>
    <w:rsid w:val="00B3444D"/>
    <w:rsid w:val="00B37890"/>
    <w:rsid w:val="00B41419"/>
    <w:rsid w:val="00B44E85"/>
    <w:rsid w:val="00B50463"/>
    <w:rsid w:val="00B50BD2"/>
    <w:rsid w:val="00B57459"/>
    <w:rsid w:val="00B5770E"/>
    <w:rsid w:val="00B80875"/>
    <w:rsid w:val="00B81013"/>
    <w:rsid w:val="00B867A8"/>
    <w:rsid w:val="00B8777E"/>
    <w:rsid w:val="00B921B8"/>
    <w:rsid w:val="00B971E9"/>
    <w:rsid w:val="00BA4273"/>
    <w:rsid w:val="00BA4320"/>
    <w:rsid w:val="00BB06C1"/>
    <w:rsid w:val="00BB16A5"/>
    <w:rsid w:val="00BC13E8"/>
    <w:rsid w:val="00BC22AA"/>
    <w:rsid w:val="00BD5484"/>
    <w:rsid w:val="00BE1770"/>
    <w:rsid w:val="00BE190C"/>
    <w:rsid w:val="00BE5EE3"/>
    <w:rsid w:val="00BE7E95"/>
    <w:rsid w:val="00BF37A5"/>
    <w:rsid w:val="00C147B2"/>
    <w:rsid w:val="00C15571"/>
    <w:rsid w:val="00C21969"/>
    <w:rsid w:val="00C24CC9"/>
    <w:rsid w:val="00C25C7E"/>
    <w:rsid w:val="00C26C80"/>
    <w:rsid w:val="00C335DD"/>
    <w:rsid w:val="00C355A5"/>
    <w:rsid w:val="00C360E0"/>
    <w:rsid w:val="00C379C2"/>
    <w:rsid w:val="00C413B2"/>
    <w:rsid w:val="00C56217"/>
    <w:rsid w:val="00C66CAE"/>
    <w:rsid w:val="00C70F50"/>
    <w:rsid w:val="00C7389E"/>
    <w:rsid w:val="00C81926"/>
    <w:rsid w:val="00C81B46"/>
    <w:rsid w:val="00C821FD"/>
    <w:rsid w:val="00C85719"/>
    <w:rsid w:val="00C8764A"/>
    <w:rsid w:val="00C93CD5"/>
    <w:rsid w:val="00C93E0D"/>
    <w:rsid w:val="00C94090"/>
    <w:rsid w:val="00C95085"/>
    <w:rsid w:val="00CA1551"/>
    <w:rsid w:val="00CA1C7D"/>
    <w:rsid w:val="00CA1D6B"/>
    <w:rsid w:val="00CA5B8A"/>
    <w:rsid w:val="00CB07D0"/>
    <w:rsid w:val="00CB5FE9"/>
    <w:rsid w:val="00CB6407"/>
    <w:rsid w:val="00CB7339"/>
    <w:rsid w:val="00CB7978"/>
    <w:rsid w:val="00CC2916"/>
    <w:rsid w:val="00CD31D6"/>
    <w:rsid w:val="00CE02C6"/>
    <w:rsid w:val="00CE6724"/>
    <w:rsid w:val="00CE695E"/>
    <w:rsid w:val="00CF6D6E"/>
    <w:rsid w:val="00D002F3"/>
    <w:rsid w:val="00D041AA"/>
    <w:rsid w:val="00D0744C"/>
    <w:rsid w:val="00D07AEA"/>
    <w:rsid w:val="00D11DE8"/>
    <w:rsid w:val="00D12D2F"/>
    <w:rsid w:val="00D15A29"/>
    <w:rsid w:val="00D21C70"/>
    <w:rsid w:val="00D23EED"/>
    <w:rsid w:val="00D268A9"/>
    <w:rsid w:val="00D30145"/>
    <w:rsid w:val="00D31950"/>
    <w:rsid w:val="00D3261B"/>
    <w:rsid w:val="00D32627"/>
    <w:rsid w:val="00D35276"/>
    <w:rsid w:val="00D41534"/>
    <w:rsid w:val="00D42FC2"/>
    <w:rsid w:val="00D50AE5"/>
    <w:rsid w:val="00D62A7B"/>
    <w:rsid w:val="00D64E44"/>
    <w:rsid w:val="00D65DE0"/>
    <w:rsid w:val="00D719B0"/>
    <w:rsid w:val="00D751AF"/>
    <w:rsid w:val="00D7641B"/>
    <w:rsid w:val="00D80608"/>
    <w:rsid w:val="00D86F69"/>
    <w:rsid w:val="00D97000"/>
    <w:rsid w:val="00DA1421"/>
    <w:rsid w:val="00DA4E68"/>
    <w:rsid w:val="00DB43A1"/>
    <w:rsid w:val="00DC1EF4"/>
    <w:rsid w:val="00DC266A"/>
    <w:rsid w:val="00DC3EEE"/>
    <w:rsid w:val="00DD284A"/>
    <w:rsid w:val="00DD4B5F"/>
    <w:rsid w:val="00DD5524"/>
    <w:rsid w:val="00DE14DB"/>
    <w:rsid w:val="00DE19F4"/>
    <w:rsid w:val="00DE3EFC"/>
    <w:rsid w:val="00E01D1E"/>
    <w:rsid w:val="00E01F23"/>
    <w:rsid w:val="00E10E5B"/>
    <w:rsid w:val="00E11346"/>
    <w:rsid w:val="00E13CD9"/>
    <w:rsid w:val="00E15188"/>
    <w:rsid w:val="00E1649B"/>
    <w:rsid w:val="00E20949"/>
    <w:rsid w:val="00E20AAE"/>
    <w:rsid w:val="00E21ED4"/>
    <w:rsid w:val="00E25220"/>
    <w:rsid w:val="00E255CB"/>
    <w:rsid w:val="00E349DE"/>
    <w:rsid w:val="00E35182"/>
    <w:rsid w:val="00E351EA"/>
    <w:rsid w:val="00E51254"/>
    <w:rsid w:val="00E558F5"/>
    <w:rsid w:val="00E56D74"/>
    <w:rsid w:val="00E608BB"/>
    <w:rsid w:val="00E62AA2"/>
    <w:rsid w:val="00E809A5"/>
    <w:rsid w:val="00E86D61"/>
    <w:rsid w:val="00E92D54"/>
    <w:rsid w:val="00EA4D04"/>
    <w:rsid w:val="00EB2D98"/>
    <w:rsid w:val="00EB66D5"/>
    <w:rsid w:val="00EC69CB"/>
    <w:rsid w:val="00ED1B9D"/>
    <w:rsid w:val="00ED255F"/>
    <w:rsid w:val="00EE2D46"/>
    <w:rsid w:val="00EF039E"/>
    <w:rsid w:val="00F016C0"/>
    <w:rsid w:val="00F070FE"/>
    <w:rsid w:val="00F0772C"/>
    <w:rsid w:val="00F07751"/>
    <w:rsid w:val="00F11FB5"/>
    <w:rsid w:val="00F120F2"/>
    <w:rsid w:val="00F15A26"/>
    <w:rsid w:val="00F16635"/>
    <w:rsid w:val="00F32292"/>
    <w:rsid w:val="00F45268"/>
    <w:rsid w:val="00F5299F"/>
    <w:rsid w:val="00F54288"/>
    <w:rsid w:val="00F56E9A"/>
    <w:rsid w:val="00F57038"/>
    <w:rsid w:val="00F635B6"/>
    <w:rsid w:val="00F648C2"/>
    <w:rsid w:val="00F64F66"/>
    <w:rsid w:val="00F6733C"/>
    <w:rsid w:val="00F71489"/>
    <w:rsid w:val="00F72B0E"/>
    <w:rsid w:val="00F739A9"/>
    <w:rsid w:val="00F73BB1"/>
    <w:rsid w:val="00F75B43"/>
    <w:rsid w:val="00F83243"/>
    <w:rsid w:val="00F851C6"/>
    <w:rsid w:val="00F87931"/>
    <w:rsid w:val="00FA0D05"/>
    <w:rsid w:val="00FA1682"/>
    <w:rsid w:val="00FA19E2"/>
    <w:rsid w:val="00FC04C1"/>
    <w:rsid w:val="00FC7D0D"/>
    <w:rsid w:val="00FD27B4"/>
    <w:rsid w:val="00FD50BF"/>
    <w:rsid w:val="00FD5A1C"/>
    <w:rsid w:val="00FF7C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C47A7-43DF-470F-8629-B901B9A9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C6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80C6A"/>
    <w:rPr>
      <w:color w:val="0563C1"/>
      <w:u w:val="single"/>
    </w:rPr>
  </w:style>
  <w:style w:type="paragraph" w:styleId="Fuzeile">
    <w:name w:val="footer"/>
    <w:basedOn w:val="Standard"/>
    <w:link w:val="FuzeileZchn"/>
    <w:uiPriority w:val="99"/>
    <w:unhideWhenUsed/>
    <w:rsid w:val="006C67E3"/>
    <w:pPr>
      <w:tabs>
        <w:tab w:val="center" w:pos="4536"/>
        <w:tab w:val="right" w:pos="9072"/>
      </w:tabs>
    </w:pPr>
  </w:style>
  <w:style w:type="character" w:customStyle="1" w:styleId="FuzeileZchn">
    <w:name w:val="Fußzeile Zchn"/>
    <w:link w:val="Fuzeile"/>
    <w:uiPriority w:val="99"/>
    <w:rsid w:val="006C67E3"/>
    <w:rPr>
      <w:sz w:val="22"/>
      <w:szCs w:val="22"/>
      <w:lang w:eastAsia="en-US"/>
    </w:rPr>
  </w:style>
  <w:style w:type="paragraph" w:styleId="Kopfzeile">
    <w:name w:val="header"/>
    <w:basedOn w:val="Standard"/>
    <w:link w:val="KopfzeileZchn"/>
    <w:uiPriority w:val="99"/>
    <w:unhideWhenUsed/>
    <w:rsid w:val="006C67E3"/>
    <w:pPr>
      <w:tabs>
        <w:tab w:val="center" w:pos="4536"/>
        <w:tab w:val="right" w:pos="9072"/>
      </w:tabs>
    </w:pPr>
  </w:style>
  <w:style w:type="character" w:customStyle="1" w:styleId="KopfzeileZchn">
    <w:name w:val="Kopfzeile Zchn"/>
    <w:link w:val="Kopfzeile"/>
    <w:uiPriority w:val="99"/>
    <w:rsid w:val="006C67E3"/>
    <w:rPr>
      <w:sz w:val="22"/>
      <w:szCs w:val="22"/>
      <w:lang w:eastAsia="en-US"/>
    </w:rPr>
  </w:style>
  <w:style w:type="paragraph" w:customStyle="1" w:styleId="title1">
    <w:name w:val="title1"/>
    <w:basedOn w:val="Standard"/>
    <w:rsid w:val="00375032"/>
    <w:pPr>
      <w:spacing w:after="0" w:line="240" w:lineRule="auto"/>
    </w:pPr>
    <w:rPr>
      <w:rFonts w:ascii="Times New Roman" w:eastAsia="Times New Roman" w:hAnsi="Times New Roman"/>
      <w:sz w:val="27"/>
      <w:szCs w:val="27"/>
      <w:lang w:eastAsia="de-CH"/>
    </w:rPr>
  </w:style>
  <w:style w:type="paragraph" w:customStyle="1" w:styleId="desc2">
    <w:name w:val="desc2"/>
    <w:basedOn w:val="Standard"/>
    <w:rsid w:val="00375032"/>
    <w:pPr>
      <w:spacing w:after="0" w:line="240" w:lineRule="auto"/>
    </w:pPr>
    <w:rPr>
      <w:rFonts w:ascii="Times New Roman" w:eastAsia="Times New Roman" w:hAnsi="Times New Roman"/>
      <w:sz w:val="26"/>
      <w:szCs w:val="26"/>
      <w:lang w:eastAsia="de-CH"/>
    </w:rPr>
  </w:style>
  <w:style w:type="paragraph" w:customStyle="1" w:styleId="details1">
    <w:name w:val="details1"/>
    <w:basedOn w:val="Standard"/>
    <w:rsid w:val="00375032"/>
    <w:pPr>
      <w:spacing w:after="0" w:line="240" w:lineRule="auto"/>
    </w:pPr>
    <w:rPr>
      <w:rFonts w:ascii="Times New Roman" w:eastAsia="Times New Roman" w:hAnsi="Times New Roman"/>
      <w:lang w:eastAsia="de-CH"/>
    </w:rPr>
  </w:style>
  <w:style w:type="character" w:customStyle="1" w:styleId="jrnl">
    <w:name w:val="jrnl"/>
    <w:rsid w:val="00375032"/>
  </w:style>
  <w:style w:type="character" w:customStyle="1" w:styleId="highlight2">
    <w:name w:val="highlight2"/>
    <w:rsid w:val="00B37890"/>
  </w:style>
  <w:style w:type="paragraph" w:customStyle="1" w:styleId="EndNoteBibliographyTitle">
    <w:name w:val="EndNote Bibliography Title"/>
    <w:basedOn w:val="Standard"/>
    <w:link w:val="EndNoteBibliographyTitleZchn"/>
    <w:rsid w:val="00312435"/>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312435"/>
    <w:rPr>
      <w:noProof/>
      <w:sz w:val="22"/>
      <w:szCs w:val="22"/>
      <w:lang w:val="en-US" w:eastAsia="en-US"/>
    </w:rPr>
  </w:style>
  <w:style w:type="paragraph" w:customStyle="1" w:styleId="EndNoteBibliography">
    <w:name w:val="EndNote Bibliography"/>
    <w:basedOn w:val="Standard"/>
    <w:link w:val="EndNoteBibliographyZchn"/>
    <w:rsid w:val="00312435"/>
    <w:pPr>
      <w:spacing w:line="240" w:lineRule="auto"/>
    </w:pPr>
    <w:rPr>
      <w:noProof/>
      <w:lang w:val="en-US"/>
    </w:rPr>
  </w:style>
  <w:style w:type="character" w:customStyle="1" w:styleId="EndNoteBibliographyZchn">
    <w:name w:val="EndNote Bibliography Zchn"/>
    <w:basedOn w:val="Absatz-Standardschriftart"/>
    <w:link w:val="EndNoteBibliography"/>
    <w:rsid w:val="00312435"/>
    <w:rPr>
      <w:noProof/>
      <w:sz w:val="22"/>
      <w:szCs w:val="22"/>
      <w:lang w:val="en-US" w:eastAsia="en-US"/>
    </w:rPr>
  </w:style>
  <w:style w:type="paragraph" w:styleId="Listenabsatz">
    <w:name w:val="List Paragraph"/>
    <w:basedOn w:val="Standard"/>
    <w:uiPriority w:val="34"/>
    <w:qFormat/>
    <w:rsid w:val="008C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100">
      <w:bodyDiv w:val="1"/>
      <w:marLeft w:val="0"/>
      <w:marRight w:val="0"/>
      <w:marTop w:val="0"/>
      <w:marBottom w:val="0"/>
      <w:divBdr>
        <w:top w:val="none" w:sz="0" w:space="0" w:color="auto"/>
        <w:left w:val="none" w:sz="0" w:space="0" w:color="auto"/>
        <w:bottom w:val="none" w:sz="0" w:space="0" w:color="auto"/>
        <w:right w:val="none" w:sz="0" w:space="0" w:color="auto"/>
      </w:divBdr>
      <w:divsChild>
        <w:div w:id="576937437">
          <w:marLeft w:val="0"/>
          <w:marRight w:val="1"/>
          <w:marTop w:val="0"/>
          <w:marBottom w:val="0"/>
          <w:divBdr>
            <w:top w:val="none" w:sz="0" w:space="0" w:color="auto"/>
            <w:left w:val="none" w:sz="0" w:space="0" w:color="auto"/>
            <w:bottom w:val="none" w:sz="0" w:space="0" w:color="auto"/>
            <w:right w:val="none" w:sz="0" w:space="0" w:color="auto"/>
          </w:divBdr>
          <w:divsChild>
            <w:div w:id="721247159">
              <w:marLeft w:val="0"/>
              <w:marRight w:val="0"/>
              <w:marTop w:val="0"/>
              <w:marBottom w:val="0"/>
              <w:divBdr>
                <w:top w:val="none" w:sz="0" w:space="0" w:color="auto"/>
                <w:left w:val="none" w:sz="0" w:space="0" w:color="auto"/>
                <w:bottom w:val="none" w:sz="0" w:space="0" w:color="auto"/>
                <w:right w:val="none" w:sz="0" w:space="0" w:color="auto"/>
              </w:divBdr>
              <w:divsChild>
                <w:div w:id="1901134769">
                  <w:marLeft w:val="0"/>
                  <w:marRight w:val="1"/>
                  <w:marTop w:val="0"/>
                  <w:marBottom w:val="0"/>
                  <w:divBdr>
                    <w:top w:val="none" w:sz="0" w:space="0" w:color="auto"/>
                    <w:left w:val="none" w:sz="0" w:space="0" w:color="auto"/>
                    <w:bottom w:val="none" w:sz="0" w:space="0" w:color="auto"/>
                    <w:right w:val="none" w:sz="0" w:space="0" w:color="auto"/>
                  </w:divBdr>
                  <w:divsChild>
                    <w:div w:id="2064017775">
                      <w:marLeft w:val="0"/>
                      <w:marRight w:val="0"/>
                      <w:marTop w:val="0"/>
                      <w:marBottom w:val="0"/>
                      <w:divBdr>
                        <w:top w:val="none" w:sz="0" w:space="0" w:color="auto"/>
                        <w:left w:val="none" w:sz="0" w:space="0" w:color="auto"/>
                        <w:bottom w:val="none" w:sz="0" w:space="0" w:color="auto"/>
                        <w:right w:val="none" w:sz="0" w:space="0" w:color="auto"/>
                      </w:divBdr>
                      <w:divsChild>
                        <w:div w:id="1877572203">
                          <w:marLeft w:val="0"/>
                          <w:marRight w:val="0"/>
                          <w:marTop w:val="0"/>
                          <w:marBottom w:val="0"/>
                          <w:divBdr>
                            <w:top w:val="none" w:sz="0" w:space="0" w:color="auto"/>
                            <w:left w:val="none" w:sz="0" w:space="0" w:color="auto"/>
                            <w:bottom w:val="none" w:sz="0" w:space="0" w:color="auto"/>
                            <w:right w:val="none" w:sz="0" w:space="0" w:color="auto"/>
                          </w:divBdr>
                          <w:divsChild>
                            <w:div w:id="947660499">
                              <w:marLeft w:val="0"/>
                              <w:marRight w:val="0"/>
                              <w:marTop w:val="120"/>
                              <w:marBottom w:val="360"/>
                              <w:divBdr>
                                <w:top w:val="none" w:sz="0" w:space="0" w:color="auto"/>
                                <w:left w:val="none" w:sz="0" w:space="0" w:color="auto"/>
                                <w:bottom w:val="none" w:sz="0" w:space="0" w:color="auto"/>
                                <w:right w:val="none" w:sz="0" w:space="0" w:color="auto"/>
                              </w:divBdr>
                              <w:divsChild>
                                <w:div w:id="933168697">
                                  <w:marLeft w:val="420"/>
                                  <w:marRight w:val="0"/>
                                  <w:marTop w:val="0"/>
                                  <w:marBottom w:val="0"/>
                                  <w:divBdr>
                                    <w:top w:val="none" w:sz="0" w:space="0" w:color="auto"/>
                                    <w:left w:val="none" w:sz="0" w:space="0" w:color="auto"/>
                                    <w:bottom w:val="none" w:sz="0" w:space="0" w:color="auto"/>
                                    <w:right w:val="none" w:sz="0" w:space="0" w:color="auto"/>
                                  </w:divBdr>
                                  <w:divsChild>
                                    <w:div w:id="20432826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743775">
      <w:bodyDiv w:val="1"/>
      <w:marLeft w:val="0"/>
      <w:marRight w:val="0"/>
      <w:marTop w:val="0"/>
      <w:marBottom w:val="0"/>
      <w:divBdr>
        <w:top w:val="none" w:sz="0" w:space="0" w:color="auto"/>
        <w:left w:val="none" w:sz="0" w:space="0" w:color="auto"/>
        <w:bottom w:val="none" w:sz="0" w:space="0" w:color="auto"/>
        <w:right w:val="none" w:sz="0" w:space="0" w:color="auto"/>
      </w:divBdr>
      <w:divsChild>
        <w:div w:id="337847658">
          <w:marLeft w:val="0"/>
          <w:marRight w:val="1"/>
          <w:marTop w:val="0"/>
          <w:marBottom w:val="0"/>
          <w:divBdr>
            <w:top w:val="none" w:sz="0" w:space="0" w:color="auto"/>
            <w:left w:val="none" w:sz="0" w:space="0" w:color="auto"/>
            <w:bottom w:val="none" w:sz="0" w:space="0" w:color="auto"/>
            <w:right w:val="none" w:sz="0" w:space="0" w:color="auto"/>
          </w:divBdr>
          <w:divsChild>
            <w:div w:id="72163010">
              <w:marLeft w:val="0"/>
              <w:marRight w:val="0"/>
              <w:marTop w:val="0"/>
              <w:marBottom w:val="0"/>
              <w:divBdr>
                <w:top w:val="none" w:sz="0" w:space="0" w:color="auto"/>
                <w:left w:val="none" w:sz="0" w:space="0" w:color="auto"/>
                <w:bottom w:val="none" w:sz="0" w:space="0" w:color="auto"/>
                <w:right w:val="none" w:sz="0" w:space="0" w:color="auto"/>
              </w:divBdr>
              <w:divsChild>
                <w:div w:id="315033180">
                  <w:marLeft w:val="0"/>
                  <w:marRight w:val="1"/>
                  <w:marTop w:val="0"/>
                  <w:marBottom w:val="0"/>
                  <w:divBdr>
                    <w:top w:val="none" w:sz="0" w:space="0" w:color="auto"/>
                    <w:left w:val="none" w:sz="0" w:space="0" w:color="auto"/>
                    <w:bottom w:val="none" w:sz="0" w:space="0" w:color="auto"/>
                    <w:right w:val="none" w:sz="0" w:space="0" w:color="auto"/>
                  </w:divBdr>
                  <w:divsChild>
                    <w:div w:id="2078430388">
                      <w:marLeft w:val="0"/>
                      <w:marRight w:val="0"/>
                      <w:marTop w:val="0"/>
                      <w:marBottom w:val="0"/>
                      <w:divBdr>
                        <w:top w:val="none" w:sz="0" w:space="0" w:color="auto"/>
                        <w:left w:val="none" w:sz="0" w:space="0" w:color="auto"/>
                        <w:bottom w:val="none" w:sz="0" w:space="0" w:color="auto"/>
                        <w:right w:val="none" w:sz="0" w:space="0" w:color="auto"/>
                      </w:divBdr>
                      <w:divsChild>
                        <w:div w:id="964232052">
                          <w:marLeft w:val="0"/>
                          <w:marRight w:val="0"/>
                          <w:marTop w:val="0"/>
                          <w:marBottom w:val="0"/>
                          <w:divBdr>
                            <w:top w:val="none" w:sz="0" w:space="0" w:color="auto"/>
                            <w:left w:val="none" w:sz="0" w:space="0" w:color="auto"/>
                            <w:bottom w:val="none" w:sz="0" w:space="0" w:color="auto"/>
                            <w:right w:val="none" w:sz="0" w:space="0" w:color="auto"/>
                          </w:divBdr>
                          <w:divsChild>
                            <w:div w:id="2075423200">
                              <w:marLeft w:val="0"/>
                              <w:marRight w:val="0"/>
                              <w:marTop w:val="120"/>
                              <w:marBottom w:val="360"/>
                              <w:divBdr>
                                <w:top w:val="none" w:sz="0" w:space="0" w:color="auto"/>
                                <w:left w:val="none" w:sz="0" w:space="0" w:color="auto"/>
                                <w:bottom w:val="none" w:sz="0" w:space="0" w:color="auto"/>
                                <w:right w:val="none" w:sz="0" w:space="0" w:color="auto"/>
                              </w:divBdr>
                              <w:divsChild>
                                <w:div w:id="1697384068">
                                  <w:marLeft w:val="420"/>
                                  <w:marRight w:val="0"/>
                                  <w:marTop w:val="0"/>
                                  <w:marBottom w:val="0"/>
                                  <w:divBdr>
                                    <w:top w:val="none" w:sz="0" w:space="0" w:color="auto"/>
                                    <w:left w:val="none" w:sz="0" w:space="0" w:color="auto"/>
                                    <w:bottom w:val="none" w:sz="0" w:space="0" w:color="auto"/>
                                    <w:right w:val="none" w:sz="0" w:space="0" w:color="auto"/>
                                  </w:divBdr>
                                  <w:divsChild>
                                    <w:div w:id="713778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2777</Words>
  <Characters>17496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20233</CharactersWithSpaces>
  <SharedDoc>false</SharedDoc>
  <HLinks>
    <vt:vector size="6" baseType="variant">
      <vt:variant>
        <vt:i4>2621511</vt:i4>
      </vt:variant>
      <vt:variant>
        <vt:i4>0</vt:i4>
      </vt:variant>
      <vt:variant>
        <vt:i4>0</vt:i4>
      </vt:variant>
      <vt:variant>
        <vt:i4>5</vt:i4>
      </vt:variant>
      <vt:variant>
        <vt:lpwstr>mailto:adrian.ciurea@usz.ch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dc:creator>
  <cp:keywords/>
  <dc:description/>
  <cp:lastModifiedBy>aci</cp:lastModifiedBy>
  <cp:revision>7</cp:revision>
  <dcterms:created xsi:type="dcterms:W3CDTF">2017-07-15T19:42:00Z</dcterms:created>
  <dcterms:modified xsi:type="dcterms:W3CDTF">2017-07-16T07:16:00Z</dcterms:modified>
</cp:coreProperties>
</file>