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3" w:rsidRPr="001C22D7" w:rsidRDefault="001250F3" w:rsidP="001250F3">
      <w:pPr>
        <w:spacing w:before="120" w:after="0"/>
      </w:pPr>
      <w:r w:rsidRPr="001C22D7">
        <w:rPr>
          <w:b/>
          <w:bCs/>
        </w:rPr>
        <w:t xml:space="preserve">Figure S2. </w:t>
      </w:r>
      <w:proofErr w:type="gramStart"/>
      <w:r w:rsidRPr="001C22D7">
        <w:rPr>
          <w:b/>
          <w:bCs/>
        </w:rPr>
        <w:t>Associations of week 48 clinical response with baseline and week 16 biomarker levels.</w:t>
      </w:r>
      <w:proofErr w:type="gramEnd"/>
      <w:r w:rsidRPr="001C22D7">
        <w:rPr>
          <w:b/>
          <w:bCs/>
        </w:rPr>
        <w:t xml:space="preserve"> </w:t>
      </w:r>
      <w:r w:rsidRPr="001C22D7">
        <w:t>(A, B) Serum CRP, (C, D) serum IL-6, and (E, F) erythrocyte sedimentation rate (y-axis, log</w:t>
      </w:r>
      <w:r w:rsidRPr="001C22D7">
        <w:rPr>
          <w:vertAlign w:val="subscript"/>
        </w:rPr>
        <w:t>2</w:t>
      </w:r>
      <w:r w:rsidRPr="001C22D7">
        <w:t xml:space="preserve">-transformed) are stratified on x-axis by visit (week 0 and week 16) and clinical response group (Yes, Y; and No, N) for (A, C, E) having a flare between weeks 16 and 48 or (B, </w:t>
      </w:r>
      <w:r>
        <w:t>D</w:t>
      </w:r>
      <w:r w:rsidRPr="001C22D7">
        <w:t xml:space="preserve">, F) being in clinical remission at week 48. Data presented as symbols representing individual participants and summarized by box (inter-quartile range and median) &amp; whiskers (range), with ‘+’ indicating mean. </w:t>
      </w:r>
      <w:proofErr w:type="gramStart"/>
      <w:r w:rsidRPr="001C22D7">
        <w:t>*, P&lt;0.05 for clinical response group, Yes vs. No, at indicated visit.</w:t>
      </w:r>
      <w:proofErr w:type="gramEnd"/>
      <w:r>
        <w:t xml:space="preserve"> CRP = C-reactive protein. IL-6 = interleukin-6. ESR = erythrocyte sedimentation rate. OL = open-label.</w:t>
      </w:r>
    </w:p>
    <w:p w:rsidR="003C2166" w:rsidRDefault="001250F3">
      <w:r w:rsidRPr="00935CC6">
        <w:rPr>
          <w:b/>
          <w:noProof/>
          <w:sz w:val="32"/>
        </w:rPr>
        <w:drawing>
          <wp:inline distT="0" distB="0" distL="0" distR="0" wp14:anchorId="056596C7" wp14:editId="2555F22A">
            <wp:extent cx="6210300" cy="4523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74" cy="45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166" w:rsidSect="00125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3"/>
    <w:rsid w:val="001250F3"/>
    <w:rsid w:val="003C2166"/>
    <w:rsid w:val="00B30FBE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Rebecca [COBIUS]</dc:creator>
  <cp:lastModifiedBy>Clemente, Rebecca [COBIUS]</cp:lastModifiedBy>
  <cp:revision>1</cp:revision>
  <dcterms:created xsi:type="dcterms:W3CDTF">2016-08-30T18:55:00Z</dcterms:created>
  <dcterms:modified xsi:type="dcterms:W3CDTF">2016-08-30T18:56:00Z</dcterms:modified>
</cp:coreProperties>
</file>