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FC" w:rsidRDefault="00E577FC" w:rsidP="00E577FC">
      <w:pPr>
        <w:spacing w:line="480" w:lineRule="auto"/>
        <w:rPr>
          <w:rFonts w:cs="Arial"/>
          <w:sz w:val="22"/>
          <w:szCs w:val="22"/>
        </w:rPr>
      </w:pPr>
      <w:r w:rsidRPr="00190608">
        <w:rPr>
          <w:b/>
          <w:sz w:val="22"/>
          <w:szCs w:val="22"/>
        </w:rPr>
        <w:t>Figure S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ab/>
      </w:r>
      <w:r w:rsidRPr="00DC0AD1">
        <w:rPr>
          <w:sz w:val="22"/>
          <w:szCs w:val="22"/>
        </w:rPr>
        <w:t>Adjusted mean change from baseline in DA</w:t>
      </w:r>
      <w:r>
        <w:rPr>
          <w:sz w:val="22"/>
          <w:szCs w:val="22"/>
        </w:rPr>
        <w:t>S</w:t>
      </w:r>
      <w:r w:rsidRPr="00DC0AD1">
        <w:rPr>
          <w:sz w:val="22"/>
          <w:szCs w:val="22"/>
        </w:rPr>
        <w:t>28 (CRP) over the double-blind period (A) and</w:t>
      </w:r>
      <w:r>
        <w:rPr>
          <w:sz w:val="22"/>
          <w:szCs w:val="22"/>
        </w:rPr>
        <w:t xml:space="preserve"> combined</w:t>
      </w:r>
      <w:r w:rsidRPr="00DC0AD1">
        <w:rPr>
          <w:sz w:val="22"/>
          <w:szCs w:val="22"/>
        </w:rPr>
        <w:t xml:space="preserve"> double-blind and open-label periods (B) in the total population</w:t>
      </w:r>
      <w:r>
        <w:rPr>
          <w:sz w:val="22"/>
          <w:szCs w:val="22"/>
        </w:rPr>
        <w:t xml:space="preserve"> (ITT analysis). </w:t>
      </w:r>
      <w:r w:rsidRPr="00190608">
        <w:rPr>
          <w:sz w:val="22"/>
          <w:szCs w:val="22"/>
        </w:rPr>
        <w:t xml:space="preserve">Error bars represent 95% </w:t>
      </w:r>
      <w:r>
        <w:rPr>
          <w:sz w:val="22"/>
          <w:szCs w:val="22"/>
        </w:rPr>
        <w:t>CI</w:t>
      </w:r>
      <w:r w:rsidRPr="00190608">
        <w:rPr>
          <w:sz w:val="22"/>
          <w:szCs w:val="22"/>
        </w:rPr>
        <w:t xml:space="preserve">. </w:t>
      </w:r>
      <w:r>
        <w:rPr>
          <w:sz w:val="22"/>
          <w:szCs w:val="22"/>
        </w:rPr>
        <w:t>Hash signs</w:t>
      </w:r>
      <w:r w:rsidRPr="00190608">
        <w:rPr>
          <w:sz w:val="22"/>
          <w:szCs w:val="22"/>
        </w:rPr>
        <w:t xml:space="preserve"> in panel A indicate adjusted differences in mean change for </w:t>
      </w:r>
      <w:proofErr w:type="spellStart"/>
      <w:r w:rsidRPr="00190608">
        <w:rPr>
          <w:sz w:val="22"/>
          <w:szCs w:val="22"/>
        </w:rPr>
        <w:t>abatacept</w:t>
      </w:r>
      <w:proofErr w:type="spellEnd"/>
      <w:r w:rsidRPr="00190608">
        <w:rPr>
          <w:sz w:val="22"/>
          <w:szCs w:val="22"/>
        </w:rPr>
        <w:t xml:space="preserve"> versus placebo for which 95% </w:t>
      </w:r>
      <w:r>
        <w:rPr>
          <w:sz w:val="22"/>
          <w:szCs w:val="22"/>
        </w:rPr>
        <w:t>CI</w:t>
      </w:r>
      <w:r w:rsidRPr="00190608">
        <w:rPr>
          <w:sz w:val="22"/>
          <w:szCs w:val="22"/>
        </w:rPr>
        <w:t xml:space="preserve"> do not contain zero. In </w:t>
      </w:r>
      <w:r>
        <w:rPr>
          <w:sz w:val="22"/>
          <w:szCs w:val="22"/>
        </w:rPr>
        <w:t xml:space="preserve">the </w:t>
      </w:r>
      <w:r w:rsidRPr="00190608">
        <w:rPr>
          <w:sz w:val="22"/>
          <w:szCs w:val="22"/>
        </w:rPr>
        <w:t>double-blind period analysis (panel A), early escape patients were set to missing at week</w:t>
      </w:r>
      <w:r>
        <w:rPr>
          <w:sz w:val="22"/>
          <w:szCs w:val="22"/>
        </w:rPr>
        <w:t>s</w:t>
      </w:r>
      <w:r w:rsidRPr="00190608">
        <w:rPr>
          <w:sz w:val="22"/>
          <w:szCs w:val="22"/>
        </w:rPr>
        <w:t xml:space="preserve"> 20 and 24. </w:t>
      </w:r>
      <w:r w:rsidRPr="00190608">
        <w:rPr>
          <w:rFonts w:cs="Arial"/>
          <w:sz w:val="22"/>
          <w:szCs w:val="22"/>
        </w:rPr>
        <w:t xml:space="preserve">In the combined double-blind and open-label period analysis (panel B), measurements </w:t>
      </w:r>
      <w:r>
        <w:rPr>
          <w:rFonts w:cs="Arial"/>
          <w:sz w:val="22"/>
          <w:szCs w:val="22"/>
        </w:rPr>
        <w:t xml:space="preserve">for </w:t>
      </w:r>
      <w:r w:rsidRPr="00190608">
        <w:rPr>
          <w:rFonts w:cs="Arial"/>
          <w:sz w:val="22"/>
          <w:szCs w:val="22"/>
        </w:rPr>
        <w:t xml:space="preserve">early escape patients at weeks 20, 24, 28, 36 and 44 are actual measurements at weeks 4, 8, 12, 20 and 28 of open-label 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 treatment. The continued improvements in DAS28 </w:t>
      </w:r>
      <w:r>
        <w:rPr>
          <w:rFonts w:cs="Arial"/>
          <w:sz w:val="22"/>
          <w:szCs w:val="22"/>
        </w:rPr>
        <w:t>(</w:t>
      </w:r>
      <w:r w:rsidRPr="00190608">
        <w:rPr>
          <w:rFonts w:cs="Arial"/>
          <w:sz w:val="22"/>
          <w:szCs w:val="22"/>
        </w:rPr>
        <w:t xml:space="preserve">CRP) from week 16 to week 24 in the placebo group reflects the mixed population of early escape patients who received </w:t>
      </w:r>
      <w:proofErr w:type="spellStart"/>
      <w:r w:rsidRPr="00190608">
        <w:rPr>
          <w:rFonts w:cs="Arial"/>
          <w:sz w:val="22"/>
          <w:szCs w:val="22"/>
        </w:rPr>
        <w:t>abatacept</w:t>
      </w:r>
      <w:proofErr w:type="spellEnd"/>
      <w:r w:rsidRPr="00190608">
        <w:rPr>
          <w:rFonts w:cs="Arial"/>
          <w:sz w:val="22"/>
          <w:szCs w:val="22"/>
        </w:rPr>
        <w:t xml:space="preserve"> between weeks 16 and 24 and non-early escape patients who received placebo to week 24.</w:t>
      </w:r>
      <w:r w:rsidRPr="005D2B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CI, confidence interval; DAS, </w:t>
      </w:r>
      <w:r w:rsidRPr="00190608">
        <w:rPr>
          <w:rFonts w:cs="Arial"/>
          <w:sz w:val="22"/>
          <w:szCs w:val="22"/>
        </w:rPr>
        <w:t>Disease Activity Score</w:t>
      </w:r>
      <w:r>
        <w:rPr>
          <w:rFonts w:cs="Arial"/>
          <w:sz w:val="22"/>
          <w:szCs w:val="22"/>
        </w:rPr>
        <w:t>; ITT, intent to treat.</w:t>
      </w:r>
    </w:p>
    <w:p w:rsidR="00E577FC" w:rsidRPr="00190608" w:rsidRDefault="00E577FC" w:rsidP="00E577FC">
      <w:pPr>
        <w:spacing w:line="480" w:lineRule="auto"/>
        <w:rPr>
          <w:b/>
          <w:sz w:val="22"/>
          <w:szCs w:val="22"/>
        </w:rPr>
      </w:pPr>
      <w:r w:rsidRPr="00BF42F0">
        <w:rPr>
          <w:noProof/>
          <w:lang w:val="en-GB" w:eastAsia="en-GB"/>
        </w:rPr>
        <w:lastRenderedPageBreak/>
        <w:drawing>
          <wp:inline distT="0" distB="0" distL="0" distR="0" wp14:anchorId="0FCA9181" wp14:editId="693CC6B8">
            <wp:extent cx="5731510" cy="767204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03" w:rsidRDefault="00CE3903">
      <w:bookmarkStart w:id="0" w:name="_GoBack"/>
      <w:bookmarkEnd w:id="0"/>
    </w:p>
    <w:sectPr w:rsidR="00CE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C"/>
    <w:rsid w:val="004B745B"/>
    <w:rsid w:val="00B31688"/>
    <w:rsid w:val="00CE3903"/>
    <w:rsid w:val="00CF2A87"/>
    <w:rsid w:val="00E577FC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2F48E-F81E-4B90-B846-53A8E07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FC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Interpublic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Jasmin (OXF-CDX)</dc:creator>
  <cp:keywords/>
  <dc:description/>
  <cp:lastModifiedBy>Schulz, Jasmin (OXF-CDX)</cp:lastModifiedBy>
  <cp:revision>1</cp:revision>
  <dcterms:created xsi:type="dcterms:W3CDTF">2017-03-16T11:00:00Z</dcterms:created>
  <dcterms:modified xsi:type="dcterms:W3CDTF">2017-03-16T11:00:00Z</dcterms:modified>
</cp:coreProperties>
</file>