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1" w:rsidRPr="008B0BBA" w:rsidRDefault="00694341" w:rsidP="00694341">
      <w:pPr>
        <w:spacing w:line="480" w:lineRule="auto"/>
        <w:rPr>
          <w:rFonts w:cs="Arial"/>
          <w:b/>
          <w:sz w:val="22"/>
          <w:szCs w:val="22"/>
        </w:rPr>
      </w:pPr>
      <w:r w:rsidRPr="00190608">
        <w:rPr>
          <w:rFonts w:cs="Arial"/>
          <w:b/>
          <w:sz w:val="22"/>
          <w:szCs w:val="22"/>
        </w:rPr>
        <w:t>Table S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ACR20 response over the 24-week double-blind period (non-responder imputation for early escape)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4341" w:rsidTr="00217782">
        <w:tc>
          <w:tcPr>
            <w:tcW w:w="3487" w:type="dxa"/>
          </w:tcPr>
          <w:p w:rsidR="00694341" w:rsidRPr="004126CA" w:rsidRDefault="00694341" w:rsidP="0021778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4126CA">
              <w:rPr>
                <w:rFonts w:cs="Arial"/>
                <w:b/>
                <w:sz w:val="22"/>
                <w:szCs w:val="22"/>
              </w:rPr>
              <w:t>Time (weeks)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190608">
              <w:rPr>
                <w:rFonts w:cs="Arial"/>
                <w:b/>
                <w:sz w:val="22"/>
                <w:szCs w:val="20"/>
              </w:rPr>
              <w:t>Abatacept (n=213)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190608">
              <w:rPr>
                <w:rFonts w:cs="Arial"/>
                <w:b/>
                <w:sz w:val="22"/>
                <w:szCs w:val="20"/>
              </w:rPr>
              <w:t>Placebo (n=211)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37/213 (17.4)</w:t>
            </w:r>
            <w:r>
              <w:rPr>
                <w:rFonts w:cs="Arial"/>
                <w:sz w:val="22"/>
                <w:szCs w:val="22"/>
              </w:rPr>
              <w:br/>
              <w:t>(12.3 to 22.5)</w:t>
            </w:r>
            <w:r>
              <w:rPr>
                <w:rFonts w:cs="Arial"/>
                <w:sz w:val="22"/>
                <w:szCs w:val="22"/>
              </w:rPr>
              <w:br/>
              <w:t>5.1 (–1.5 to 11.8)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26/211 (12.3)</w:t>
            </w:r>
            <w:r>
              <w:rPr>
                <w:rFonts w:cs="Arial"/>
                <w:sz w:val="22"/>
                <w:szCs w:val="22"/>
              </w:rPr>
              <w:br/>
              <w:t>(7.9 to 16.8)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67/213 (31.5)</w:t>
            </w:r>
            <w:r>
              <w:rPr>
                <w:rFonts w:cs="Arial"/>
                <w:sz w:val="22"/>
                <w:szCs w:val="22"/>
              </w:rPr>
              <w:br/>
              <w:t>(25.2 to 37.7)</w:t>
            </w:r>
            <w:r>
              <w:rPr>
                <w:rFonts w:cs="Arial"/>
                <w:sz w:val="22"/>
                <w:szCs w:val="22"/>
              </w:rPr>
              <w:br/>
              <w:t>12.2 (4.2 to 20.2)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41/211 (19.4)</w:t>
            </w:r>
            <w:r>
              <w:rPr>
                <w:rFonts w:cs="Arial"/>
                <w:sz w:val="22"/>
                <w:szCs w:val="22"/>
              </w:rPr>
              <w:br/>
              <w:t>(14.1 to 24.8)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76/213 (35.7)</w:t>
            </w:r>
            <w:r>
              <w:rPr>
                <w:rFonts w:cs="Arial"/>
                <w:sz w:val="22"/>
                <w:szCs w:val="22"/>
              </w:rPr>
              <w:br/>
              <w:t>(29.2 to 42.1)</w:t>
            </w:r>
            <w:r>
              <w:rPr>
                <w:rFonts w:cs="Arial"/>
                <w:sz w:val="22"/>
                <w:szCs w:val="22"/>
              </w:rPr>
              <w:br/>
              <w:t>8.3 (–0.4 to 17.0)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58/211 (27.5)</w:t>
            </w:r>
            <w:r>
              <w:rPr>
                <w:rFonts w:cs="Arial"/>
                <w:sz w:val="22"/>
                <w:szCs w:val="22"/>
              </w:rPr>
              <w:br/>
              <w:t>(21.5 to 33.5)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81/213 (38.0)</w:t>
            </w:r>
            <w:r>
              <w:rPr>
                <w:rFonts w:cs="Arial"/>
                <w:sz w:val="22"/>
                <w:szCs w:val="22"/>
              </w:rPr>
              <w:br/>
              <w:t>(31.5 to 44.5)</w:t>
            </w:r>
            <w:r>
              <w:rPr>
                <w:rFonts w:cs="Arial"/>
                <w:sz w:val="22"/>
                <w:szCs w:val="22"/>
              </w:rPr>
              <w:br/>
              <w:t>9.2 (0.4 to 17.9)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61/211 (28.9)</w:t>
            </w:r>
            <w:r>
              <w:rPr>
                <w:rFonts w:cs="Arial"/>
                <w:sz w:val="22"/>
                <w:szCs w:val="22"/>
              </w:rPr>
              <w:br/>
              <w:t>(22.8 to 35.0)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87/213 (40.8)</w:t>
            </w:r>
            <w:r>
              <w:rPr>
                <w:rFonts w:cs="Arial"/>
                <w:sz w:val="22"/>
                <w:szCs w:val="22"/>
              </w:rPr>
              <w:br/>
              <w:t>(34.2 to 47.4)</w:t>
            </w:r>
            <w:r>
              <w:rPr>
                <w:rFonts w:cs="Arial"/>
                <w:sz w:val="22"/>
                <w:szCs w:val="22"/>
              </w:rPr>
              <w:br/>
              <w:t>13.8 (5.0 to 22.6)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57/211 (27.0)</w:t>
            </w:r>
            <w:r>
              <w:rPr>
                <w:rFonts w:cs="Arial"/>
                <w:sz w:val="22"/>
                <w:szCs w:val="22"/>
              </w:rPr>
              <w:br/>
              <w:t>(21.0 to 33.0)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80/213 (37.6)</w:t>
            </w:r>
            <w:r>
              <w:rPr>
                <w:rFonts w:cs="Arial"/>
                <w:sz w:val="22"/>
                <w:szCs w:val="22"/>
              </w:rPr>
              <w:br/>
              <w:t>(31.1 to 44.1)</w:t>
            </w:r>
            <w:r>
              <w:rPr>
                <w:rFonts w:cs="Arial"/>
                <w:sz w:val="22"/>
                <w:szCs w:val="22"/>
              </w:rPr>
              <w:br/>
              <w:t>14.3 (5.8 to 22.8)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49/211 (23.2)</w:t>
            </w:r>
            <w:r>
              <w:rPr>
                <w:rFonts w:cs="Arial"/>
                <w:sz w:val="22"/>
                <w:szCs w:val="22"/>
              </w:rPr>
              <w:br/>
              <w:t>(17.5 to 28.9)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  <w:tr w:rsidR="00694341" w:rsidTr="00217782"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patients, n/n (%)</w:t>
            </w:r>
            <w:r>
              <w:rPr>
                <w:rFonts w:cs="Arial"/>
                <w:sz w:val="22"/>
                <w:szCs w:val="22"/>
              </w:rPr>
              <w:br/>
              <w:t>95% CI</w:t>
            </w:r>
            <w:r>
              <w:rPr>
                <w:rFonts w:cs="Arial"/>
                <w:sz w:val="22"/>
                <w:szCs w:val="22"/>
              </w:rPr>
              <w:br/>
              <w:t>Estimate of difference (95% CI)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84/213 (39.4)</w:t>
            </w:r>
            <w:r>
              <w:rPr>
                <w:rFonts w:cs="Arial"/>
                <w:sz w:val="22"/>
                <w:szCs w:val="22"/>
              </w:rPr>
              <w:br/>
              <w:t>(32.9, 46.0)</w:t>
            </w:r>
            <w:r>
              <w:rPr>
                <w:rFonts w:cs="Arial"/>
                <w:sz w:val="22"/>
                <w:szCs w:val="22"/>
              </w:rPr>
              <w:br/>
              <w:t>17.2 (8.7, 25.6)</w:t>
            </w:r>
          </w:p>
        </w:tc>
        <w:tc>
          <w:tcPr>
            <w:tcW w:w="3487" w:type="dxa"/>
          </w:tcPr>
          <w:p w:rsidR="00694341" w:rsidRDefault="00694341" w:rsidP="00217782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47/211 (22.3)</w:t>
            </w:r>
            <w:r>
              <w:rPr>
                <w:rFonts w:cs="Arial"/>
                <w:sz w:val="22"/>
                <w:szCs w:val="22"/>
              </w:rPr>
              <w:br/>
              <w:t>(16.7, 27.9)</w:t>
            </w:r>
            <w:r>
              <w:rPr>
                <w:rFonts w:cs="Arial"/>
                <w:sz w:val="22"/>
                <w:szCs w:val="22"/>
              </w:rPr>
              <w:br/>
              <w:t>N/A</w:t>
            </w:r>
          </w:p>
        </w:tc>
      </w:tr>
    </w:tbl>
    <w:p w:rsidR="00CE3903" w:rsidRDefault="00694341" w:rsidP="00694341">
      <w:pPr>
        <w:spacing w:line="480" w:lineRule="auto"/>
      </w:pPr>
      <w:r>
        <w:rPr>
          <w:rFonts w:cs="Arial"/>
          <w:sz w:val="22"/>
          <w:szCs w:val="22"/>
        </w:rPr>
        <w:t>Early escape patients switching to open-label abatacept at week 16 were imputed as non-responders at weeks 20 and 24. At all time points, if there were missing data, patients were imputed as non-responders, unless data were missing between two time points at which the patient had a response, in which case response was imputed. ACR20, ≥20% improvement in American College of Rheumatology criteria; CI, confidence interval; N/A, not applicable.</w:t>
      </w:r>
      <w:bookmarkStart w:id="0" w:name="_GoBack"/>
      <w:bookmarkEnd w:id="0"/>
      <w:r>
        <w:t xml:space="preserve"> </w:t>
      </w:r>
    </w:p>
    <w:sectPr w:rsidR="00CE3903" w:rsidSect="00694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1"/>
    <w:rsid w:val="004B745B"/>
    <w:rsid w:val="00694341"/>
    <w:rsid w:val="00B31688"/>
    <w:rsid w:val="00CE3903"/>
    <w:rsid w:val="00CF2A87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95BB-8AC1-457D-9E5B-97381ACD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41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Interpublic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1</cp:revision>
  <dcterms:created xsi:type="dcterms:W3CDTF">2017-03-16T10:56:00Z</dcterms:created>
  <dcterms:modified xsi:type="dcterms:W3CDTF">2017-03-16T10:57:00Z</dcterms:modified>
</cp:coreProperties>
</file>