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 w:rsidRPr="00EF52E9">
        <w:rPr>
          <w:rFonts w:ascii="Times New Roman" w:hAnsi="Times New Roman" w:cs="Times New Roman" w:hint="eastAsia"/>
          <w:b/>
        </w:rPr>
        <w:t xml:space="preserve">Supplementary </w:t>
      </w:r>
      <w:r w:rsidR="001B7FBB">
        <w:rPr>
          <w:rFonts w:ascii="Times New Roman" w:hAnsi="Times New Roman" w:cs="Times New Roman"/>
          <w:b/>
        </w:rPr>
        <w:t>text</w:t>
      </w:r>
      <w:r w:rsidRPr="00EF52E9">
        <w:rPr>
          <w:rFonts w:ascii="Times New Roman" w:hAnsi="Times New Roman" w:cs="Times New Roman" w:hint="eastAsia"/>
          <w:b/>
        </w:rPr>
        <w:t>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ICD-10 codes for detection of treatment episodes in patients with rheumatic diseases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44BFD">
        <w:rPr>
          <w:rFonts w:ascii="Times New Roman" w:hAnsi="Times New Roman" w:cs="Times New Roman"/>
        </w:rPr>
        <w:t xml:space="preserve">ystemic lupus erythematosus (SLE, M32), 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Systemic sclerosis (M34)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E44BFD">
        <w:rPr>
          <w:rFonts w:ascii="Times New Roman" w:hAnsi="Times New Roman" w:cs="Times New Roman"/>
        </w:rPr>
        <w:t>ermatomyo</w:t>
      </w:r>
      <w:r>
        <w:rPr>
          <w:rFonts w:ascii="Times New Roman" w:hAnsi="Times New Roman" w:cs="Times New Roman"/>
        </w:rPr>
        <w:t>sitis (M33.0, M33.1 and M33.9)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E44BFD">
        <w:rPr>
          <w:rFonts w:ascii="Times New Roman" w:hAnsi="Times New Roman" w:cs="Times New Roman"/>
        </w:rPr>
        <w:t>olymyositis (M</w:t>
      </w:r>
      <w:r>
        <w:rPr>
          <w:rFonts w:ascii="Times New Roman" w:hAnsi="Times New Roman" w:cs="Times New Roman"/>
        </w:rPr>
        <w:t>33.2)</w:t>
      </w:r>
      <w:r w:rsidRPr="00E44BFD">
        <w:rPr>
          <w:rFonts w:ascii="Times New Roman" w:hAnsi="Times New Roman" w:cs="Times New Roman"/>
        </w:rPr>
        <w:t xml:space="preserve"> 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E44BFD">
        <w:rPr>
          <w:rFonts w:ascii="Times New Roman" w:hAnsi="Times New Roman" w:cs="Times New Roman"/>
        </w:rPr>
        <w:t>ranulomatosi</w:t>
      </w:r>
      <w:r>
        <w:rPr>
          <w:rFonts w:ascii="Times New Roman" w:hAnsi="Times New Roman" w:cs="Times New Roman"/>
        </w:rPr>
        <w:t>s with polyangiitis (GPA, M31.3)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E44BFD">
        <w:rPr>
          <w:rFonts w:ascii="Times New Roman" w:hAnsi="Times New Roman" w:cs="Times New Roman"/>
        </w:rPr>
        <w:t>icro</w:t>
      </w:r>
      <w:r w:rsidR="00EB0751">
        <w:rPr>
          <w:rFonts w:ascii="Times New Roman" w:hAnsi="Times New Roman" w:cs="Times New Roman"/>
        </w:rPr>
        <w:t>scopic</w:t>
      </w:r>
      <w:r>
        <w:rPr>
          <w:rFonts w:ascii="Times New Roman" w:hAnsi="Times New Roman" w:cs="Times New Roman"/>
        </w:rPr>
        <w:t xml:space="preserve"> polyangiitis (MPA, M31.7)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Eo</w:t>
      </w:r>
      <w:r w:rsidRPr="00E44BFD">
        <w:rPr>
          <w:rFonts w:ascii="Times New Roman" w:hAnsi="Times New Roman" w:cs="Times New Roman"/>
        </w:rPr>
        <w:t>sinophilic granulomatosis w</w:t>
      </w:r>
      <w:r>
        <w:rPr>
          <w:rFonts w:ascii="Times New Roman" w:hAnsi="Times New Roman" w:cs="Times New Roman"/>
        </w:rPr>
        <w:t>ith polyangiitis (EGPA, M30.1)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</w:t>
      </w:r>
      <w:r w:rsidRPr="00E44BFD">
        <w:rPr>
          <w:rFonts w:ascii="Times New Roman" w:hAnsi="Times New Roman" w:cs="Times New Roman"/>
        </w:rPr>
        <w:t>lyart</w:t>
      </w:r>
      <w:r>
        <w:rPr>
          <w:rFonts w:ascii="Times New Roman" w:hAnsi="Times New Roman" w:cs="Times New Roman"/>
        </w:rPr>
        <w:t>eritis nodosa (M30.0 and M30.8)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Rheumatoid arthritis (M05)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44BFD">
        <w:rPr>
          <w:rFonts w:ascii="Times New Roman" w:hAnsi="Times New Roman" w:cs="Times New Roman"/>
        </w:rPr>
        <w:t xml:space="preserve">dult-onset Still’s disease (AOSD, </w:t>
      </w:r>
      <w:r>
        <w:rPr>
          <w:rFonts w:ascii="Times New Roman" w:hAnsi="Times New Roman" w:cs="Times New Roman"/>
        </w:rPr>
        <w:t>M06.1)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Behcet’s disease (M35.2)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E44BFD">
        <w:rPr>
          <w:rFonts w:ascii="Times New Roman" w:hAnsi="Times New Roman" w:cs="Times New Roman"/>
        </w:rPr>
        <w:t>ryo</w:t>
      </w:r>
      <w:r>
        <w:rPr>
          <w:rFonts w:ascii="Times New Roman" w:hAnsi="Times New Roman" w:cs="Times New Roman"/>
        </w:rPr>
        <w:t>globulinemic vasculitis (D89.1)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Ankylosing spondylitis (M45)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44BFD">
        <w:rPr>
          <w:rFonts w:ascii="Times New Roman" w:hAnsi="Times New Roman" w:cs="Times New Roman"/>
        </w:rPr>
        <w:t>empo</w:t>
      </w:r>
      <w:r>
        <w:rPr>
          <w:rFonts w:ascii="Times New Roman" w:hAnsi="Times New Roman" w:cs="Times New Roman"/>
        </w:rPr>
        <w:t>ral arteritis (M31.5 and M31.6)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Polymyalgia rheumatica (M35.3)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Takayasu’s arteritis (M31.4)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E44BFD">
        <w:rPr>
          <w:rFonts w:ascii="Times New Roman" w:hAnsi="Times New Roman" w:cs="Times New Roman"/>
        </w:rPr>
        <w:t>elap</w:t>
      </w:r>
      <w:r>
        <w:rPr>
          <w:rFonts w:ascii="Times New Roman" w:hAnsi="Times New Roman" w:cs="Times New Roman"/>
        </w:rPr>
        <w:t>sing polychondritis (M94.1)</w:t>
      </w:r>
    </w:p>
    <w:p w:rsidR="0009258C" w:rsidRDefault="0009258C" w:rsidP="0009258C">
      <w:pPr>
        <w:spacing w:after="60" w:line="276" w:lineRule="auto"/>
        <w:rPr>
          <w:rFonts w:ascii="Times New Roman" w:hAnsi="Times New Roman" w:cs="Times New Roman"/>
        </w:rPr>
      </w:pPr>
      <w:r w:rsidRPr="00E44BFD">
        <w:rPr>
          <w:rFonts w:ascii="Times New Roman" w:hAnsi="Times New Roman" w:cs="Times New Roman"/>
        </w:rPr>
        <w:t>Sjogren syndrome (M35.0).</w:t>
      </w:r>
    </w:p>
    <w:p w:rsid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09258C" w:rsidRP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09258C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  <w:r w:rsidRPr="00EF52E9">
        <w:rPr>
          <w:rFonts w:ascii="Times New Roman" w:hAnsi="Times New Roman" w:cs="Times New Roman" w:hint="eastAsia"/>
          <w:b/>
          <w:szCs w:val="20"/>
        </w:rPr>
        <w:lastRenderedPageBreak/>
        <w:t xml:space="preserve">Supplementary </w:t>
      </w:r>
      <w:r w:rsidR="001B7FBB">
        <w:rPr>
          <w:rFonts w:ascii="Times New Roman" w:hAnsi="Times New Roman" w:cs="Times New Roman"/>
          <w:b/>
          <w:szCs w:val="20"/>
        </w:rPr>
        <w:t>figure</w:t>
      </w:r>
      <w:r w:rsidR="0009258C" w:rsidRPr="00EF52E9">
        <w:rPr>
          <w:rFonts w:ascii="Times New Roman" w:hAnsi="Times New Roman" w:cs="Times New Roman"/>
          <w:b/>
          <w:szCs w:val="20"/>
        </w:rPr>
        <w:t xml:space="preserve"> </w:t>
      </w:r>
      <w:r w:rsidR="001B7FBB">
        <w:rPr>
          <w:rFonts w:ascii="Times New Roman" w:hAnsi="Times New Roman" w:cs="Times New Roman"/>
          <w:b/>
          <w:szCs w:val="20"/>
        </w:rPr>
        <w:t>S1</w:t>
      </w:r>
      <w:r w:rsidRPr="00EF52E9">
        <w:rPr>
          <w:rFonts w:ascii="Times New Roman" w:hAnsi="Times New Roman" w:cs="Times New Roman"/>
          <w:b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Algorithm for detecting PCP cases</w:t>
      </w: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A02095" w:rsidRDefault="00A02095" w:rsidP="00F72A99">
      <w:pPr>
        <w:spacing w:line="240" w:lineRule="auto"/>
        <w:rPr>
          <w:rFonts w:ascii="Times New Roman" w:hAnsi="Times New Roman" w:cs="Times New Roman"/>
          <w:szCs w:val="20"/>
        </w:rPr>
      </w:pPr>
      <w:r w:rsidRPr="00A02095"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3212A18E" wp14:editId="0FCC84A7">
            <wp:extent cx="5731510" cy="3730246"/>
            <wp:effectExtent l="0" t="0" r="2540" b="381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3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095" w:rsidRDefault="00A02095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A02095" w:rsidRDefault="00A02095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A02095" w:rsidRDefault="00A02095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A02095" w:rsidRDefault="00A02095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09258C" w:rsidP="00F72A99">
      <w:pPr>
        <w:spacing w:line="240" w:lineRule="auto"/>
        <w:rPr>
          <w:rFonts w:ascii="Times New Roman" w:hAnsi="Times New Roman" w:cs="Times New Roman"/>
          <w:szCs w:val="20"/>
        </w:rPr>
      </w:pPr>
      <w:r w:rsidRPr="00EF52E9">
        <w:rPr>
          <w:rFonts w:ascii="Times New Roman" w:hAnsi="Times New Roman" w:cs="Times New Roman" w:hint="eastAsia"/>
          <w:b/>
          <w:szCs w:val="20"/>
        </w:rPr>
        <w:t xml:space="preserve">Supplementary </w:t>
      </w:r>
      <w:r w:rsidR="001B7FBB">
        <w:rPr>
          <w:rFonts w:ascii="Times New Roman" w:hAnsi="Times New Roman" w:cs="Times New Roman"/>
          <w:b/>
          <w:szCs w:val="20"/>
        </w:rPr>
        <w:t>figure</w:t>
      </w:r>
      <w:r w:rsidRPr="00EF52E9">
        <w:rPr>
          <w:rFonts w:ascii="Times New Roman" w:hAnsi="Times New Roman" w:cs="Times New Roman" w:hint="eastAsia"/>
          <w:b/>
          <w:szCs w:val="20"/>
        </w:rPr>
        <w:t xml:space="preserve"> </w:t>
      </w:r>
      <w:r w:rsidR="001B7FBB">
        <w:rPr>
          <w:rFonts w:ascii="Times New Roman" w:hAnsi="Times New Roman" w:cs="Times New Roman"/>
          <w:b/>
          <w:szCs w:val="20"/>
        </w:rPr>
        <w:t>S2</w:t>
      </w:r>
      <w:r w:rsidR="00F72A99" w:rsidRPr="00EF52E9">
        <w:rPr>
          <w:rFonts w:ascii="Times New Roman" w:hAnsi="Times New Roman" w:cs="Times New Roman" w:hint="eastAsia"/>
          <w:b/>
          <w:szCs w:val="20"/>
        </w:rPr>
        <w:t>.</w:t>
      </w:r>
      <w:r w:rsidR="00F72A99">
        <w:rPr>
          <w:rFonts w:ascii="Times New Roman" w:hAnsi="Times New Roman" w:cs="Times New Roman" w:hint="eastAsia"/>
          <w:szCs w:val="20"/>
        </w:rPr>
        <w:t xml:space="preserve"> </w:t>
      </w:r>
      <w:r w:rsidR="00533A0F">
        <w:rPr>
          <w:rFonts w:ascii="Times New Roman" w:hAnsi="Times New Roman" w:cs="Times New Roman"/>
          <w:szCs w:val="20"/>
        </w:rPr>
        <w:t>Standardized difference of covariates before and after the propensity-score matching</w:t>
      </w:r>
    </w:p>
    <w:p w:rsidR="00F72A99" w:rsidRPr="00533A0F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533A0F" w:rsidP="00F72A99">
      <w:p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w:drawing>
          <wp:inline distT="0" distB="0" distL="0" distR="0" wp14:anchorId="3409B9C2" wp14:editId="74281F11">
            <wp:extent cx="3141814" cy="5295900"/>
            <wp:effectExtent l="0" t="0" r="1905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그림1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902" cy="530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533A0F" w:rsidRDefault="00533A0F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533A0F" w:rsidRDefault="00533A0F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533A0F" w:rsidRDefault="00533A0F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533A0F" w:rsidRDefault="00533A0F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F72A99" w:rsidP="00F72A99">
      <w:pPr>
        <w:spacing w:line="240" w:lineRule="auto"/>
        <w:rPr>
          <w:rFonts w:ascii="Times New Roman" w:hAnsi="Times New Roman" w:cs="Times New Roman"/>
          <w:szCs w:val="20"/>
        </w:rPr>
      </w:pPr>
    </w:p>
    <w:p w:rsidR="00F72A99" w:rsidRDefault="0009258C">
      <w:pPr>
        <w:rPr>
          <w:rFonts w:ascii="Times New Roman" w:hAnsi="Times New Roman" w:cs="Times New Roman"/>
        </w:rPr>
      </w:pPr>
      <w:r w:rsidRPr="00EF52E9">
        <w:rPr>
          <w:rFonts w:ascii="Times New Roman" w:hAnsi="Times New Roman" w:cs="Times New Roman" w:hint="eastAsia"/>
          <w:b/>
        </w:rPr>
        <w:t xml:space="preserve">Supplementary </w:t>
      </w:r>
      <w:r w:rsidR="001B7FBB">
        <w:rPr>
          <w:rFonts w:ascii="Times New Roman" w:hAnsi="Times New Roman" w:cs="Times New Roman"/>
          <w:b/>
        </w:rPr>
        <w:t>table</w:t>
      </w:r>
      <w:r w:rsidRPr="00EF52E9">
        <w:rPr>
          <w:rFonts w:ascii="Times New Roman" w:hAnsi="Times New Roman" w:cs="Times New Roman" w:hint="eastAsia"/>
          <w:b/>
        </w:rPr>
        <w:t xml:space="preserve"> </w:t>
      </w:r>
      <w:r w:rsidR="001B7FBB">
        <w:rPr>
          <w:rFonts w:ascii="Times New Roman" w:hAnsi="Times New Roman" w:cs="Times New Roman"/>
          <w:b/>
        </w:rPr>
        <w:t>S1</w:t>
      </w:r>
      <w:r w:rsidR="00533A0F" w:rsidRPr="00EF52E9">
        <w:rPr>
          <w:rFonts w:ascii="Times New Roman" w:hAnsi="Times New Roman" w:cs="Times New Roman" w:hint="eastAsia"/>
          <w:b/>
        </w:rPr>
        <w:t>.</w:t>
      </w:r>
      <w:r w:rsidR="00533A0F">
        <w:rPr>
          <w:rFonts w:ascii="Times New Roman" w:hAnsi="Times New Roman" w:cs="Times New Roman" w:hint="eastAsia"/>
        </w:rPr>
        <w:t xml:space="preserve"> Summary of 30 PCP cases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3"/>
        <w:gridCol w:w="2323"/>
      </w:tblGrid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Age, mean (SD)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46.9 (</w:t>
            </w:r>
            <w:r>
              <w:rPr>
                <w:rFonts w:ascii="Times New Roman" w:hAnsi="Times New Roman" w:cs="Times New Roman"/>
              </w:rPr>
              <w:t>18.5)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Male gender</w:t>
            </w:r>
            <w:r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 (30.0%)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SLE</w:t>
            </w:r>
            <w:r>
              <w:rPr>
                <w:rFonts w:ascii="Times New Roman" w:hAnsi="Times New Roman" w:cs="Times New Roman"/>
              </w:rPr>
              <w:t>, n (%)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(50.0%)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Systemi</w:t>
            </w:r>
            <w:r>
              <w:rPr>
                <w:rFonts w:ascii="Times New Roman" w:hAnsi="Times New Roman" w:cs="Times New Roman"/>
              </w:rPr>
              <w:t>c sclerosis, n (%)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(10.0%)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GPA, n </w:t>
            </w: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(6.7%)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MPA, n (%)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(10.0%)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 w:hint="eastAsia"/>
              </w:rPr>
              <w:t>ermatomyositis, n (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(10.0%)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Rheumatoid</w:t>
            </w:r>
            <w:r>
              <w:rPr>
                <w:rFonts w:ascii="Times New Roman" w:hAnsi="Times New Roman" w:cs="Times New Roman"/>
              </w:rPr>
              <w:t xml:space="preserve"> arthritis, n (%)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(3.3%)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Cryoglo</w:t>
            </w:r>
            <w:r>
              <w:rPr>
                <w:rFonts w:ascii="Times New Roman" w:hAnsi="Times New Roman" w:cs="Times New Roman"/>
              </w:rPr>
              <w:t>bulinemic vasculitis, n (%)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(3.3%)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Sjo</w:t>
            </w:r>
            <w:r>
              <w:rPr>
                <w:rFonts w:ascii="Times New Roman" w:hAnsi="Times New Roman" w:cs="Times New Roman"/>
              </w:rPr>
              <w:t>gren syndrome, n (%)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(3.3%)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Temporal arteritis, n (</w:t>
            </w:r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(3.3%)</w:t>
            </w:r>
          </w:p>
        </w:tc>
      </w:tr>
      <w:tr w:rsidR="00533A0F" w:rsidTr="00533A0F"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steroid dose, mg, mean (SD)</w:t>
            </w:r>
            <w:r w:rsidRPr="00CD4D89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1477</w:t>
            </w:r>
            <w:r>
              <w:rPr>
                <w:rFonts w:ascii="Times New Roman" w:hAnsi="Times New Roman" w:cs="Times New Roman"/>
              </w:rPr>
              <w:t>.8 (1198.5)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Duration of high-dose</w:t>
            </w:r>
            <w:r>
              <w:rPr>
                <w:rFonts w:ascii="Times New Roman" w:hAnsi="Times New Roman" w:cs="Times New Roman"/>
              </w:rPr>
              <w:t xml:space="preserve"> steroid treatment, days, mean (SD)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77.1 (</w:t>
            </w:r>
            <w:r>
              <w:rPr>
                <w:rFonts w:ascii="Times New Roman" w:hAnsi="Times New Roman" w:cs="Times New Roman"/>
              </w:rPr>
              <w:t>73.4)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Pr="00F73DA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Concomitant cyclophosphamide PO, n (%)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 (6.7)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Concomitant </w:t>
            </w:r>
            <w:r>
              <w:rPr>
                <w:rFonts w:ascii="Times New Roman" w:hAnsi="Times New Roman" w:cs="Times New Roman"/>
              </w:rPr>
              <w:t>cyclophosphamide pulse, n (%)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 (23.3)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Concomitant steroid pulse, n (%)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(26.7)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Base</w:t>
            </w:r>
            <w:r>
              <w:rPr>
                <w:rFonts w:ascii="Times New Roman" w:hAnsi="Times New Roman" w:cs="Times New Roman"/>
              </w:rPr>
              <w:t>line lymphopenia, n (%)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 (</w:t>
            </w:r>
            <w:r>
              <w:rPr>
                <w:rFonts w:ascii="Times New Roman" w:hAnsi="Times New Roman" w:cs="Times New Roman"/>
              </w:rPr>
              <w:t>43.3)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5B58E4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 steroid dose, mg/day, mean(SD)</w:t>
            </w:r>
            <w:r w:rsidRPr="00CD4D8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76.0 (</w:t>
            </w:r>
            <w:r>
              <w:rPr>
                <w:rFonts w:ascii="Times New Roman" w:hAnsi="Times New Roman" w:cs="Times New Roman"/>
              </w:rPr>
              <w:t>41.1)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 w:hint="eastAsia"/>
              </w:rPr>
              <w:t>teroid dose at PCP</w:t>
            </w:r>
            <w:r>
              <w:rPr>
                <w:rFonts w:ascii="Times New Roman" w:hAnsi="Times New Roman" w:cs="Times New Roman"/>
              </w:rPr>
              <w:t xml:space="preserve">, mg/day, </w:t>
            </w:r>
            <w:r w:rsidR="00680136">
              <w:rPr>
                <w:rFonts w:ascii="Times New Roman" w:hAnsi="Times New Roman" w:cs="Times New Roman"/>
              </w:rPr>
              <w:t>median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80136">
              <w:rPr>
                <w:rFonts w:ascii="Times New Roman" w:hAnsi="Times New Roman" w:cs="Times New Roman"/>
              </w:rPr>
              <w:t>minimum, maximum</w:t>
            </w:r>
            <w:r>
              <w:rPr>
                <w:rFonts w:ascii="Times New Roman" w:hAnsi="Times New Roman" w:cs="Times New Roman"/>
              </w:rPr>
              <w:t>)</w:t>
            </w:r>
            <w:r w:rsidRPr="00CD4D89">
              <w:rPr>
                <w:rFonts w:ascii="Times New Roman" w:hAnsi="Times New Roman" w:cs="Times New Roman"/>
                <w:vertAlign w:val="superscript"/>
              </w:rPr>
              <w:t xml:space="preserve"> *</w:t>
            </w:r>
          </w:p>
        </w:tc>
        <w:tc>
          <w:tcPr>
            <w:tcW w:w="2323" w:type="dxa"/>
            <w:vAlign w:val="center"/>
          </w:tcPr>
          <w:p w:rsidR="00533A0F" w:rsidRDefault="00680136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</w:t>
            </w:r>
            <w:r w:rsidR="00533A0F"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5.0, 80.0)</w:t>
            </w:r>
            <w:r w:rsidR="00533A0F">
              <w:rPr>
                <w:rFonts w:ascii="Times New Roman" w:hAnsi="Times New Roman" w:cs="Times New Roman"/>
              </w:rPr>
              <w:t>)</w:t>
            </w:r>
          </w:p>
        </w:tc>
      </w:tr>
      <w:tr w:rsidR="00680136" w:rsidTr="00533A0F">
        <w:trPr>
          <w:trHeight w:val="340"/>
        </w:trPr>
        <w:tc>
          <w:tcPr>
            <w:tcW w:w="6693" w:type="dxa"/>
            <w:vAlign w:val="center"/>
          </w:tcPr>
          <w:p w:rsidR="00680136" w:rsidRDefault="00680136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PCP occur</w:t>
            </w:r>
            <w:r>
              <w:rPr>
                <w:rFonts w:ascii="Times New Roman" w:hAnsi="Times New Roman" w:cs="Times New Roman"/>
              </w:rPr>
              <w:t>red at 5</w:t>
            </w:r>
            <w:r>
              <w:rPr>
                <w:rFonts w:ascii="맑은 고딕" w:eastAsia="맑은 고딕" w:hAnsi="맑은 고딕" w:cs="Times New Roman" w:hint="eastAsia"/>
              </w:rPr>
              <w:t>~</w:t>
            </w:r>
            <w:r>
              <w:rPr>
                <w:rFonts w:ascii="Times New Roman" w:hAnsi="Times New Roman" w:cs="Times New Roman"/>
              </w:rPr>
              <w:t>15mg/day of prednisone, n (%)</w:t>
            </w:r>
          </w:p>
        </w:tc>
        <w:tc>
          <w:tcPr>
            <w:tcW w:w="2323" w:type="dxa"/>
            <w:vAlign w:val="center"/>
          </w:tcPr>
          <w:p w:rsidR="00680136" w:rsidRPr="00680136" w:rsidRDefault="00680136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(10.0)</w:t>
            </w:r>
          </w:p>
        </w:tc>
      </w:tr>
      <w:tr w:rsidR="00680136" w:rsidTr="00533A0F">
        <w:trPr>
          <w:trHeight w:val="340"/>
        </w:trPr>
        <w:tc>
          <w:tcPr>
            <w:tcW w:w="6693" w:type="dxa"/>
            <w:vAlign w:val="center"/>
          </w:tcPr>
          <w:p w:rsidR="00680136" w:rsidRDefault="00680136" w:rsidP="00680136">
            <w:pPr>
              <w:spacing w:after="60"/>
              <w:ind w:firstLineChars="100" w:firstLin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PCP occur</w:t>
            </w:r>
            <w:r>
              <w:rPr>
                <w:rFonts w:ascii="Times New Roman" w:hAnsi="Times New Roman" w:cs="Times New Roman"/>
              </w:rPr>
              <w:t>red at 15</w:t>
            </w:r>
            <w:r>
              <w:rPr>
                <w:rFonts w:ascii="맑은 고딕" w:eastAsia="맑은 고딕" w:hAnsi="맑은 고딕" w:cs="Times New Roman" w:hint="eastAsia"/>
              </w:rPr>
              <w:t>~</w:t>
            </w:r>
            <w:r>
              <w:rPr>
                <w:rFonts w:ascii="Times New Roman" w:hAnsi="Times New Roman" w:cs="Times New Roman"/>
              </w:rPr>
              <w:t>30mg/day of prednisone, n (%)</w:t>
            </w:r>
          </w:p>
        </w:tc>
        <w:tc>
          <w:tcPr>
            <w:tcW w:w="2323" w:type="dxa"/>
            <w:vAlign w:val="center"/>
          </w:tcPr>
          <w:p w:rsidR="00680136" w:rsidRDefault="00680136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 (40.0)</w:t>
            </w:r>
          </w:p>
        </w:tc>
      </w:tr>
      <w:tr w:rsidR="00680136" w:rsidTr="00533A0F">
        <w:trPr>
          <w:trHeight w:val="340"/>
        </w:trPr>
        <w:tc>
          <w:tcPr>
            <w:tcW w:w="6693" w:type="dxa"/>
            <w:vAlign w:val="center"/>
          </w:tcPr>
          <w:p w:rsidR="00680136" w:rsidRPr="00680136" w:rsidRDefault="00680136" w:rsidP="00680136">
            <w:pPr>
              <w:spacing w:after="60"/>
              <w:ind w:firstLineChars="100" w:firstLine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PCP occur</w:t>
            </w:r>
            <w:r>
              <w:rPr>
                <w:rFonts w:ascii="Times New Roman" w:hAnsi="Times New Roman" w:cs="Times New Roman"/>
              </w:rPr>
              <w:t>red at 30mg/day or more of prednisone, n (%)</w:t>
            </w:r>
          </w:p>
        </w:tc>
        <w:tc>
          <w:tcPr>
            <w:tcW w:w="2323" w:type="dxa"/>
            <w:vAlign w:val="center"/>
          </w:tcPr>
          <w:p w:rsidR="00680136" w:rsidRDefault="00680136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 (</w:t>
            </w:r>
            <w:r>
              <w:rPr>
                <w:rFonts w:ascii="Times New Roman" w:hAnsi="Times New Roman" w:cs="Times New Roman"/>
              </w:rPr>
              <w:t>50.0)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Interval between the b</w:t>
            </w:r>
            <w:r>
              <w:rPr>
                <w:rFonts w:ascii="Times New Roman" w:hAnsi="Times New Roman" w:cs="Times New Roman"/>
              </w:rPr>
              <w:t>aseline and PCP, months, mean (SD)</w:t>
            </w:r>
          </w:p>
        </w:tc>
        <w:tc>
          <w:tcPr>
            <w:tcW w:w="2323" w:type="dxa"/>
            <w:vAlign w:val="center"/>
          </w:tcPr>
          <w:p w:rsidR="00533A0F" w:rsidRPr="00855E4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 (2.5)</w:t>
            </w:r>
          </w:p>
        </w:tc>
      </w:tr>
      <w:tr w:rsidR="00533A0F" w:rsidTr="00533A0F">
        <w:trPr>
          <w:trHeight w:val="340"/>
        </w:trPr>
        <w:tc>
          <w:tcPr>
            <w:tcW w:w="6693" w:type="dxa"/>
            <w:vAlign w:val="center"/>
          </w:tcPr>
          <w:p w:rsidR="00533A0F" w:rsidRDefault="00533A0F" w:rsidP="00EA0997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Bactrim prophylaxis, n (%)</w:t>
            </w:r>
          </w:p>
        </w:tc>
        <w:tc>
          <w:tcPr>
            <w:tcW w:w="2323" w:type="dxa"/>
            <w:vAlign w:val="center"/>
          </w:tcPr>
          <w:p w:rsidR="00533A0F" w:rsidRDefault="00533A0F" w:rsidP="00EA0997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 (</w:t>
            </w:r>
            <w:r>
              <w:rPr>
                <w:rFonts w:ascii="Times New Roman" w:hAnsi="Times New Roman" w:cs="Times New Roman"/>
              </w:rPr>
              <w:t>3.3%)</w:t>
            </w:r>
          </w:p>
        </w:tc>
      </w:tr>
    </w:tbl>
    <w:p w:rsidR="00533A0F" w:rsidRDefault="00533A0F" w:rsidP="00EA09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There were</w:t>
      </w:r>
      <w:r>
        <w:rPr>
          <w:rFonts w:ascii="Times New Roman" w:hAnsi="Times New Roman" w:cs="Times New Roman"/>
        </w:rPr>
        <w:t xml:space="preserve"> no PCP cases in other rheumatic diseases during the observation.</w:t>
      </w:r>
    </w:p>
    <w:p w:rsidR="00533A0F" w:rsidRPr="00CD4D89" w:rsidRDefault="00533A0F" w:rsidP="00EA0997">
      <w:pPr>
        <w:spacing w:after="0" w:line="240" w:lineRule="auto"/>
        <w:rPr>
          <w:rFonts w:ascii="Times New Roman" w:hAnsi="Times New Roman" w:cs="Times New Roman"/>
        </w:rPr>
      </w:pPr>
      <w:r w:rsidRPr="00CD4D89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맑은 고딕" w:hAnsi="Times New Roman" w:cs="Times New Roman"/>
        </w:rPr>
        <w:t>indicates cumulatively used steroid (prednisone) dose during previous 6 months.</w:t>
      </w:r>
    </w:p>
    <w:p w:rsidR="00533A0F" w:rsidRPr="00533A0F" w:rsidRDefault="00533A0F">
      <w:pPr>
        <w:rPr>
          <w:rFonts w:ascii="Times New Roman" w:hAnsi="Times New Roman" w:cs="Times New Roman"/>
        </w:rPr>
      </w:pPr>
    </w:p>
    <w:p w:rsidR="00F72A99" w:rsidRDefault="00F72A99">
      <w:pPr>
        <w:rPr>
          <w:rFonts w:ascii="Times New Roman" w:hAnsi="Times New Roman" w:cs="Times New Roman"/>
        </w:rPr>
      </w:pPr>
    </w:p>
    <w:p w:rsidR="00533A0F" w:rsidRDefault="00533A0F">
      <w:pPr>
        <w:rPr>
          <w:rFonts w:ascii="Times New Roman" w:hAnsi="Times New Roman" w:cs="Times New Roman"/>
        </w:rPr>
      </w:pPr>
    </w:p>
    <w:p w:rsidR="002120D8" w:rsidRDefault="002120D8">
      <w:pPr>
        <w:rPr>
          <w:rFonts w:ascii="Times New Roman" w:hAnsi="Times New Roman" w:cs="Times New Roman"/>
        </w:rPr>
      </w:pPr>
    </w:p>
    <w:p w:rsidR="002120D8" w:rsidRDefault="002120D8">
      <w:pPr>
        <w:rPr>
          <w:rFonts w:ascii="Times New Roman" w:hAnsi="Times New Roman" w:cs="Times New Roman"/>
        </w:rPr>
      </w:pPr>
    </w:p>
    <w:p w:rsidR="002120D8" w:rsidRDefault="002120D8">
      <w:pPr>
        <w:rPr>
          <w:rFonts w:ascii="Times New Roman" w:hAnsi="Times New Roman" w:cs="Times New Roman"/>
        </w:rPr>
      </w:pPr>
    </w:p>
    <w:p w:rsidR="00BC076D" w:rsidRDefault="00BC076D">
      <w:pPr>
        <w:rPr>
          <w:rFonts w:ascii="Times New Roman" w:hAnsi="Times New Roman" w:cs="Times New Roman"/>
        </w:rPr>
        <w:sectPr w:rsidR="00BC076D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225F14" w:rsidRDefault="001B7FBB" w:rsidP="00225F14">
      <w:pPr>
        <w:widowControl/>
        <w:wordWrap/>
        <w:autoSpaceDE/>
        <w:autoSpaceDN/>
        <w:spacing w:line="240" w:lineRule="auto"/>
        <w:ind w:leftChars="-343" w:left="-686" w:firstLineChars="49" w:firstLine="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 S2</w:t>
      </w:r>
      <w:r w:rsidR="00225F14" w:rsidRPr="00EF52E9">
        <w:rPr>
          <w:rFonts w:ascii="Times New Roman" w:hAnsi="Times New Roman" w:cs="Times New Roman"/>
          <w:b/>
        </w:rPr>
        <w:t>.</w:t>
      </w:r>
      <w:r w:rsidR="00225F14" w:rsidRPr="008F1F34">
        <w:rPr>
          <w:rFonts w:ascii="Times New Roman" w:hAnsi="Times New Roman" w:cs="Times New Roman"/>
        </w:rPr>
        <w:t xml:space="preserve"> </w:t>
      </w:r>
      <w:r w:rsidR="00225F14">
        <w:rPr>
          <w:rFonts w:ascii="Times New Roman" w:hAnsi="Times New Roman" w:cs="Times New Roman"/>
        </w:rPr>
        <w:t>Clinical features of the 30 PCP cases at diagnosis</w:t>
      </w:r>
    </w:p>
    <w:tbl>
      <w:tblPr>
        <w:tblStyle w:val="a3"/>
        <w:tblW w:w="15027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1843"/>
        <w:gridCol w:w="1559"/>
        <w:gridCol w:w="1276"/>
        <w:gridCol w:w="1276"/>
        <w:gridCol w:w="1134"/>
        <w:gridCol w:w="1417"/>
        <w:gridCol w:w="1843"/>
        <w:gridCol w:w="1276"/>
        <w:gridCol w:w="1134"/>
      </w:tblGrid>
      <w:tr w:rsidR="00225F14" w:rsidTr="003E1957">
        <w:tc>
          <w:tcPr>
            <w:tcW w:w="709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Case</w:t>
            </w:r>
          </w:p>
        </w:tc>
        <w:tc>
          <w:tcPr>
            <w:tcW w:w="851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Gender</w:t>
            </w:r>
          </w:p>
        </w:tc>
        <w:tc>
          <w:tcPr>
            <w:tcW w:w="709" w:type="dxa"/>
            <w:vAlign w:val="center"/>
          </w:tcPr>
          <w:p w:rsidR="00225F14" w:rsidRPr="00D57DF8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D57DF8">
              <w:rPr>
                <w:rFonts w:ascii="Times New Roman" w:hAnsi="Times New Roman" w:cs="Times New Roman"/>
                <w:szCs w:val="20"/>
              </w:rPr>
              <w:t>Age</w:t>
            </w:r>
          </w:p>
        </w:tc>
        <w:tc>
          <w:tcPr>
            <w:tcW w:w="1843" w:type="dxa"/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Underlying disease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Interval between baseline and PCP (month)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 w:hint="eastAsia"/>
              </w:rPr>
              <w:t>ymphocyte</w:t>
            </w:r>
            <w:r>
              <w:rPr>
                <w:rFonts w:ascii="Times New Roman" w:hAnsi="Times New Roman" w:cs="Times New Roman"/>
              </w:rPr>
              <w:t xml:space="preserve"> count at baseline</w:t>
            </w:r>
            <w:r w:rsidRPr="00171B81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25F14" w:rsidRPr="00171B81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71B81">
              <w:rPr>
                <w:rFonts w:ascii="Times New Roman" w:hAnsi="Times New Roman" w:cs="Times New Roman"/>
              </w:rPr>
              <w:t>Lymphocyte count at PCP</w:t>
            </w:r>
            <w:r w:rsidRPr="00171B81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F14" w:rsidRPr="00171B81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171B81">
              <w:rPr>
                <w:rFonts w:ascii="Times New Roman" w:hAnsi="Times New Roman" w:cs="Times New Roman"/>
              </w:rPr>
              <w:t>Steroid dose at PCP</w:t>
            </w:r>
            <w:r w:rsidRPr="00171B81">
              <w:rPr>
                <w:rFonts w:ascii="Times New Roman" w:eastAsia="맑은 고딕" w:hAnsi="Times New Roman" w:cs="Times New Roman"/>
                <w:vertAlign w:val="superscript"/>
              </w:rPr>
              <w:t>†</w:t>
            </w:r>
            <w:r w:rsidRPr="00171B8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71B81">
              <w:rPr>
                <w:rFonts w:ascii="Times New Roman" w:hAnsi="Times New Roman" w:cs="Times New Roman"/>
              </w:rPr>
              <w:t>(mg)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25F14" w:rsidRPr="00A03A4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Pe</w:t>
            </w:r>
            <w:r>
              <w:rPr>
                <w:rFonts w:ascii="Times New Roman" w:hAnsi="Times New Roman" w:cs="Times New Roman" w:hint="eastAsia"/>
                <w:szCs w:val="20"/>
              </w:rPr>
              <w:t>r</w:t>
            </w:r>
            <w:r>
              <w:rPr>
                <w:rFonts w:ascii="Times New Roman" w:hAnsi="Times New Roman" w:cs="Times New Roman"/>
                <w:szCs w:val="20"/>
              </w:rPr>
              <w:t>iod</w:t>
            </w:r>
            <w:r w:rsidRPr="00933833">
              <w:rPr>
                <w:rFonts w:ascii="Times New Roman" w:hAnsi="Times New Roman" w:cs="Times New Roman"/>
                <w:szCs w:val="20"/>
              </w:rPr>
              <w:t xml:space="preserve"> of maintaining steroid dose at </w:t>
            </w:r>
            <w:r>
              <w:rPr>
                <w:rFonts w:ascii="Times New Roman" w:hAnsi="Times New Roman" w:cs="Times New Roman"/>
                <w:szCs w:val="20"/>
              </w:rPr>
              <w:t>PCP</w:t>
            </w:r>
            <w:r w:rsidRPr="0093383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03A44">
              <w:rPr>
                <w:rFonts w:ascii="Times New Roman" w:hAnsi="Times New Roman" w:cs="Times New Roman"/>
                <w:szCs w:val="20"/>
              </w:rPr>
              <w:t>(day)</w:t>
            </w:r>
          </w:p>
        </w:tc>
        <w:tc>
          <w:tcPr>
            <w:tcW w:w="1843" w:type="dxa"/>
            <w:vAlign w:val="center"/>
          </w:tcPr>
          <w:p w:rsidR="00225F14" w:rsidRPr="00A03A4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Concomitant cyclophosphamide pulse at baseline</w:t>
            </w:r>
          </w:p>
        </w:tc>
        <w:tc>
          <w:tcPr>
            <w:tcW w:w="1276" w:type="dxa"/>
            <w:vAlign w:val="center"/>
          </w:tcPr>
          <w:p w:rsidR="00225F14" w:rsidRPr="00A03A4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A03A44">
              <w:rPr>
                <w:rFonts w:ascii="Times New Roman" w:hAnsi="Times New Roman" w:cs="Times New Roman"/>
                <w:szCs w:val="20"/>
              </w:rPr>
              <w:t>PCP prophylaxis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25F14" w:rsidRPr="00171B81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171B81">
              <w:rPr>
                <w:rFonts w:ascii="Times New Roman" w:hAnsi="Times New Roman" w:cs="Times New Roman"/>
                <w:szCs w:val="20"/>
              </w:rPr>
              <w:t>PCP-related death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770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93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Yes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55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GPA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361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83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Yes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651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26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Yes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1379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54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RA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69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Ye</w:t>
            </w:r>
            <w:r w:rsidRPr="00D272A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MPA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846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17.5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Yes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Systemic sclerosis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1303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3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54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2464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43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Yes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Dermatomyositis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10.8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4029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253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Yes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Systemic sclerosis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1829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Systemic sclerosis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2550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38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Yes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Temporal arteritis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966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26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GPA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1437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51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Yes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MPA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10.5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1488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116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Dermatomyositis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Yes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Dermatomyositis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1373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Cryoglobulinemic vasculitis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1151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1291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96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MPA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2725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37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Yes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29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25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Yes</w:t>
            </w:r>
          </w:p>
        </w:tc>
      </w:tr>
      <w:tr w:rsidR="00225F14" w:rsidTr="003E1957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SLE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2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38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  <w:tr w:rsidR="00225F14" w:rsidTr="003E195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D57DF8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F14" w:rsidRPr="000610FE" w:rsidRDefault="00225F14" w:rsidP="003E195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0610FE">
              <w:rPr>
                <w:rFonts w:ascii="Times New Roman" w:hAnsi="Times New Roman" w:cs="Times New Roman"/>
                <w:szCs w:val="20"/>
              </w:rPr>
              <w:t>Sjogren syndrome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01686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01686">
              <w:rPr>
                <w:rFonts w:ascii="Times New Roman" w:eastAsia="맑은 고딕" w:hAnsi="Times New Roman" w:cs="Times New Roman"/>
                <w:color w:val="000000"/>
              </w:rPr>
              <w:t>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0610FE">
              <w:rPr>
                <w:rFonts w:ascii="Times New Roman" w:eastAsia="맑은 고딕" w:hAnsi="Times New Roman" w:cs="Times New Roman"/>
                <w:color w:val="00000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222782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</w:rPr>
            </w:pPr>
            <w:r w:rsidRPr="00222782">
              <w:rPr>
                <w:rFonts w:ascii="Times New Roman" w:eastAsia="맑은 고딕" w:hAnsi="Times New Roman" w:cs="Times New Roman"/>
                <w:color w:val="000000"/>
              </w:rPr>
              <w:t>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0610FE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F14" w:rsidRPr="00BF008A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</w:rPr>
            </w:pPr>
            <w:r w:rsidRPr="00BF008A">
              <w:rPr>
                <w:rFonts w:ascii="Times New Roman" w:eastAsia="맑은 고딕" w:hAnsi="Times New Roman" w:cs="Times New Roman"/>
                <w:color w:val="000000"/>
                <w:sz w:val="18"/>
              </w:rPr>
              <w:t>39</w:t>
            </w:r>
          </w:p>
        </w:tc>
        <w:tc>
          <w:tcPr>
            <w:tcW w:w="1843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276" w:type="dxa"/>
            <w:vAlign w:val="center"/>
          </w:tcPr>
          <w:p w:rsidR="00225F14" w:rsidRDefault="00225F14" w:rsidP="003E195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14" w:rsidRPr="00171B81" w:rsidRDefault="00225F14" w:rsidP="003E1957">
            <w:pPr>
              <w:jc w:val="center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No</w:t>
            </w:r>
          </w:p>
        </w:tc>
      </w:tr>
    </w:tbl>
    <w:p w:rsidR="00225F14" w:rsidRDefault="00225F14" w:rsidP="00225F14">
      <w:pPr>
        <w:spacing w:after="0" w:line="240" w:lineRule="auto"/>
        <w:ind w:leftChars="-329" w:left="-658"/>
        <w:rPr>
          <w:rFonts w:ascii="Times New Roman" w:eastAsia="맑은 고딕" w:hAnsi="Times New Roman" w:cs="Times New Roman"/>
        </w:rPr>
      </w:pPr>
      <w:r w:rsidRPr="00CD4D89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맑은 고딕" w:hAnsi="Times New Roman" w:cs="Times New Roman"/>
        </w:rPr>
        <w:t>indicates the lymphocyte counts per milliliter</w:t>
      </w:r>
    </w:p>
    <w:p w:rsidR="00225F14" w:rsidRPr="00171B81" w:rsidRDefault="00225F14" w:rsidP="00225F14">
      <w:pPr>
        <w:spacing w:after="0" w:line="240" w:lineRule="auto"/>
        <w:ind w:leftChars="-329" w:left="-658"/>
        <w:rPr>
          <w:rFonts w:ascii="Times New Roman" w:hAnsi="Times New Roman" w:cs="Times New Roman"/>
        </w:rPr>
      </w:pPr>
      <w:r w:rsidRPr="00171B81">
        <w:rPr>
          <w:rFonts w:ascii="Times New Roman" w:eastAsia="맑은 고딕" w:hAnsi="Times New Roman" w:cs="Times New Roman"/>
          <w:vertAlign w:val="superscript"/>
        </w:rPr>
        <w:t>†</w:t>
      </w:r>
      <w:r>
        <w:rPr>
          <w:rFonts w:ascii="Times New Roman" w:eastAsia="맑은 고딕" w:hAnsi="Times New Roman" w:cs="Times New Roman"/>
        </w:rPr>
        <w:t>, based on the dose of prednisone, mg/day</w:t>
      </w:r>
    </w:p>
    <w:p w:rsidR="00225F14" w:rsidRPr="00EA0997" w:rsidRDefault="00225F14" w:rsidP="00225F14">
      <w:pPr>
        <w:widowControl/>
        <w:wordWrap/>
        <w:autoSpaceDE/>
        <w:autoSpaceDN/>
        <w:spacing w:line="240" w:lineRule="auto"/>
        <w:ind w:leftChars="-329" w:left="-658" w:firstLineChars="49" w:firstLine="98"/>
        <w:rPr>
          <w:rFonts w:ascii="Times New Roman" w:hAnsi="Times New Roman" w:cs="Times New Roman"/>
        </w:rPr>
      </w:pPr>
    </w:p>
    <w:p w:rsidR="0042348B" w:rsidRPr="00225F14" w:rsidRDefault="0042348B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b/>
        </w:rPr>
      </w:pPr>
    </w:p>
    <w:p w:rsidR="00EA0997" w:rsidRDefault="00EA0997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b/>
        </w:rPr>
      </w:pPr>
    </w:p>
    <w:p w:rsidR="00EA0997" w:rsidRDefault="00EA0997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b/>
        </w:rPr>
      </w:pPr>
    </w:p>
    <w:p w:rsidR="00EA0997" w:rsidRDefault="00EA0997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b/>
        </w:rPr>
      </w:pPr>
    </w:p>
    <w:p w:rsidR="00EA0997" w:rsidRDefault="00EA0997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b/>
        </w:rPr>
      </w:pPr>
    </w:p>
    <w:p w:rsidR="00EA0997" w:rsidRDefault="00EA0997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b/>
        </w:rPr>
      </w:pPr>
    </w:p>
    <w:p w:rsidR="00EA0997" w:rsidRDefault="00EA0997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b/>
        </w:rPr>
      </w:pPr>
    </w:p>
    <w:p w:rsidR="00EA0997" w:rsidRDefault="00EA0997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b/>
        </w:rPr>
      </w:pPr>
    </w:p>
    <w:p w:rsidR="00EA0997" w:rsidRDefault="00EA0997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b/>
        </w:rPr>
      </w:pPr>
    </w:p>
    <w:p w:rsidR="00EA0997" w:rsidRDefault="00EA0997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b/>
        </w:rPr>
      </w:pPr>
    </w:p>
    <w:p w:rsidR="00EA0997" w:rsidRDefault="00EA0997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b/>
        </w:rPr>
      </w:pPr>
    </w:p>
    <w:p w:rsidR="00EA0997" w:rsidRDefault="00EA0997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b/>
        </w:rPr>
      </w:pPr>
    </w:p>
    <w:p w:rsidR="00EA0997" w:rsidRDefault="00EA0997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b/>
        </w:rPr>
      </w:pPr>
    </w:p>
    <w:p w:rsidR="00EA0997" w:rsidRDefault="00EA0997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b/>
        </w:rPr>
      </w:pPr>
    </w:p>
    <w:p w:rsidR="00EA0997" w:rsidRDefault="00EA0997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b/>
        </w:rPr>
      </w:pPr>
    </w:p>
    <w:p w:rsidR="00EA0997" w:rsidRDefault="00EA0997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b/>
        </w:rPr>
      </w:pPr>
    </w:p>
    <w:p w:rsidR="0042348B" w:rsidRDefault="0042348B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b/>
        </w:rPr>
      </w:pPr>
    </w:p>
    <w:p w:rsidR="00B25663" w:rsidRPr="00017D55" w:rsidRDefault="00B25663" w:rsidP="00B25663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sz w:val="22"/>
        </w:rPr>
      </w:pPr>
      <w:r w:rsidRPr="00EF52E9"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hAnsi="Times New Roman" w:cs="Times New Roman"/>
          <w:b/>
        </w:rPr>
        <w:t>table S3</w:t>
      </w:r>
      <w:r w:rsidRPr="008F1F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Clinical factors which influence </w:t>
      </w:r>
      <w:r w:rsidRPr="008F1F34">
        <w:rPr>
          <w:rFonts w:ascii="Times New Roman" w:hAnsi="Times New Roman" w:cs="Times New Roman"/>
        </w:rPr>
        <w:t>on 1-year PCP incidence and its related mortality</w:t>
      </w:r>
      <w:r>
        <w:rPr>
          <w:rFonts w:ascii="Times New Roman" w:hAnsi="Times New Roman" w:cs="Times New Roman"/>
        </w:rPr>
        <w:t xml:space="preserve"> in the p</w:t>
      </w:r>
      <w:r>
        <w:rPr>
          <w:rFonts w:ascii="Times New Roman" w:hAnsi="Times New Roman" w:cs="Times New Roman" w:hint="eastAsia"/>
        </w:rPr>
        <w:t>ropensity score</w:t>
      </w:r>
      <w:r>
        <w:rPr>
          <w:rFonts w:ascii="Times New Roman" w:hAnsi="Times New Roman" w:cs="Times New Roman"/>
        </w:rPr>
        <w:t>-matched population</w:t>
      </w:r>
    </w:p>
    <w:tbl>
      <w:tblPr>
        <w:tblStyle w:val="a3"/>
        <w:tblW w:w="13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2"/>
        <w:gridCol w:w="2435"/>
        <w:gridCol w:w="2436"/>
        <w:gridCol w:w="238"/>
        <w:gridCol w:w="2438"/>
        <w:gridCol w:w="2432"/>
        <w:gridCol w:w="6"/>
      </w:tblGrid>
      <w:tr w:rsidR="00B25663" w:rsidRPr="00087115" w:rsidTr="00DC2224">
        <w:trPr>
          <w:gridAfter w:val="1"/>
          <w:wAfter w:w="6" w:type="dxa"/>
          <w:trHeight w:val="567"/>
        </w:trPr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1-year PCP in</w:t>
            </w:r>
            <w:r>
              <w:rPr>
                <w:rFonts w:ascii="Times New Roman" w:hAnsi="Times New Roman" w:cs="Times New Roman"/>
                <w:szCs w:val="20"/>
              </w:rPr>
              <w:t>cidence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1-year </w:t>
            </w:r>
            <w:r>
              <w:rPr>
                <w:rFonts w:ascii="Times New Roman" w:hAnsi="Times New Roman" w:cs="Times New Roman" w:hint="eastAsia"/>
                <w:szCs w:val="20"/>
              </w:rPr>
              <w:t>PCP-relate</w:t>
            </w:r>
            <w:r>
              <w:rPr>
                <w:rFonts w:ascii="Times New Roman" w:hAnsi="Times New Roman" w:cs="Times New Roman"/>
                <w:szCs w:val="20"/>
              </w:rPr>
              <w:t>d mortality</w:t>
            </w:r>
          </w:p>
        </w:tc>
      </w:tr>
      <w:tr w:rsidR="00B25663" w:rsidRPr="00087115" w:rsidTr="00DC2224">
        <w:trPr>
          <w:gridAfter w:val="1"/>
          <w:wAfter w:w="6" w:type="dxa"/>
          <w:trHeight w:val="567"/>
        </w:trPr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663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Hazard</w:t>
            </w:r>
            <w:r>
              <w:rPr>
                <w:rFonts w:ascii="Times New Roman" w:hAnsi="Times New Roman" w:cs="Times New Roman"/>
                <w:szCs w:val="20"/>
              </w:rPr>
              <w:t xml:space="preserve"> ratio </w:t>
            </w:r>
          </w:p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(95% CI)</w:t>
            </w:r>
          </w:p>
        </w:tc>
        <w:tc>
          <w:tcPr>
            <w:tcW w:w="2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663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Hazard ra</w:t>
            </w:r>
            <w:r>
              <w:rPr>
                <w:rFonts w:ascii="Times New Roman" w:hAnsi="Times New Roman" w:cs="Times New Roman"/>
                <w:szCs w:val="20"/>
              </w:rPr>
              <w:t xml:space="preserve">tio </w:t>
            </w:r>
          </w:p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(95% profile likelihood CI)</w:t>
            </w:r>
          </w:p>
        </w:tc>
      </w:tr>
      <w:tr w:rsidR="00B25663" w:rsidRPr="00087115" w:rsidTr="00DC2224">
        <w:trPr>
          <w:trHeight w:val="567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Clinical factors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Univariab</w:t>
            </w:r>
            <w:r>
              <w:rPr>
                <w:rFonts w:ascii="Times New Roman" w:hAnsi="Times New Roman" w:cs="Times New Roman"/>
                <w:szCs w:val="20"/>
              </w:rPr>
              <w:t>le analysis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Multivariable analysis</w:t>
            </w:r>
            <w:r w:rsidRPr="008F1F34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2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Univariab</w:t>
            </w:r>
            <w:r>
              <w:rPr>
                <w:rFonts w:ascii="Times New Roman" w:hAnsi="Times New Roman" w:cs="Times New Roman"/>
                <w:szCs w:val="20"/>
              </w:rPr>
              <w:t>le analysis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Multivariable analysis</w:t>
            </w:r>
            <w:r w:rsidRPr="008F1F34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B25663" w:rsidRPr="00087115" w:rsidTr="00DC2224">
        <w:trPr>
          <w:trHeight w:val="397"/>
        </w:trPr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Age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1.03 (</w:t>
            </w:r>
            <w:r>
              <w:rPr>
                <w:rFonts w:ascii="Times New Roman" w:hAnsi="Times New Roman" w:cs="Times New Roman"/>
                <w:szCs w:val="20"/>
              </w:rPr>
              <w:t>0.997-1.06)</w:t>
            </w:r>
          </w:p>
        </w:tc>
        <w:tc>
          <w:tcPr>
            <w:tcW w:w="2436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.02 (0.98-1.06)</w:t>
            </w:r>
          </w:p>
        </w:tc>
        <w:tc>
          <w:tcPr>
            <w:tcW w:w="2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1.08 </w:t>
            </w:r>
            <w:r>
              <w:rPr>
                <w:rFonts w:ascii="Times New Roman" w:hAnsi="Times New Roman" w:cs="Times New Roman"/>
                <w:szCs w:val="20"/>
              </w:rPr>
              <w:t>(1.03-1.15)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1.05 (</w:t>
            </w:r>
            <w:r>
              <w:rPr>
                <w:rFonts w:ascii="Times New Roman" w:hAnsi="Times New Roman" w:cs="Times New Roman"/>
                <w:szCs w:val="20"/>
              </w:rPr>
              <w:t>0.99-1.12)</w:t>
            </w:r>
          </w:p>
        </w:tc>
      </w:tr>
      <w:tr w:rsidR="00B25663" w:rsidRPr="00087115" w:rsidTr="00DC2224">
        <w:trPr>
          <w:trHeight w:val="397"/>
        </w:trPr>
        <w:tc>
          <w:tcPr>
            <w:tcW w:w="3762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Male gender</w:t>
            </w:r>
          </w:p>
        </w:tc>
        <w:tc>
          <w:tcPr>
            <w:tcW w:w="2435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 xml:space="preserve">0.89 </w:t>
            </w:r>
            <w:r>
              <w:rPr>
                <w:rFonts w:ascii="Times New Roman" w:hAnsi="Times New Roman" w:cs="Times New Roman"/>
                <w:szCs w:val="20"/>
              </w:rPr>
              <w:t>(0.28-2.79)</w:t>
            </w:r>
          </w:p>
        </w:tc>
        <w:tc>
          <w:tcPr>
            <w:tcW w:w="2436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  <w:tc>
          <w:tcPr>
            <w:tcW w:w="2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0.90 (</w:t>
            </w:r>
            <w:r>
              <w:rPr>
                <w:rFonts w:ascii="Times New Roman" w:hAnsi="Times New Roman" w:cs="Times New Roman"/>
                <w:szCs w:val="20"/>
              </w:rPr>
              <w:t>0.22-5.00)</w:t>
            </w:r>
          </w:p>
        </w:tc>
        <w:tc>
          <w:tcPr>
            <w:tcW w:w="2438" w:type="dxa"/>
            <w:gridSpan w:val="2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</w:tr>
      <w:tr w:rsidR="00B25663" w:rsidRPr="00087115" w:rsidTr="00DC2224">
        <w:trPr>
          <w:trHeight w:val="397"/>
        </w:trPr>
        <w:tc>
          <w:tcPr>
            <w:tcW w:w="3762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SLE</w:t>
            </w:r>
          </w:p>
        </w:tc>
        <w:tc>
          <w:tcPr>
            <w:tcW w:w="2435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0.74 (</w:t>
            </w:r>
            <w:r>
              <w:rPr>
                <w:rFonts w:ascii="Times New Roman" w:hAnsi="Times New Roman" w:cs="Times New Roman"/>
                <w:szCs w:val="20"/>
              </w:rPr>
              <w:t>0.27-2.09)</w:t>
            </w:r>
          </w:p>
        </w:tc>
        <w:tc>
          <w:tcPr>
            <w:tcW w:w="2436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  <w:tc>
          <w:tcPr>
            <w:tcW w:w="2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0.86 (</w:t>
            </w:r>
            <w:r>
              <w:rPr>
                <w:rFonts w:ascii="Times New Roman" w:hAnsi="Times New Roman" w:cs="Times New Roman"/>
                <w:szCs w:val="20"/>
              </w:rPr>
              <w:t>0.19-3.54)</w:t>
            </w:r>
          </w:p>
        </w:tc>
        <w:tc>
          <w:tcPr>
            <w:tcW w:w="2438" w:type="dxa"/>
            <w:gridSpan w:val="2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</w:tr>
      <w:tr w:rsidR="00B25663" w:rsidRPr="00087115" w:rsidTr="00DC2224">
        <w:trPr>
          <w:trHeight w:val="397"/>
        </w:trPr>
        <w:tc>
          <w:tcPr>
            <w:tcW w:w="3762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Dermatomyositis</w:t>
            </w:r>
          </w:p>
        </w:tc>
        <w:tc>
          <w:tcPr>
            <w:tcW w:w="2435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0.41 (</w:t>
            </w:r>
            <w:r>
              <w:rPr>
                <w:rFonts w:ascii="Times New Roman" w:hAnsi="Times New Roman" w:cs="Times New Roman"/>
                <w:szCs w:val="20"/>
              </w:rPr>
              <w:t>0.05-3.14)</w:t>
            </w:r>
          </w:p>
        </w:tc>
        <w:tc>
          <w:tcPr>
            <w:tcW w:w="2436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  <w:tc>
          <w:tcPr>
            <w:tcW w:w="2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0.39 (</w:t>
            </w:r>
            <w:r>
              <w:rPr>
                <w:rFonts w:ascii="Times New Roman" w:hAnsi="Times New Roman" w:cs="Times New Roman"/>
                <w:szCs w:val="20"/>
              </w:rPr>
              <w:t>0.003-3.18)</w:t>
            </w:r>
          </w:p>
        </w:tc>
        <w:tc>
          <w:tcPr>
            <w:tcW w:w="2438" w:type="dxa"/>
            <w:gridSpan w:val="2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</w:tr>
      <w:tr w:rsidR="00B25663" w:rsidRPr="00087115" w:rsidTr="00DC2224">
        <w:trPr>
          <w:trHeight w:val="397"/>
        </w:trPr>
        <w:tc>
          <w:tcPr>
            <w:tcW w:w="3762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GPA</w:t>
            </w:r>
          </w:p>
        </w:tc>
        <w:tc>
          <w:tcPr>
            <w:tcW w:w="2435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2.37 (</w:t>
            </w:r>
            <w:r>
              <w:rPr>
                <w:rFonts w:ascii="Times New Roman" w:hAnsi="Times New Roman" w:cs="Times New Roman"/>
                <w:szCs w:val="20"/>
              </w:rPr>
              <w:t>0.54-10.51)</w:t>
            </w:r>
          </w:p>
        </w:tc>
        <w:tc>
          <w:tcPr>
            <w:tcW w:w="2436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  <w:tc>
          <w:tcPr>
            <w:tcW w:w="2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6.95 (</w:t>
            </w:r>
            <w:r>
              <w:rPr>
                <w:rFonts w:ascii="Times New Roman" w:hAnsi="Times New Roman" w:cs="Times New Roman"/>
                <w:szCs w:val="20"/>
              </w:rPr>
              <w:t>1.25-28.81)</w:t>
            </w:r>
          </w:p>
        </w:tc>
        <w:tc>
          <w:tcPr>
            <w:tcW w:w="2438" w:type="dxa"/>
            <w:gridSpan w:val="2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5.74 (</w:t>
            </w:r>
            <w:r>
              <w:rPr>
                <w:rFonts w:ascii="Times New Roman" w:hAnsi="Times New Roman" w:cs="Times New Roman"/>
                <w:szCs w:val="20"/>
              </w:rPr>
              <w:t>0.90-32.48)</w:t>
            </w:r>
          </w:p>
        </w:tc>
      </w:tr>
      <w:tr w:rsidR="00B25663" w:rsidRPr="00087115" w:rsidTr="00DC2224">
        <w:trPr>
          <w:trHeight w:val="397"/>
        </w:trPr>
        <w:tc>
          <w:tcPr>
            <w:tcW w:w="3762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MPA</w:t>
            </w:r>
          </w:p>
        </w:tc>
        <w:tc>
          <w:tcPr>
            <w:tcW w:w="2435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5.11 (</w:t>
            </w:r>
            <w:r>
              <w:rPr>
                <w:rFonts w:ascii="Times New Roman" w:hAnsi="Times New Roman" w:cs="Times New Roman"/>
                <w:szCs w:val="20"/>
              </w:rPr>
              <w:t>1.15-22.64)</w:t>
            </w:r>
          </w:p>
        </w:tc>
        <w:tc>
          <w:tcPr>
            <w:tcW w:w="2436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3</w:t>
            </w:r>
            <w:r>
              <w:rPr>
                <w:rFonts w:ascii="Times New Roman" w:hAnsi="Times New Roman" w:cs="Times New Roman"/>
                <w:szCs w:val="20"/>
              </w:rPr>
              <w:t>.52 (0.71-17.52)</w:t>
            </w:r>
          </w:p>
        </w:tc>
        <w:tc>
          <w:tcPr>
            <w:tcW w:w="2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14.91 (</w:t>
            </w:r>
            <w:r>
              <w:rPr>
                <w:rFonts w:ascii="Times New Roman" w:hAnsi="Times New Roman" w:cs="Times New Roman"/>
                <w:szCs w:val="20"/>
              </w:rPr>
              <w:t>2.68-61.85)</w:t>
            </w:r>
          </w:p>
        </w:tc>
        <w:tc>
          <w:tcPr>
            <w:tcW w:w="2438" w:type="dxa"/>
            <w:gridSpan w:val="2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8.27 (</w:t>
            </w:r>
            <w:r>
              <w:rPr>
                <w:rFonts w:ascii="Times New Roman" w:hAnsi="Times New Roman" w:cs="Times New Roman"/>
                <w:szCs w:val="20"/>
              </w:rPr>
              <w:t>0.84-93.52)</w:t>
            </w:r>
          </w:p>
        </w:tc>
      </w:tr>
      <w:tr w:rsidR="00B25663" w:rsidRPr="00087115" w:rsidTr="00DC2224">
        <w:trPr>
          <w:trHeight w:val="397"/>
        </w:trPr>
        <w:tc>
          <w:tcPr>
            <w:tcW w:w="3762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Higher initial steroid dose (</w:t>
            </w:r>
            <w:r w:rsidRPr="008F1F34">
              <w:rPr>
                <w:rFonts w:ascii="Times New Roman" w:eastAsia="맑은 고딕" w:hAnsi="Times New Roman" w:cs="Times New Roman"/>
                <w:szCs w:val="20"/>
              </w:rPr>
              <w:t>≥60mg PD)</w:t>
            </w:r>
          </w:p>
        </w:tc>
        <w:tc>
          <w:tcPr>
            <w:tcW w:w="2435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2.24 (</w:t>
            </w:r>
            <w:r>
              <w:rPr>
                <w:rFonts w:ascii="Times New Roman" w:hAnsi="Times New Roman" w:cs="Times New Roman"/>
                <w:szCs w:val="20"/>
              </w:rPr>
              <w:t>0.71-7.02)</w:t>
            </w:r>
          </w:p>
        </w:tc>
        <w:tc>
          <w:tcPr>
            <w:tcW w:w="2436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  <w:tc>
          <w:tcPr>
            <w:tcW w:w="2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1.78 (</w:t>
            </w:r>
            <w:r>
              <w:rPr>
                <w:rFonts w:ascii="Times New Roman" w:hAnsi="Times New Roman" w:cs="Times New Roman"/>
                <w:szCs w:val="20"/>
              </w:rPr>
              <w:t>0.43-9.89)</w:t>
            </w:r>
          </w:p>
        </w:tc>
        <w:tc>
          <w:tcPr>
            <w:tcW w:w="2438" w:type="dxa"/>
            <w:gridSpan w:val="2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</w:tr>
      <w:tr w:rsidR="00B25663" w:rsidRPr="00087115" w:rsidTr="00DC2224">
        <w:trPr>
          <w:trHeight w:val="397"/>
        </w:trPr>
        <w:tc>
          <w:tcPr>
            <w:tcW w:w="3762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Concomitant cyclophosphamide pulse</w:t>
            </w:r>
          </w:p>
        </w:tc>
        <w:tc>
          <w:tcPr>
            <w:tcW w:w="2435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.28 (0.41-4.03)</w:t>
            </w:r>
          </w:p>
        </w:tc>
        <w:tc>
          <w:tcPr>
            <w:tcW w:w="2436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  <w:tc>
          <w:tcPr>
            <w:tcW w:w="2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0.80 (</w:t>
            </w:r>
            <w:r>
              <w:rPr>
                <w:rFonts w:ascii="Times New Roman" w:hAnsi="Times New Roman" w:cs="Times New Roman"/>
                <w:szCs w:val="20"/>
              </w:rPr>
              <w:t>0.08-3.82)</w:t>
            </w:r>
          </w:p>
        </w:tc>
        <w:tc>
          <w:tcPr>
            <w:tcW w:w="2438" w:type="dxa"/>
            <w:gridSpan w:val="2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</w:tr>
      <w:tr w:rsidR="00B25663" w:rsidRPr="00087115" w:rsidTr="00DC2224">
        <w:trPr>
          <w:trHeight w:val="397"/>
        </w:trPr>
        <w:tc>
          <w:tcPr>
            <w:tcW w:w="3762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Concomitant oral cyclophosphamide</w:t>
            </w:r>
          </w:p>
        </w:tc>
        <w:tc>
          <w:tcPr>
            <w:tcW w:w="2435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.45 (0.33-6.42)</w:t>
            </w:r>
          </w:p>
        </w:tc>
        <w:tc>
          <w:tcPr>
            <w:tcW w:w="2436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  <w:tc>
          <w:tcPr>
            <w:tcW w:w="2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2.22 (</w:t>
            </w:r>
            <w:r>
              <w:rPr>
                <w:rFonts w:ascii="Times New Roman" w:hAnsi="Times New Roman" w:cs="Times New Roman"/>
                <w:szCs w:val="20"/>
              </w:rPr>
              <w:t>0.23-10.55)</w:t>
            </w:r>
          </w:p>
        </w:tc>
        <w:tc>
          <w:tcPr>
            <w:tcW w:w="2438" w:type="dxa"/>
            <w:gridSpan w:val="2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</w:tr>
      <w:tr w:rsidR="00B25663" w:rsidRPr="00087115" w:rsidTr="00DC2224">
        <w:trPr>
          <w:trHeight w:val="397"/>
        </w:trPr>
        <w:tc>
          <w:tcPr>
            <w:tcW w:w="3762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Concomitant steroid pulse</w:t>
            </w:r>
          </w:p>
        </w:tc>
        <w:tc>
          <w:tcPr>
            <w:tcW w:w="2435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1.27 (</w:t>
            </w:r>
            <w:r>
              <w:rPr>
                <w:rFonts w:ascii="Times New Roman" w:hAnsi="Times New Roman" w:cs="Times New Roman"/>
                <w:szCs w:val="20"/>
              </w:rPr>
              <w:t>0.45-3.56)</w:t>
            </w:r>
          </w:p>
        </w:tc>
        <w:tc>
          <w:tcPr>
            <w:tcW w:w="2436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  <w:tc>
          <w:tcPr>
            <w:tcW w:w="2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1.47 (</w:t>
            </w:r>
            <w:r>
              <w:rPr>
                <w:rFonts w:ascii="Times New Roman" w:hAnsi="Times New Roman" w:cs="Times New Roman"/>
                <w:szCs w:val="20"/>
              </w:rPr>
              <w:t>0.33-6.02)</w:t>
            </w:r>
          </w:p>
        </w:tc>
        <w:tc>
          <w:tcPr>
            <w:tcW w:w="2438" w:type="dxa"/>
            <w:gridSpan w:val="2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</w:tr>
      <w:tr w:rsidR="00B25663" w:rsidRPr="00087115" w:rsidTr="00DC2224">
        <w:trPr>
          <w:trHeight w:val="397"/>
        </w:trPr>
        <w:tc>
          <w:tcPr>
            <w:tcW w:w="3762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 xml:space="preserve">Baseline lymphopenia </w:t>
            </w:r>
            <w:r w:rsidRPr="008F1F34">
              <w:rPr>
                <w:rFonts w:ascii="Times New Roman" w:eastAsia="맑은 고딕" w:hAnsi="Times New Roman" w:cs="Times New Roman"/>
                <w:szCs w:val="20"/>
                <w:vertAlign w:val="superscript"/>
              </w:rPr>
              <w:t>†</w:t>
            </w:r>
          </w:p>
        </w:tc>
        <w:tc>
          <w:tcPr>
            <w:tcW w:w="2435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1.11 (</w:t>
            </w:r>
            <w:r>
              <w:rPr>
                <w:rFonts w:ascii="Times New Roman" w:hAnsi="Times New Roman" w:cs="Times New Roman"/>
                <w:szCs w:val="20"/>
              </w:rPr>
              <w:t>0.38-3.23)</w:t>
            </w:r>
          </w:p>
        </w:tc>
        <w:tc>
          <w:tcPr>
            <w:tcW w:w="2436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  <w:tc>
          <w:tcPr>
            <w:tcW w:w="2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1.00 (</w:t>
            </w:r>
            <w:r>
              <w:rPr>
                <w:rFonts w:ascii="Times New Roman" w:hAnsi="Times New Roman" w:cs="Times New Roman"/>
                <w:szCs w:val="20"/>
              </w:rPr>
              <w:t>0.18-4.15)</w:t>
            </w:r>
          </w:p>
        </w:tc>
        <w:tc>
          <w:tcPr>
            <w:tcW w:w="2438" w:type="dxa"/>
            <w:gridSpan w:val="2"/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</w:tr>
      <w:tr w:rsidR="00B25663" w:rsidRPr="00087115" w:rsidTr="00DC2224">
        <w:trPr>
          <w:trHeight w:val="397"/>
        </w:trPr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 xml:space="preserve">TMP-SMX prophylaxis 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0.07 (</w:t>
            </w:r>
            <w:r>
              <w:rPr>
                <w:rFonts w:ascii="Times New Roman" w:hAnsi="Times New Roman" w:cs="Times New Roman"/>
                <w:szCs w:val="20"/>
              </w:rPr>
              <w:t>0.01-0.54)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0.07 (</w:t>
            </w:r>
            <w:r>
              <w:rPr>
                <w:rFonts w:ascii="Times New Roman" w:hAnsi="Times New Roman" w:cs="Times New Roman"/>
                <w:szCs w:val="20"/>
              </w:rPr>
              <w:t>0.01-0.53)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0.07 (</w:t>
            </w:r>
            <w:r>
              <w:rPr>
                <w:rFonts w:ascii="Times New Roman" w:hAnsi="Times New Roman" w:cs="Times New Roman"/>
                <w:szCs w:val="20"/>
              </w:rPr>
              <w:t>0.0005-0.55)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:rsidR="00B25663" w:rsidRPr="008F1F34" w:rsidRDefault="00B25663" w:rsidP="00DC2224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.08 (0.0006-0.71)</w:t>
            </w:r>
          </w:p>
        </w:tc>
      </w:tr>
    </w:tbl>
    <w:p w:rsidR="00B25663" w:rsidRPr="00314DEA" w:rsidRDefault="00B25663" w:rsidP="00B25663">
      <w:pPr>
        <w:widowControl/>
        <w:wordWrap/>
        <w:autoSpaceDE/>
        <w:autoSpaceDN/>
        <w:spacing w:after="0" w:line="240" w:lineRule="auto"/>
        <w:ind w:leftChars="-56" w:left="-112" w:firstLineChars="5" w:firstLine="1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CI, confidence interval; PD, prednisone; TMP-SMX, trimethoprim-sulfamethoxazole.</w:t>
      </w:r>
    </w:p>
    <w:p w:rsidR="00B25663" w:rsidRPr="00DB4CBA" w:rsidRDefault="00B25663" w:rsidP="00B25663">
      <w:pPr>
        <w:widowControl/>
        <w:wordWrap/>
        <w:autoSpaceDE/>
        <w:autoSpaceDN/>
        <w:spacing w:after="0" w:line="240" w:lineRule="auto"/>
        <w:ind w:leftChars="-56" w:left="-112" w:firstLineChars="5" w:firstLine="1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vertAlign w:val="superscript"/>
        </w:rPr>
        <w:t>*</w:t>
      </w:r>
      <w:r w:rsidRPr="00087115">
        <w:rPr>
          <w:rFonts w:ascii="Times New Roman" w:hAnsi="Times New Roman" w:cs="Times New Roman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Cs w:val="20"/>
        </w:rPr>
        <w:t>Model included clinical factors which showed significant association (</w:t>
      </w:r>
      <w:r w:rsidRPr="00313E70">
        <w:rPr>
          <w:rFonts w:ascii="Times New Roman" w:hAnsi="Times New Roman" w:cs="Times New Roman"/>
          <w:i/>
          <w:szCs w:val="20"/>
        </w:rPr>
        <w:t>p</w:t>
      </w:r>
      <w:r>
        <w:rPr>
          <w:rFonts w:ascii="Times New Roman" w:hAnsi="Times New Roman" w:cs="Times New Roman"/>
          <w:szCs w:val="20"/>
        </w:rPr>
        <w:t>&lt;0.1) in the univariable analysis and was adjusted for clustering.</w:t>
      </w:r>
    </w:p>
    <w:p w:rsidR="00B25663" w:rsidRDefault="00B25663" w:rsidP="00B25663">
      <w:pPr>
        <w:widowControl/>
        <w:wordWrap/>
        <w:autoSpaceDE/>
        <w:autoSpaceDN/>
        <w:spacing w:after="0" w:line="240" w:lineRule="auto"/>
        <w:ind w:leftChars="-56" w:left="-112" w:firstLineChars="5" w:firstLine="10"/>
        <w:rPr>
          <w:rFonts w:ascii="Times New Roman" w:eastAsia="맑은 고딕" w:hAnsi="Times New Roman" w:cs="Times New Roman"/>
        </w:rPr>
      </w:pPr>
      <w:r w:rsidRPr="001F437C">
        <w:rPr>
          <w:rFonts w:ascii="Times New Roman" w:eastAsia="맑은 고딕" w:hAnsi="Times New Roman" w:cs="Times New Roman"/>
          <w:vertAlign w:val="superscript"/>
        </w:rPr>
        <w:t>†</w:t>
      </w:r>
      <w:r w:rsidRPr="00DB4CBA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Defined as </w:t>
      </w:r>
      <w:r>
        <w:rPr>
          <w:rFonts w:ascii="Times New Roman" w:eastAsia="맑은 고딕" w:hAnsi="Times New Roman" w:cs="Times New Roman"/>
        </w:rPr>
        <w:t>less than 800 lymphocytes per microliter</w:t>
      </w:r>
    </w:p>
    <w:p w:rsidR="00B25663" w:rsidRDefault="00B25663" w:rsidP="00B25663">
      <w:pPr>
        <w:widowControl/>
        <w:wordWrap/>
        <w:autoSpaceDE/>
        <w:autoSpaceDN/>
        <w:spacing w:after="0" w:line="240" w:lineRule="auto"/>
        <w:ind w:leftChars="-56" w:left="-112" w:firstLineChars="5" w:firstLine="10"/>
        <w:rPr>
          <w:rFonts w:ascii="Times New Roman" w:eastAsia="맑은 고딕" w:hAnsi="Times New Roman" w:cs="Times New Roman"/>
        </w:rPr>
      </w:pPr>
      <w:r w:rsidRPr="008B37F0">
        <w:rPr>
          <w:rFonts w:ascii="Times New Roman" w:eastAsia="맑은 고딕" w:hAnsi="Times New Roman" w:cs="Times New Roman"/>
          <w:vertAlign w:val="superscript"/>
        </w:rPr>
        <w:t>‡</w:t>
      </w:r>
      <w:r>
        <w:rPr>
          <w:rFonts w:ascii="Times New Roman" w:eastAsia="맑은 고딕" w:hAnsi="Times New Roman" w:cs="Times New Roman"/>
        </w:rPr>
        <w:t xml:space="preserve"> Not included in the multivariable model due to lack of significant association in the univariable analysis</w:t>
      </w:r>
    </w:p>
    <w:p w:rsidR="00B25663" w:rsidRDefault="00B25663" w:rsidP="00B25663">
      <w:pPr>
        <w:widowControl/>
        <w:wordWrap/>
        <w:autoSpaceDE/>
        <w:autoSpaceDN/>
        <w:spacing w:after="0" w:line="240" w:lineRule="auto"/>
        <w:ind w:leftChars="-56" w:left="-112" w:firstLineChars="5" w:firstLine="10"/>
        <w:rPr>
          <w:rFonts w:ascii="Times New Roman" w:eastAsia="맑은 고딕" w:hAnsi="Times New Roman" w:cs="Times New Roman"/>
        </w:rPr>
      </w:pPr>
    </w:p>
    <w:p w:rsidR="00B25663" w:rsidRDefault="00B25663" w:rsidP="00B25663">
      <w:pPr>
        <w:widowControl/>
        <w:wordWrap/>
        <w:autoSpaceDE/>
        <w:autoSpaceDN/>
        <w:spacing w:after="0" w:line="240" w:lineRule="auto"/>
        <w:ind w:leftChars="-56" w:left="-112" w:firstLineChars="5" w:firstLine="10"/>
        <w:rPr>
          <w:rFonts w:ascii="Times New Roman" w:eastAsia="맑은 고딕" w:hAnsi="Times New Roman" w:cs="Times New Roman"/>
        </w:rPr>
      </w:pPr>
    </w:p>
    <w:p w:rsidR="00B25663" w:rsidRDefault="00B25663" w:rsidP="00B25663">
      <w:pPr>
        <w:widowControl/>
        <w:wordWrap/>
        <w:autoSpaceDE/>
        <w:autoSpaceDN/>
        <w:spacing w:after="0" w:line="240" w:lineRule="auto"/>
        <w:ind w:leftChars="-56" w:left="-112" w:firstLineChars="5" w:firstLine="10"/>
        <w:rPr>
          <w:rFonts w:ascii="Times New Roman" w:eastAsia="맑은 고딕" w:hAnsi="Times New Roman" w:cs="Times New Roman"/>
        </w:rPr>
      </w:pPr>
    </w:p>
    <w:p w:rsidR="00B25663" w:rsidRDefault="00B25663" w:rsidP="00B25663">
      <w:pPr>
        <w:widowControl/>
        <w:wordWrap/>
        <w:autoSpaceDE/>
        <w:autoSpaceDN/>
        <w:spacing w:after="0" w:line="240" w:lineRule="auto"/>
        <w:ind w:leftChars="-56" w:left="-112" w:firstLineChars="5" w:firstLine="10"/>
        <w:rPr>
          <w:rFonts w:ascii="Times New Roman" w:eastAsia="맑은 고딕" w:hAnsi="Times New Roman" w:cs="Times New Roman"/>
        </w:rPr>
      </w:pPr>
    </w:p>
    <w:p w:rsidR="00B25663" w:rsidRPr="008B37F0" w:rsidRDefault="00B25663" w:rsidP="00B25663">
      <w:pPr>
        <w:widowControl/>
        <w:wordWrap/>
        <w:autoSpaceDE/>
        <w:autoSpaceDN/>
        <w:spacing w:after="0" w:line="240" w:lineRule="auto"/>
        <w:ind w:leftChars="-56" w:left="-112" w:firstLineChars="5" w:firstLine="10"/>
        <w:rPr>
          <w:rFonts w:ascii="Times New Roman" w:hAnsi="Times New Roman" w:cs="Times New Roman"/>
          <w:szCs w:val="20"/>
        </w:rPr>
      </w:pPr>
    </w:p>
    <w:p w:rsidR="00BC076D" w:rsidRPr="00017D55" w:rsidRDefault="0009258C" w:rsidP="00BC076D">
      <w:pPr>
        <w:widowControl/>
        <w:wordWrap/>
        <w:autoSpaceDE/>
        <w:autoSpaceDN/>
        <w:spacing w:line="240" w:lineRule="auto"/>
        <w:ind w:leftChars="-48" w:left="-96" w:firstLineChars="49" w:firstLine="98"/>
        <w:rPr>
          <w:rFonts w:ascii="Times New Roman" w:hAnsi="Times New Roman" w:cs="Times New Roman"/>
          <w:sz w:val="22"/>
        </w:rPr>
      </w:pPr>
      <w:r w:rsidRPr="00EF52E9">
        <w:rPr>
          <w:rFonts w:ascii="Times New Roman" w:hAnsi="Times New Roman" w:cs="Times New Roman"/>
          <w:b/>
        </w:rPr>
        <w:t xml:space="preserve">Supplementary </w:t>
      </w:r>
      <w:r w:rsidR="001B7FBB">
        <w:rPr>
          <w:rFonts w:ascii="Times New Roman" w:hAnsi="Times New Roman" w:cs="Times New Roman"/>
          <w:b/>
        </w:rPr>
        <w:t>table</w:t>
      </w:r>
      <w:r w:rsidRPr="00EF52E9">
        <w:rPr>
          <w:rFonts w:ascii="Times New Roman" w:hAnsi="Times New Roman" w:cs="Times New Roman"/>
          <w:b/>
        </w:rPr>
        <w:t xml:space="preserve"> </w:t>
      </w:r>
      <w:r w:rsidR="001B7FBB">
        <w:rPr>
          <w:rFonts w:ascii="Times New Roman" w:hAnsi="Times New Roman" w:cs="Times New Roman"/>
          <w:b/>
        </w:rPr>
        <w:t>S</w:t>
      </w:r>
      <w:r w:rsidR="00B25663">
        <w:rPr>
          <w:rFonts w:ascii="Times New Roman" w:hAnsi="Times New Roman" w:cs="Times New Roman"/>
          <w:b/>
        </w:rPr>
        <w:t>4</w:t>
      </w:r>
      <w:r w:rsidR="00BC076D" w:rsidRPr="00EF52E9">
        <w:rPr>
          <w:rFonts w:ascii="Times New Roman" w:hAnsi="Times New Roman" w:cs="Times New Roman"/>
          <w:b/>
        </w:rPr>
        <w:t>.</w:t>
      </w:r>
      <w:r w:rsidR="00BC076D" w:rsidRPr="008F1F34">
        <w:rPr>
          <w:rFonts w:ascii="Times New Roman" w:hAnsi="Times New Roman" w:cs="Times New Roman"/>
        </w:rPr>
        <w:t xml:space="preserve"> </w:t>
      </w:r>
      <w:r w:rsidR="00BC076D">
        <w:rPr>
          <w:rFonts w:ascii="Times New Roman" w:hAnsi="Times New Roman" w:cs="Times New Roman"/>
        </w:rPr>
        <w:t>Clinical factors which influence</w:t>
      </w:r>
      <w:r w:rsidR="00BC076D" w:rsidRPr="008F1F34">
        <w:rPr>
          <w:rFonts w:ascii="Times New Roman" w:hAnsi="Times New Roman" w:cs="Times New Roman"/>
        </w:rPr>
        <w:t xml:space="preserve"> on 1-year PCP incidence and its related mortality</w:t>
      </w:r>
      <w:r w:rsidR="00BC076D">
        <w:rPr>
          <w:rFonts w:ascii="Times New Roman" w:hAnsi="Times New Roman" w:cs="Times New Roman"/>
        </w:rPr>
        <w:t xml:space="preserve"> in the whole population</w:t>
      </w:r>
    </w:p>
    <w:tbl>
      <w:tblPr>
        <w:tblStyle w:val="a3"/>
        <w:tblW w:w="13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2"/>
        <w:gridCol w:w="2435"/>
        <w:gridCol w:w="2436"/>
        <w:gridCol w:w="238"/>
        <w:gridCol w:w="2438"/>
        <w:gridCol w:w="2432"/>
        <w:gridCol w:w="6"/>
      </w:tblGrid>
      <w:tr w:rsidR="00BC076D" w:rsidRPr="00087115" w:rsidTr="00EA0997">
        <w:trPr>
          <w:gridAfter w:val="1"/>
          <w:wAfter w:w="6" w:type="dxa"/>
          <w:trHeight w:val="567"/>
        </w:trPr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1-year PCP in</w:t>
            </w:r>
            <w:r>
              <w:rPr>
                <w:rFonts w:ascii="Times New Roman" w:hAnsi="Times New Roman" w:cs="Times New Roman"/>
                <w:szCs w:val="20"/>
              </w:rPr>
              <w:t>cidence</w:t>
            </w:r>
          </w:p>
        </w:tc>
        <w:tc>
          <w:tcPr>
            <w:tcW w:w="238" w:type="dxa"/>
            <w:tcBorders>
              <w:top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1-year </w:t>
            </w:r>
            <w:r>
              <w:rPr>
                <w:rFonts w:ascii="Times New Roman" w:hAnsi="Times New Roman" w:cs="Times New Roman" w:hint="eastAsia"/>
                <w:szCs w:val="20"/>
              </w:rPr>
              <w:t>PCP-relate</w:t>
            </w:r>
            <w:r>
              <w:rPr>
                <w:rFonts w:ascii="Times New Roman" w:hAnsi="Times New Roman" w:cs="Times New Roman"/>
                <w:szCs w:val="20"/>
              </w:rPr>
              <w:t>d mortality</w:t>
            </w:r>
          </w:p>
        </w:tc>
      </w:tr>
      <w:tr w:rsidR="00BC076D" w:rsidRPr="00087115" w:rsidTr="00EA0997">
        <w:trPr>
          <w:gridAfter w:val="1"/>
          <w:wAfter w:w="6" w:type="dxa"/>
          <w:trHeight w:val="567"/>
        </w:trPr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76D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Hazard</w:t>
            </w:r>
            <w:r>
              <w:rPr>
                <w:rFonts w:ascii="Times New Roman" w:hAnsi="Times New Roman" w:cs="Times New Roman"/>
                <w:szCs w:val="20"/>
              </w:rPr>
              <w:t xml:space="preserve"> ratio </w:t>
            </w:r>
          </w:p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(95% CI)</w:t>
            </w:r>
          </w:p>
        </w:tc>
        <w:tc>
          <w:tcPr>
            <w:tcW w:w="2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76D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Hazard ra</w:t>
            </w:r>
            <w:r>
              <w:rPr>
                <w:rFonts w:ascii="Times New Roman" w:hAnsi="Times New Roman" w:cs="Times New Roman"/>
                <w:szCs w:val="20"/>
              </w:rPr>
              <w:t xml:space="preserve">tio </w:t>
            </w:r>
          </w:p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(95% profile likelihood CI)</w:t>
            </w:r>
          </w:p>
        </w:tc>
      </w:tr>
      <w:tr w:rsidR="00BC076D" w:rsidRPr="00087115" w:rsidTr="00EA0997">
        <w:trPr>
          <w:trHeight w:val="567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Clinical factors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Univariab</w:t>
            </w:r>
            <w:r>
              <w:rPr>
                <w:rFonts w:ascii="Times New Roman" w:hAnsi="Times New Roman" w:cs="Times New Roman"/>
                <w:szCs w:val="20"/>
              </w:rPr>
              <w:t>le analysis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Multivariable analysis</w:t>
            </w:r>
            <w:r w:rsidRPr="008F1F34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  <w:tc>
          <w:tcPr>
            <w:tcW w:w="2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Univariab</w:t>
            </w:r>
            <w:r>
              <w:rPr>
                <w:rFonts w:ascii="Times New Roman" w:hAnsi="Times New Roman" w:cs="Times New Roman"/>
                <w:szCs w:val="20"/>
              </w:rPr>
              <w:t>le analysis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Multivariable analysis</w:t>
            </w:r>
            <w:r w:rsidRPr="008F1F34">
              <w:rPr>
                <w:rFonts w:ascii="Times New Roman" w:hAnsi="Times New Roman" w:cs="Times New Roman"/>
                <w:szCs w:val="20"/>
                <w:vertAlign w:val="superscript"/>
              </w:rPr>
              <w:t>*</w:t>
            </w:r>
          </w:p>
        </w:tc>
      </w:tr>
      <w:tr w:rsidR="00BC076D" w:rsidRPr="00087115" w:rsidTr="00EA0997">
        <w:trPr>
          <w:trHeight w:val="397"/>
        </w:trPr>
        <w:tc>
          <w:tcPr>
            <w:tcW w:w="3762" w:type="dxa"/>
            <w:tcBorders>
              <w:top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Age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1.02 (0.998-1.04)</w:t>
            </w:r>
          </w:p>
        </w:tc>
        <w:tc>
          <w:tcPr>
            <w:tcW w:w="2436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1.02 (1.00-1.05)</w:t>
            </w:r>
          </w:p>
        </w:tc>
        <w:tc>
          <w:tcPr>
            <w:tcW w:w="2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1.08 (</w:t>
            </w:r>
            <w:r>
              <w:rPr>
                <w:rFonts w:ascii="Times New Roman" w:hAnsi="Times New Roman" w:cs="Times New Roman"/>
                <w:szCs w:val="20"/>
              </w:rPr>
              <w:t>1.03-1.12)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.06 (1.01-1.11)</w:t>
            </w:r>
          </w:p>
        </w:tc>
      </w:tr>
      <w:tr w:rsidR="00BC076D" w:rsidRPr="00087115" w:rsidTr="00EA0997">
        <w:trPr>
          <w:trHeight w:val="397"/>
        </w:trPr>
        <w:tc>
          <w:tcPr>
            <w:tcW w:w="3762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Male gender</w:t>
            </w:r>
          </w:p>
        </w:tc>
        <w:tc>
          <w:tcPr>
            <w:tcW w:w="2435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0.98 (0.45-2.15)</w:t>
            </w:r>
          </w:p>
        </w:tc>
        <w:tc>
          <w:tcPr>
            <w:tcW w:w="2436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  <w:tc>
          <w:tcPr>
            <w:tcW w:w="2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0.72 (</w:t>
            </w:r>
            <w:r>
              <w:rPr>
                <w:rFonts w:ascii="Times New Roman" w:hAnsi="Times New Roman" w:cs="Times New Roman"/>
                <w:szCs w:val="20"/>
              </w:rPr>
              <w:t>0.23-2.56)</w:t>
            </w:r>
          </w:p>
        </w:tc>
        <w:tc>
          <w:tcPr>
            <w:tcW w:w="2438" w:type="dxa"/>
            <w:gridSpan w:val="2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</w:tr>
      <w:tr w:rsidR="00BC076D" w:rsidRPr="00087115" w:rsidTr="00EA0997">
        <w:trPr>
          <w:trHeight w:val="397"/>
        </w:trPr>
        <w:tc>
          <w:tcPr>
            <w:tcW w:w="3762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SLE</w:t>
            </w:r>
          </w:p>
        </w:tc>
        <w:tc>
          <w:tcPr>
            <w:tcW w:w="2435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1.00 (0.49-2.05)</w:t>
            </w:r>
          </w:p>
        </w:tc>
        <w:tc>
          <w:tcPr>
            <w:tcW w:w="2436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  <w:tc>
          <w:tcPr>
            <w:tcW w:w="2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0.84 (</w:t>
            </w:r>
            <w:r>
              <w:rPr>
                <w:rFonts w:ascii="Times New Roman" w:hAnsi="Times New Roman" w:cs="Times New Roman"/>
                <w:szCs w:val="20"/>
              </w:rPr>
              <w:t>0.26-2.66)</w:t>
            </w:r>
          </w:p>
        </w:tc>
        <w:tc>
          <w:tcPr>
            <w:tcW w:w="2438" w:type="dxa"/>
            <w:gridSpan w:val="2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</w:tr>
      <w:tr w:rsidR="00BC076D" w:rsidRPr="00087115" w:rsidTr="00EA0997">
        <w:trPr>
          <w:trHeight w:val="397"/>
        </w:trPr>
        <w:tc>
          <w:tcPr>
            <w:tcW w:w="3762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Dermatomyositis</w:t>
            </w:r>
          </w:p>
        </w:tc>
        <w:tc>
          <w:tcPr>
            <w:tcW w:w="2435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1.12 (0.34-3.68)</w:t>
            </w:r>
          </w:p>
        </w:tc>
        <w:tc>
          <w:tcPr>
            <w:tcW w:w="2436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  <w:tc>
          <w:tcPr>
            <w:tcW w:w="2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.43 (0.15-6.10)</w:t>
            </w:r>
          </w:p>
        </w:tc>
        <w:tc>
          <w:tcPr>
            <w:tcW w:w="2438" w:type="dxa"/>
            <w:gridSpan w:val="2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</w:tr>
      <w:tr w:rsidR="00BC076D" w:rsidRPr="00087115" w:rsidTr="00EA0997">
        <w:trPr>
          <w:trHeight w:val="397"/>
        </w:trPr>
        <w:tc>
          <w:tcPr>
            <w:tcW w:w="3762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GPA</w:t>
            </w:r>
          </w:p>
        </w:tc>
        <w:tc>
          <w:tcPr>
            <w:tcW w:w="2435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1.91 (0.45-8.01)</w:t>
            </w:r>
          </w:p>
        </w:tc>
        <w:tc>
          <w:tcPr>
            <w:tcW w:w="2436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  <w:tc>
          <w:tcPr>
            <w:tcW w:w="2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7.00 (</w:t>
            </w:r>
            <w:r>
              <w:rPr>
                <w:rFonts w:ascii="Times New Roman" w:hAnsi="Times New Roman" w:cs="Times New Roman"/>
                <w:szCs w:val="20"/>
              </w:rPr>
              <w:t>1.34-24.70)</w:t>
            </w:r>
          </w:p>
        </w:tc>
        <w:tc>
          <w:tcPr>
            <w:tcW w:w="2438" w:type="dxa"/>
            <w:gridSpan w:val="2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4.79 (</w:t>
            </w:r>
            <w:r>
              <w:rPr>
                <w:rFonts w:ascii="Times New Roman" w:hAnsi="Times New Roman" w:cs="Times New Roman"/>
                <w:szCs w:val="20"/>
              </w:rPr>
              <w:t>0.86-19.34)</w:t>
            </w:r>
          </w:p>
        </w:tc>
      </w:tr>
      <w:tr w:rsidR="00BC076D" w:rsidRPr="00087115" w:rsidTr="00EA0997">
        <w:trPr>
          <w:trHeight w:val="397"/>
        </w:trPr>
        <w:tc>
          <w:tcPr>
            <w:tcW w:w="3762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MPA</w:t>
            </w:r>
          </w:p>
        </w:tc>
        <w:tc>
          <w:tcPr>
            <w:tcW w:w="2435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9.42 (2.86-31.06)</w:t>
            </w:r>
          </w:p>
        </w:tc>
        <w:tc>
          <w:tcPr>
            <w:tcW w:w="2436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14.70 (3.21-67.30)</w:t>
            </w:r>
          </w:p>
        </w:tc>
        <w:tc>
          <w:tcPr>
            <w:tcW w:w="2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21.99 (</w:t>
            </w:r>
            <w:r>
              <w:rPr>
                <w:rFonts w:ascii="Times New Roman" w:hAnsi="Times New Roman" w:cs="Times New Roman"/>
                <w:szCs w:val="20"/>
              </w:rPr>
              <w:t>4.20-77.55)</w:t>
            </w:r>
          </w:p>
        </w:tc>
        <w:tc>
          <w:tcPr>
            <w:tcW w:w="2438" w:type="dxa"/>
            <w:gridSpan w:val="2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7.58 (</w:t>
            </w:r>
            <w:r>
              <w:rPr>
                <w:rFonts w:ascii="Times New Roman" w:hAnsi="Times New Roman" w:cs="Times New Roman"/>
                <w:szCs w:val="20"/>
              </w:rPr>
              <w:t>0.92-59.40)</w:t>
            </w:r>
          </w:p>
        </w:tc>
      </w:tr>
      <w:tr w:rsidR="00BC076D" w:rsidRPr="00087115" w:rsidTr="00EA0997">
        <w:trPr>
          <w:trHeight w:val="397"/>
        </w:trPr>
        <w:tc>
          <w:tcPr>
            <w:tcW w:w="3762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Higher initial steroid dose (</w:t>
            </w:r>
            <w:r w:rsidRPr="008F1F34">
              <w:rPr>
                <w:rFonts w:ascii="Times New Roman" w:eastAsia="맑은 고딕" w:hAnsi="Times New Roman" w:cs="Times New Roman"/>
                <w:szCs w:val="20"/>
              </w:rPr>
              <w:t>≥60mg PD)</w:t>
            </w:r>
          </w:p>
        </w:tc>
        <w:tc>
          <w:tcPr>
            <w:tcW w:w="2435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2.35 (1.05-5.27)</w:t>
            </w:r>
          </w:p>
        </w:tc>
        <w:tc>
          <w:tcPr>
            <w:tcW w:w="2436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2.37 (1.03-5.48)</w:t>
            </w:r>
          </w:p>
        </w:tc>
        <w:tc>
          <w:tcPr>
            <w:tcW w:w="2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2.06 (</w:t>
            </w:r>
            <w:r>
              <w:rPr>
                <w:rFonts w:ascii="Times New Roman" w:hAnsi="Times New Roman" w:cs="Times New Roman"/>
                <w:szCs w:val="20"/>
              </w:rPr>
              <w:t>0.64-8.36)</w:t>
            </w:r>
          </w:p>
        </w:tc>
        <w:tc>
          <w:tcPr>
            <w:tcW w:w="2438" w:type="dxa"/>
            <w:gridSpan w:val="2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</w:tr>
      <w:tr w:rsidR="00BC076D" w:rsidRPr="00087115" w:rsidTr="00EA0997">
        <w:trPr>
          <w:trHeight w:val="397"/>
        </w:trPr>
        <w:tc>
          <w:tcPr>
            <w:tcW w:w="3762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Concomitant cyclophosphamide pulse</w:t>
            </w:r>
          </w:p>
        </w:tc>
        <w:tc>
          <w:tcPr>
            <w:tcW w:w="2435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2.55 (1.09-5.94)</w:t>
            </w:r>
          </w:p>
        </w:tc>
        <w:tc>
          <w:tcPr>
            <w:tcW w:w="2436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2.82 (1.04-7.67)</w:t>
            </w:r>
          </w:p>
        </w:tc>
        <w:tc>
          <w:tcPr>
            <w:tcW w:w="2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2.17 (</w:t>
            </w:r>
            <w:r>
              <w:rPr>
                <w:rFonts w:ascii="Times New Roman" w:hAnsi="Times New Roman" w:cs="Times New Roman"/>
                <w:szCs w:val="20"/>
              </w:rPr>
              <w:t>0.42-7.65)</w:t>
            </w:r>
          </w:p>
        </w:tc>
        <w:tc>
          <w:tcPr>
            <w:tcW w:w="2438" w:type="dxa"/>
            <w:gridSpan w:val="2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</w:tr>
      <w:tr w:rsidR="00BC076D" w:rsidRPr="00087115" w:rsidTr="00EA0997">
        <w:trPr>
          <w:trHeight w:val="397"/>
        </w:trPr>
        <w:tc>
          <w:tcPr>
            <w:tcW w:w="3762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Concomitant oral cyclophosphamide</w:t>
            </w:r>
          </w:p>
        </w:tc>
        <w:tc>
          <w:tcPr>
            <w:tcW w:w="2435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1.26 (0.30-5.27)</w:t>
            </w:r>
          </w:p>
        </w:tc>
        <w:tc>
          <w:tcPr>
            <w:tcW w:w="2436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  <w:tc>
          <w:tcPr>
            <w:tcW w:w="2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2.52 (</w:t>
            </w:r>
            <w:r>
              <w:rPr>
                <w:rFonts w:ascii="Times New Roman" w:hAnsi="Times New Roman" w:cs="Times New Roman"/>
                <w:szCs w:val="20"/>
              </w:rPr>
              <w:t>0.27-10.70)</w:t>
            </w:r>
          </w:p>
        </w:tc>
        <w:tc>
          <w:tcPr>
            <w:tcW w:w="2438" w:type="dxa"/>
            <w:gridSpan w:val="2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</w:tr>
      <w:tr w:rsidR="00BC076D" w:rsidRPr="00087115" w:rsidTr="00EA0997">
        <w:trPr>
          <w:trHeight w:val="397"/>
        </w:trPr>
        <w:tc>
          <w:tcPr>
            <w:tcW w:w="3762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Concomitant steroid pulse</w:t>
            </w:r>
          </w:p>
        </w:tc>
        <w:tc>
          <w:tcPr>
            <w:tcW w:w="2435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1.68 (0.79-3.97)</w:t>
            </w:r>
          </w:p>
        </w:tc>
        <w:tc>
          <w:tcPr>
            <w:tcW w:w="2436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  <w:tc>
          <w:tcPr>
            <w:tcW w:w="2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2.90 (</w:t>
            </w:r>
            <w:r>
              <w:rPr>
                <w:rFonts w:ascii="Times New Roman" w:hAnsi="Times New Roman" w:cs="Times New Roman"/>
                <w:szCs w:val="20"/>
              </w:rPr>
              <w:t>0.82-9.13)</w:t>
            </w:r>
          </w:p>
        </w:tc>
        <w:tc>
          <w:tcPr>
            <w:tcW w:w="2438" w:type="dxa"/>
            <w:gridSpan w:val="2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.89 (0.67-10.35)</w:t>
            </w:r>
          </w:p>
        </w:tc>
      </w:tr>
      <w:tr w:rsidR="00BC076D" w:rsidRPr="00087115" w:rsidTr="00EA0997">
        <w:trPr>
          <w:trHeight w:val="397"/>
        </w:trPr>
        <w:tc>
          <w:tcPr>
            <w:tcW w:w="3762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 xml:space="preserve">Baseline lymphopenia </w:t>
            </w:r>
            <w:r w:rsidRPr="008F1F34">
              <w:rPr>
                <w:rFonts w:ascii="Times New Roman" w:eastAsia="맑은 고딕" w:hAnsi="Times New Roman" w:cs="Times New Roman"/>
                <w:szCs w:val="20"/>
                <w:vertAlign w:val="superscript"/>
              </w:rPr>
              <w:t>†</w:t>
            </w:r>
          </w:p>
        </w:tc>
        <w:tc>
          <w:tcPr>
            <w:tcW w:w="2435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2.44 (1.18-5.02)</w:t>
            </w:r>
          </w:p>
        </w:tc>
        <w:tc>
          <w:tcPr>
            <w:tcW w:w="2436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2.58 (1.22-5.46)</w:t>
            </w:r>
          </w:p>
        </w:tc>
        <w:tc>
          <w:tcPr>
            <w:tcW w:w="2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.66 (0.81-8.40)</w:t>
            </w:r>
          </w:p>
        </w:tc>
        <w:tc>
          <w:tcPr>
            <w:tcW w:w="2438" w:type="dxa"/>
            <w:gridSpan w:val="2"/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B37F0">
              <w:rPr>
                <w:rFonts w:ascii="Times New Roman" w:eastAsia="맑은 고딕" w:hAnsi="Times New Roman" w:cs="Times New Roman"/>
                <w:vertAlign w:val="superscript"/>
              </w:rPr>
              <w:t>‡</w:t>
            </w:r>
          </w:p>
        </w:tc>
      </w:tr>
      <w:tr w:rsidR="00BC076D" w:rsidRPr="00087115" w:rsidTr="00EA0997">
        <w:trPr>
          <w:trHeight w:val="397"/>
        </w:trPr>
        <w:tc>
          <w:tcPr>
            <w:tcW w:w="3762" w:type="dxa"/>
            <w:tcBorders>
              <w:bottom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 xml:space="preserve">TMP-SMX prophylaxis 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0.17 (0.02-1.22)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 w:rsidRPr="008F1F34">
              <w:rPr>
                <w:rFonts w:ascii="Times New Roman" w:hAnsi="Times New Roman" w:cs="Times New Roman"/>
                <w:szCs w:val="20"/>
              </w:rPr>
              <w:t>0.06 (0.004-0.66)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0.21 (</w:t>
            </w:r>
            <w:r>
              <w:rPr>
                <w:rFonts w:ascii="Times New Roman" w:hAnsi="Times New Roman" w:cs="Times New Roman"/>
                <w:szCs w:val="20"/>
              </w:rPr>
              <w:t>0.002-1.61)</w:t>
            </w: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vAlign w:val="center"/>
          </w:tcPr>
          <w:p w:rsidR="00BC076D" w:rsidRPr="008F1F34" w:rsidRDefault="00BC076D" w:rsidP="00EA0997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.09 (0.0007-0.76)</w:t>
            </w:r>
          </w:p>
        </w:tc>
      </w:tr>
    </w:tbl>
    <w:p w:rsidR="00BC076D" w:rsidRPr="00314DEA" w:rsidRDefault="00BC076D" w:rsidP="00BC076D">
      <w:pPr>
        <w:widowControl/>
        <w:wordWrap/>
        <w:autoSpaceDE/>
        <w:autoSpaceDN/>
        <w:spacing w:after="0" w:line="240" w:lineRule="auto"/>
        <w:ind w:leftChars="-56" w:left="-112" w:firstLineChars="5" w:firstLine="1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CI, confidence interval; PD, prednisone; TMP-SMX, trimethoprim-sulfamethoxazole.</w:t>
      </w:r>
    </w:p>
    <w:p w:rsidR="00BC076D" w:rsidRPr="00DB4CBA" w:rsidRDefault="00BC076D" w:rsidP="00BC076D">
      <w:pPr>
        <w:widowControl/>
        <w:wordWrap/>
        <w:autoSpaceDE/>
        <w:autoSpaceDN/>
        <w:spacing w:after="0" w:line="240" w:lineRule="auto"/>
        <w:ind w:leftChars="-56" w:left="-112" w:firstLineChars="5" w:firstLine="1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vertAlign w:val="superscript"/>
        </w:rPr>
        <w:t>*</w:t>
      </w:r>
      <w:r w:rsidRPr="00087115">
        <w:rPr>
          <w:rFonts w:ascii="Times New Roman" w:hAnsi="Times New Roman" w:cs="Times New Roman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Cs w:val="20"/>
        </w:rPr>
        <w:t>Model included clinical factors which showed significant association (</w:t>
      </w:r>
      <w:r w:rsidRPr="00313E70">
        <w:rPr>
          <w:rFonts w:ascii="Times New Roman" w:hAnsi="Times New Roman" w:cs="Times New Roman"/>
          <w:i/>
          <w:szCs w:val="20"/>
        </w:rPr>
        <w:t>p</w:t>
      </w:r>
      <w:r>
        <w:rPr>
          <w:rFonts w:ascii="Times New Roman" w:hAnsi="Times New Roman" w:cs="Times New Roman"/>
          <w:szCs w:val="20"/>
        </w:rPr>
        <w:t>&lt;0.1) in the univariable analysis and was adjusted for clustering.</w:t>
      </w:r>
    </w:p>
    <w:p w:rsidR="00BC076D" w:rsidRDefault="00BC076D" w:rsidP="00BC076D">
      <w:pPr>
        <w:widowControl/>
        <w:wordWrap/>
        <w:autoSpaceDE/>
        <w:autoSpaceDN/>
        <w:spacing w:after="0" w:line="240" w:lineRule="auto"/>
        <w:ind w:leftChars="-56" w:left="-112" w:firstLineChars="5" w:firstLine="10"/>
        <w:rPr>
          <w:rFonts w:ascii="Times New Roman" w:eastAsia="맑은 고딕" w:hAnsi="Times New Roman" w:cs="Times New Roman"/>
        </w:rPr>
      </w:pPr>
      <w:r w:rsidRPr="001F437C">
        <w:rPr>
          <w:rFonts w:ascii="Times New Roman" w:eastAsia="맑은 고딕" w:hAnsi="Times New Roman" w:cs="Times New Roman"/>
          <w:vertAlign w:val="superscript"/>
        </w:rPr>
        <w:t>†</w:t>
      </w:r>
      <w:r w:rsidRPr="00DB4CBA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Defined as </w:t>
      </w:r>
      <w:r>
        <w:rPr>
          <w:rFonts w:ascii="Times New Roman" w:eastAsia="맑은 고딕" w:hAnsi="Times New Roman" w:cs="Times New Roman"/>
        </w:rPr>
        <w:t>less than 800 lymphocytes per microliter</w:t>
      </w:r>
    </w:p>
    <w:p w:rsidR="00BC076D" w:rsidRPr="008B37F0" w:rsidRDefault="00BC076D" w:rsidP="00BC076D">
      <w:pPr>
        <w:widowControl/>
        <w:wordWrap/>
        <w:autoSpaceDE/>
        <w:autoSpaceDN/>
        <w:spacing w:after="0" w:line="240" w:lineRule="auto"/>
        <w:ind w:leftChars="-56" w:left="-112" w:firstLineChars="5" w:firstLine="10"/>
        <w:rPr>
          <w:rFonts w:ascii="Times New Roman" w:hAnsi="Times New Roman" w:cs="Times New Roman"/>
          <w:szCs w:val="20"/>
        </w:rPr>
      </w:pPr>
      <w:r w:rsidRPr="008B37F0">
        <w:rPr>
          <w:rFonts w:ascii="Times New Roman" w:eastAsia="맑은 고딕" w:hAnsi="Times New Roman" w:cs="Times New Roman"/>
          <w:vertAlign w:val="superscript"/>
        </w:rPr>
        <w:t>‡</w:t>
      </w:r>
      <w:r>
        <w:rPr>
          <w:rFonts w:ascii="Times New Roman" w:eastAsia="맑은 고딕" w:hAnsi="Times New Roman" w:cs="Times New Roman"/>
        </w:rPr>
        <w:t xml:space="preserve"> Not included in the multivariable model due to lack of significant association in the univariable analysis</w:t>
      </w:r>
    </w:p>
    <w:p w:rsidR="002120D8" w:rsidRPr="00BC076D" w:rsidRDefault="002120D8">
      <w:pPr>
        <w:rPr>
          <w:rFonts w:ascii="Times New Roman" w:hAnsi="Times New Roman" w:cs="Times New Roman"/>
        </w:rPr>
      </w:pPr>
    </w:p>
    <w:p w:rsidR="00BC076D" w:rsidRDefault="00BC076D">
      <w:pPr>
        <w:rPr>
          <w:rFonts w:ascii="Times New Roman" w:hAnsi="Times New Roman" w:cs="Times New Roman"/>
        </w:rPr>
      </w:pPr>
      <w:bookmarkStart w:id="0" w:name="_GoBack"/>
      <w:bookmarkEnd w:id="0"/>
    </w:p>
    <w:p w:rsidR="00BC076D" w:rsidRDefault="00BC076D">
      <w:pPr>
        <w:rPr>
          <w:rFonts w:ascii="Times New Roman" w:hAnsi="Times New Roman" w:cs="Times New Roman"/>
        </w:rPr>
        <w:sectPr w:rsidR="00BC076D" w:rsidSect="00BC076D"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:rsidR="005C00A2" w:rsidRDefault="005C00A2">
      <w:pPr>
        <w:rPr>
          <w:rFonts w:ascii="Times New Roman" w:hAnsi="Times New Roman" w:cs="Times New Roman"/>
        </w:rPr>
      </w:pPr>
      <w:r w:rsidRPr="00EF52E9">
        <w:rPr>
          <w:rFonts w:ascii="Times New Roman" w:hAnsi="Times New Roman" w:cs="Times New Roman" w:hint="eastAsia"/>
          <w:b/>
        </w:rPr>
        <w:t>Sup</w:t>
      </w:r>
      <w:r w:rsidR="0009258C" w:rsidRPr="00EF52E9">
        <w:rPr>
          <w:rFonts w:ascii="Times New Roman" w:hAnsi="Times New Roman" w:cs="Times New Roman"/>
          <w:b/>
        </w:rPr>
        <w:t xml:space="preserve">plementary </w:t>
      </w:r>
      <w:r w:rsidR="001B7FBB">
        <w:rPr>
          <w:rFonts w:ascii="Times New Roman" w:hAnsi="Times New Roman" w:cs="Times New Roman"/>
          <w:b/>
        </w:rPr>
        <w:t>figure</w:t>
      </w:r>
      <w:r w:rsidR="0009258C" w:rsidRPr="00EF52E9">
        <w:rPr>
          <w:rFonts w:ascii="Times New Roman" w:hAnsi="Times New Roman" w:cs="Times New Roman"/>
          <w:b/>
        </w:rPr>
        <w:t xml:space="preserve"> </w:t>
      </w:r>
      <w:r w:rsidR="001B7FBB">
        <w:rPr>
          <w:rFonts w:ascii="Times New Roman" w:hAnsi="Times New Roman" w:cs="Times New Roman"/>
          <w:b/>
        </w:rPr>
        <w:t>S3</w:t>
      </w:r>
      <w:r w:rsidRPr="00EF52E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Kaplan-Meier curve indicating PCP occurrence between the two groups until the steroid dose was tapered by (A) 30mg/day of prednisone and (B) 15mg/day of prednisone. </w:t>
      </w:r>
      <w:r w:rsidRPr="005C00A2">
        <w:rPr>
          <w:rFonts w:ascii="Times New Roman" w:hAnsi="Times New Roman" w:cs="Times New Roman"/>
        </w:rPr>
        <w:t>If a patient stopped TMP-SMX at higher-dose of steroid than above, observation was stopped at the last day of prophylaxis.</w:t>
      </w:r>
      <w:r>
        <w:rPr>
          <w:rFonts w:ascii="Times New Roman" w:hAnsi="Times New Roman" w:cs="Times New Roman"/>
        </w:rPr>
        <w:t xml:space="preserve"> Both sensitivity analyses, TMP-SMX significantly reduced the PCP occurrence. </w:t>
      </w:r>
    </w:p>
    <w:p w:rsidR="005C00A2" w:rsidRDefault="00EF52E9">
      <w:pPr>
        <w:rPr>
          <w:rFonts w:ascii="Times New Roman" w:hAnsi="Times New Roman" w:cs="Times New Roman"/>
        </w:rPr>
      </w:pPr>
      <w:r w:rsidRPr="00EF52E9">
        <w:rPr>
          <w:rFonts w:ascii="Times New Roman" w:hAnsi="Times New Roman" w:cs="Times New Roman"/>
          <w:noProof/>
        </w:rPr>
        <w:drawing>
          <wp:inline distT="0" distB="0" distL="0" distR="0">
            <wp:extent cx="4769162" cy="3465195"/>
            <wp:effectExtent l="0" t="0" r="0" b="190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414" cy="34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A2" w:rsidRDefault="005C00A2">
      <w:pPr>
        <w:rPr>
          <w:rFonts w:ascii="Times New Roman" w:hAnsi="Times New Roman" w:cs="Times New Roman"/>
        </w:rPr>
      </w:pPr>
    </w:p>
    <w:p w:rsidR="005C00A2" w:rsidRDefault="00EF52E9">
      <w:pPr>
        <w:rPr>
          <w:rFonts w:ascii="Times New Roman" w:hAnsi="Times New Roman" w:cs="Times New Roman"/>
        </w:rPr>
      </w:pPr>
      <w:r w:rsidRPr="00EF52E9">
        <w:rPr>
          <w:rFonts w:ascii="Times New Roman" w:hAnsi="Times New Roman" w:cs="Times New Roman"/>
          <w:noProof/>
        </w:rPr>
        <w:drawing>
          <wp:inline distT="0" distB="0" distL="0" distR="0">
            <wp:extent cx="4752998" cy="3510915"/>
            <wp:effectExtent l="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836" cy="352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0A2" w:rsidRDefault="005C00A2">
      <w:pPr>
        <w:rPr>
          <w:rFonts w:ascii="Times New Roman" w:hAnsi="Times New Roman" w:cs="Times New Roman"/>
        </w:rPr>
      </w:pPr>
    </w:p>
    <w:p w:rsidR="00482780" w:rsidRDefault="00482780">
      <w:pPr>
        <w:rPr>
          <w:rFonts w:ascii="Times New Roman" w:hAnsi="Times New Roman" w:cs="Times New Roman"/>
        </w:rPr>
      </w:pPr>
    </w:p>
    <w:p w:rsidR="00FB56D4" w:rsidRDefault="00FB56D4" w:rsidP="00FB56D4">
      <w:pPr>
        <w:rPr>
          <w:rFonts w:ascii="Times New Roman" w:hAnsi="Times New Roman" w:cs="Times New Roman"/>
        </w:rPr>
      </w:pPr>
      <w:r w:rsidRPr="004E5B43">
        <w:rPr>
          <w:rFonts w:ascii="Times New Roman" w:hAnsi="Times New Roman" w:cs="Times New Roman" w:hint="eastAsia"/>
          <w:b/>
        </w:rPr>
        <w:t>Supp</w:t>
      </w:r>
      <w:r w:rsidR="001B7FBB">
        <w:rPr>
          <w:rFonts w:ascii="Times New Roman" w:hAnsi="Times New Roman" w:cs="Times New Roman"/>
          <w:b/>
        </w:rPr>
        <w:t>lementary figure</w:t>
      </w:r>
      <w:r w:rsidRPr="004E5B43">
        <w:rPr>
          <w:rFonts w:ascii="Times New Roman" w:hAnsi="Times New Roman" w:cs="Times New Roman"/>
          <w:b/>
        </w:rPr>
        <w:t xml:space="preserve"> </w:t>
      </w:r>
      <w:r w:rsidR="001B7FBB">
        <w:rPr>
          <w:rFonts w:ascii="Times New Roman" w:hAnsi="Times New Roman" w:cs="Times New Roman"/>
          <w:b/>
        </w:rPr>
        <w:t>S4</w:t>
      </w:r>
      <w:r w:rsidRPr="004E5B4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Kaplan-Meier curve indicating PCP occurrence between two groups using observation period of (A) 6-month and (B) 3-month. This resulted in significant increase in the proportion of time that TMP-SMX was administered as compared with that in the original analysis (0.50 [0.33] in 1-year, 0.70[0.32] in 6-month and 0.86 [0.25] in 3-month p&lt;0.001 using one-way ANOVA). However, the efficacy of prophylactic TMP-SMX was not changed. </w:t>
      </w:r>
    </w:p>
    <w:p w:rsidR="00C31230" w:rsidRDefault="00C31230" w:rsidP="00FB56D4">
      <w:pPr>
        <w:rPr>
          <w:rFonts w:ascii="Times New Roman" w:hAnsi="Times New Roman" w:cs="Times New Roman"/>
        </w:rPr>
      </w:pPr>
    </w:p>
    <w:p w:rsidR="00FB56D4" w:rsidRPr="00FB56D4" w:rsidRDefault="00FB56D4">
      <w:pPr>
        <w:rPr>
          <w:rFonts w:ascii="Times New Roman" w:hAnsi="Times New Roman" w:cs="Times New Roman"/>
        </w:rPr>
      </w:pPr>
      <w:r w:rsidRPr="00851F5A">
        <w:rPr>
          <w:rFonts w:ascii="Times New Roman" w:hAnsi="Times New Roman" w:cs="Times New Roman"/>
          <w:noProof/>
        </w:rPr>
        <w:drawing>
          <wp:inline distT="0" distB="0" distL="0" distR="0" wp14:anchorId="0E611D5D" wp14:editId="3EB03AF2">
            <wp:extent cx="4917412" cy="34560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12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F14" w:rsidRDefault="00225F14">
      <w:pPr>
        <w:rPr>
          <w:rFonts w:ascii="Times New Roman" w:hAnsi="Times New Roman" w:cs="Times New Roman"/>
        </w:rPr>
      </w:pPr>
    </w:p>
    <w:p w:rsidR="00B77DEE" w:rsidRPr="00533A0F" w:rsidRDefault="00FB56D4" w:rsidP="00890237">
      <w:pPr>
        <w:rPr>
          <w:rFonts w:ascii="Times New Roman" w:hAnsi="Times New Roman" w:cs="Times New Roman"/>
        </w:rPr>
      </w:pPr>
      <w:r w:rsidRPr="00851F5A">
        <w:rPr>
          <w:rFonts w:ascii="Times New Roman" w:hAnsi="Times New Roman" w:cs="Times New Roman"/>
          <w:noProof/>
        </w:rPr>
        <w:drawing>
          <wp:inline distT="0" distB="0" distL="0" distR="0">
            <wp:extent cx="4898794" cy="345440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268" cy="345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DEE" w:rsidRPr="00533A0F" w:rsidSect="008902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00" w:rsidRDefault="004F3000" w:rsidP="005C00A2">
      <w:pPr>
        <w:spacing w:after="0" w:line="240" w:lineRule="auto"/>
      </w:pPr>
      <w:r>
        <w:separator/>
      </w:r>
    </w:p>
  </w:endnote>
  <w:endnote w:type="continuationSeparator" w:id="0">
    <w:p w:rsidR="004F3000" w:rsidRDefault="004F3000" w:rsidP="005C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00" w:rsidRDefault="004F3000" w:rsidP="005C00A2">
      <w:pPr>
        <w:spacing w:after="0" w:line="240" w:lineRule="auto"/>
      </w:pPr>
      <w:r>
        <w:separator/>
      </w:r>
    </w:p>
  </w:footnote>
  <w:footnote w:type="continuationSeparator" w:id="0">
    <w:p w:rsidR="004F3000" w:rsidRDefault="004F3000" w:rsidP="005C0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99"/>
    <w:rsid w:val="00045660"/>
    <w:rsid w:val="0009258C"/>
    <w:rsid w:val="000A39FD"/>
    <w:rsid w:val="000F2952"/>
    <w:rsid w:val="00161B4F"/>
    <w:rsid w:val="001813C8"/>
    <w:rsid w:val="001A0C97"/>
    <w:rsid w:val="001B7FBB"/>
    <w:rsid w:val="001E4879"/>
    <w:rsid w:val="001E6B3C"/>
    <w:rsid w:val="002120D8"/>
    <w:rsid w:val="00225F14"/>
    <w:rsid w:val="002541D7"/>
    <w:rsid w:val="00260CFC"/>
    <w:rsid w:val="002720DD"/>
    <w:rsid w:val="002F0908"/>
    <w:rsid w:val="00373643"/>
    <w:rsid w:val="003B41A6"/>
    <w:rsid w:val="003E1957"/>
    <w:rsid w:val="003E37C1"/>
    <w:rsid w:val="0042348B"/>
    <w:rsid w:val="00432258"/>
    <w:rsid w:val="00465670"/>
    <w:rsid w:val="00482780"/>
    <w:rsid w:val="004D3A1E"/>
    <w:rsid w:val="004D6C2A"/>
    <w:rsid w:val="004E5B43"/>
    <w:rsid w:val="004F3000"/>
    <w:rsid w:val="00533A0F"/>
    <w:rsid w:val="005B58E4"/>
    <w:rsid w:val="005C00A2"/>
    <w:rsid w:val="005C33CF"/>
    <w:rsid w:val="005F6183"/>
    <w:rsid w:val="00622E86"/>
    <w:rsid w:val="00680136"/>
    <w:rsid w:val="00786AD9"/>
    <w:rsid w:val="007B7D4B"/>
    <w:rsid w:val="00802A4A"/>
    <w:rsid w:val="00847FEE"/>
    <w:rsid w:val="00851F5A"/>
    <w:rsid w:val="00890237"/>
    <w:rsid w:val="0089770A"/>
    <w:rsid w:val="008A4ACE"/>
    <w:rsid w:val="008C73C2"/>
    <w:rsid w:val="008E3B67"/>
    <w:rsid w:val="00930559"/>
    <w:rsid w:val="00980255"/>
    <w:rsid w:val="00983CC3"/>
    <w:rsid w:val="009B1580"/>
    <w:rsid w:val="009B7A77"/>
    <w:rsid w:val="009C1BD7"/>
    <w:rsid w:val="00A02095"/>
    <w:rsid w:val="00A65000"/>
    <w:rsid w:val="00AC5934"/>
    <w:rsid w:val="00AE1187"/>
    <w:rsid w:val="00B01443"/>
    <w:rsid w:val="00B25663"/>
    <w:rsid w:val="00B324B6"/>
    <w:rsid w:val="00B33969"/>
    <w:rsid w:val="00B412E7"/>
    <w:rsid w:val="00B77DEE"/>
    <w:rsid w:val="00B86E24"/>
    <w:rsid w:val="00BC076D"/>
    <w:rsid w:val="00C31230"/>
    <w:rsid w:val="00C357D5"/>
    <w:rsid w:val="00C45E10"/>
    <w:rsid w:val="00CA02C5"/>
    <w:rsid w:val="00CA0DAF"/>
    <w:rsid w:val="00CB4ED0"/>
    <w:rsid w:val="00CE700D"/>
    <w:rsid w:val="00CF00FD"/>
    <w:rsid w:val="00DD6520"/>
    <w:rsid w:val="00DE689F"/>
    <w:rsid w:val="00DF7C63"/>
    <w:rsid w:val="00E34809"/>
    <w:rsid w:val="00E64AD5"/>
    <w:rsid w:val="00E874D4"/>
    <w:rsid w:val="00E909F1"/>
    <w:rsid w:val="00EA0997"/>
    <w:rsid w:val="00EB0751"/>
    <w:rsid w:val="00EF52E9"/>
    <w:rsid w:val="00F00E69"/>
    <w:rsid w:val="00F16FC2"/>
    <w:rsid w:val="00F72A99"/>
    <w:rsid w:val="00FA73E3"/>
    <w:rsid w:val="00FB56D4"/>
    <w:rsid w:val="00FE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5BEECD-4436-4E40-98E5-479D2E5A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72A9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C00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C00A2"/>
  </w:style>
  <w:style w:type="paragraph" w:styleId="a6">
    <w:name w:val="footer"/>
    <w:basedOn w:val="a"/>
    <w:link w:val="Char0"/>
    <w:uiPriority w:val="99"/>
    <w:unhideWhenUsed/>
    <w:rsid w:val="005C00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C00A2"/>
  </w:style>
  <w:style w:type="paragraph" w:styleId="a7">
    <w:name w:val="Balloon Text"/>
    <w:basedOn w:val="a"/>
    <w:link w:val="Char1"/>
    <w:uiPriority w:val="99"/>
    <w:semiHidden/>
    <w:unhideWhenUsed/>
    <w:rsid w:val="00622E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22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6EC4-D08B-44C7-A7B9-87C1F414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박준원</dc:creator>
  <cp:lastModifiedBy>박준원</cp:lastModifiedBy>
  <cp:revision>3</cp:revision>
  <dcterms:created xsi:type="dcterms:W3CDTF">2017-09-30T06:22:00Z</dcterms:created>
  <dcterms:modified xsi:type="dcterms:W3CDTF">2017-09-30T06:22:00Z</dcterms:modified>
</cp:coreProperties>
</file>