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5D" w:rsidRPr="00190608" w:rsidRDefault="00E00B5D" w:rsidP="00E00B5D">
      <w:pPr>
        <w:spacing w:after="160" w:line="480" w:lineRule="auto"/>
        <w:rPr>
          <w:rFonts w:cs="Arial"/>
          <w:sz w:val="22"/>
          <w:szCs w:val="22"/>
        </w:rPr>
      </w:pPr>
      <w:r w:rsidRPr="00190608">
        <w:rPr>
          <w:rFonts w:cs="Arial"/>
          <w:b/>
          <w:sz w:val="22"/>
          <w:szCs w:val="22"/>
        </w:rPr>
        <w:t>Section 2</w:t>
      </w:r>
      <w:r w:rsidRPr="00190608">
        <w:rPr>
          <w:rFonts w:cs="Arial"/>
          <w:sz w:val="22"/>
          <w:szCs w:val="22"/>
        </w:rPr>
        <w:t xml:space="preserve">. </w:t>
      </w:r>
      <w:proofErr w:type="spellStart"/>
      <w:r w:rsidRPr="00190608">
        <w:rPr>
          <w:rFonts w:cs="Arial"/>
          <w:sz w:val="22"/>
          <w:szCs w:val="22"/>
        </w:rPr>
        <w:t>Prespecified</w:t>
      </w:r>
      <w:proofErr w:type="spellEnd"/>
      <w:r w:rsidRPr="00190608">
        <w:rPr>
          <w:rFonts w:cs="Arial"/>
          <w:sz w:val="22"/>
          <w:szCs w:val="22"/>
        </w:rPr>
        <w:t xml:space="preserve"> exploratory endpoints included:</w:t>
      </w:r>
      <w:r>
        <w:rPr>
          <w:rFonts w:cs="Arial"/>
          <w:sz w:val="22"/>
          <w:szCs w:val="22"/>
        </w:rPr>
        <w:t xml:space="preserve"> percentage change from baseline</w:t>
      </w:r>
      <w:r w:rsidRPr="0019060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American College of Rheumatology (ACR) core components at week 24; </w:t>
      </w:r>
      <w:r w:rsidRPr="00190608">
        <w:rPr>
          <w:rFonts w:eastAsia="Times New Roman" w:cs="Arial"/>
          <w:sz w:val="22"/>
          <w:szCs w:val="22"/>
        </w:rPr>
        <w:t xml:space="preserve">≥20%, ≥50% or ≥70% improvement in </w:t>
      </w:r>
      <w:r w:rsidRPr="00190608">
        <w:rPr>
          <w:rFonts w:cs="Arial"/>
          <w:sz w:val="22"/>
          <w:szCs w:val="22"/>
        </w:rPr>
        <w:t xml:space="preserve">ACR20/50/70 responses and ACR responses by </w:t>
      </w:r>
      <w:proofErr w:type="spellStart"/>
      <w:r w:rsidRPr="00190608">
        <w:rPr>
          <w:rFonts w:cs="Arial"/>
          <w:sz w:val="22"/>
          <w:szCs w:val="22"/>
        </w:rPr>
        <w:t>TNFi</w:t>
      </w:r>
      <w:proofErr w:type="spellEnd"/>
      <w:r w:rsidRPr="00190608">
        <w:rPr>
          <w:rFonts w:cs="Arial"/>
          <w:sz w:val="22"/>
          <w:szCs w:val="22"/>
        </w:rPr>
        <w:t xml:space="preserve"> exposure at week 44; Health Assessment Questionnaire</w:t>
      </w:r>
      <w:r>
        <w:rPr>
          <w:rFonts w:cs="Arial"/>
          <w:sz w:val="22"/>
          <w:szCs w:val="22"/>
        </w:rPr>
        <w:t>-</w:t>
      </w:r>
      <w:r w:rsidRPr="00190608">
        <w:rPr>
          <w:rFonts w:cs="Arial"/>
          <w:sz w:val="22"/>
          <w:szCs w:val="22"/>
        </w:rPr>
        <w:t>Disability Index (HAQ-DI) response at week 44; changes from baseline in HAQ-DI scores at weeks 24 and 44 and in psoriatic arthritis (</w:t>
      </w:r>
      <w:proofErr w:type="spellStart"/>
      <w:r w:rsidRPr="00190608">
        <w:rPr>
          <w:rFonts w:cs="Arial"/>
          <w:sz w:val="22"/>
          <w:szCs w:val="22"/>
        </w:rPr>
        <w:t>PsA</w:t>
      </w:r>
      <w:proofErr w:type="spellEnd"/>
      <w:r w:rsidRPr="00190608">
        <w:rPr>
          <w:rFonts w:cs="Arial"/>
          <w:sz w:val="22"/>
          <w:szCs w:val="22"/>
        </w:rPr>
        <w:t xml:space="preserve">)-modified total Sharp–van der </w:t>
      </w:r>
      <w:proofErr w:type="spellStart"/>
      <w:r w:rsidRPr="00190608">
        <w:rPr>
          <w:rFonts w:cs="Arial"/>
          <w:sz w:val="22"/>
          <w:szCs w:val="22"/>
        </w:rPr>
        <w:t>Heijde</w:t>
      </w:r>
      <w:proofErr w:type="spellEnd"/>
      <w:r w:rsidRPr="00190608">
        <w:rPr>
          <w:rFonts w:cs="Arial"/>
          <w:sz w:val="22"/>
          <w:szCs w:val="22"/>
        </w:rPr>
        <w:t xml:space="preserve"> (SHS) score at weeks 24 and 52 (total population); </w:t>
      </w:r>
      <w:r w:rsidRPr="00190608">
        <w:rPr>
          <w:rFonts w:cs="Arial"/>
          <w:sz w:val="22"/>
          <w:szCs w:val="20"/>
        </w:rPr>
        <w:t xml:space="preserve">Psoriasis Area and Severity Index </w:t>
      </w:r>
      <w:r>
        <w:rPr>
          <w:rFonts w:cs="Arial"/>
          <w:sz w:val="22"/>
          <w:szCs w:val="20"/>
        </w:rPr>
        <w:t>(</w:t>
      </w:r>
      <w:r w:rsidRPr="00190608">
        <w:rPr>
          <w:rFonts w:cs="Arial"/>
          <w:sz w:val="22"/>
          <w:szCs w:val="22"/>
        </w:rPr>
        <w:t>PASI</w:t>
      </w:r>
      <w:r>
        <w:rPr>
          <w:rFonts w:cs="Arial"/>
          <w:sz w:val="22"/>
          <w:szCs w:val="22"/>
        </w:rPr>
        <w:t>)</w:t>
      </w:r>
      <w:r w:rsidRPr="00190608">
        <w:rPr>
          <w:rFonts w:cs="Arial"/>
          <w:sz w:val="22"/>
          <w:szCs w:val="22"/>
        </w:rPr>
        <w:t xml:space="preserve"> 50 (≥50% improvement from baseline response) at week 44, PASI 75 (≥75% improvement from baseline response) at weeks 24 and 44, and PASI 50/75 responses by </w:t>
      </w:r>
      <w:proofErr w:type="spellStart"/>
      <w:r w:rsidRPr="00190608">
        <w:rPr>
          <w:rFonts w:cs="Arial"/>
          <w:sz w:val="22"/>
          <w:szCs w:val="22"/>
        </w:rPr>
        <w:t>TNFi</w:t>
      </w:r>
      <w:proofErr w:type="spellEnd"/>
      <w:r w:rsidRPr="00190608">
        <w:rPr>
          <w:rFonts w:cs="Arial"/>
          <w:sz w:val="22"/>
          <w:szCs w:val="22"/>
        </w:rPr>
        <w:t xml:space="preserve"> exposure; complete resolution of </w:t>
      </w:r>
      <w:proofErr w:type="spellStart"/>
      <w:r w:rsidRPr="00190608">
        <w:rPr>
          <w:rFonts w:cs="Arial"/>
          <w:sz w:val="22"/>
          <w:szCs w:val="22"/>
        </w:rPr>
        <w:t>enthesitis</w:t>
      </w:r>
      <w:proofErr w:type="spellEnd"/>
      <w:r w:rsidRPr="00190608">
        <w:rPr>
          <w:rFonts w:cs="Arial"/>
          <w:sz w:val="22"/>
          <w:szCs w:val="22"/>
        </w:rPr>
        <w:t xml:space="preserve"> and </w:t>
      </w:r>
      <w:proofErr w:type="spellStart"/>
      <w:r w:rsidRPr="00190608">
        <w:rPr>
          <w:rFonts w:cs="Arial"/>
          <w:sz w:val="22"/>
          <w:szCs w:val="22"/>
        </w:rPr>
        <w:t>dactylitis</w:t>
      </w:r>
      <w:proofErr w:type="spellEnd"/>
      <w:r w:rsidRPr="00190608">
        <w:rPr>
          <w:rFonts w:cs="Arial"/>
          <w:sz w:val="22"/>
          <w:szCs w:val="22"/>
        </w:rPr>
        <w:t xml:space="preserve"> at weeks 24 and 52</w:t>
      </w:r>
      <w:r>
        <w:rPr>
          <w:rFonts w:cs="Arial"/>
          <w:sz w:val="22"/>
          <w:szCs w:val="22"/>
        </w:rPr>
        <w:t>; minimal disease activity (MDA), modified Composite Psoriatic Disease Activity Index (CPDAI), and Psoriatic Arthritis Disease Activity Score (PASDAS) at weeks 24 and 52; mean change from baseline in Short-Form-36 mental and physical component summary scores at week 52; and mean change from baseline in Dermatology Life Quality Index (DLQI) at weeks 24 and 52</w:t>
      </w:r>
      <w:r w:rsidRPr="00190608">
        <w:rPr>
          <w:rFonts w:cs="Arial"/>
          <w:sz w:val="22"/>
          <w:szCs w:val="22"/>
        </w:rPr>
        <w:t xml:space="preserve">. </w:t>
      </w:r>
      <w:r w:rsidRPr="00DC0AD1">
        <w:rPr>
          <w:rFonts w:cs="Arial"/>
          <w:sz w:val="22"/>
          <w:szCs w:val="22"/>
        </w:rPr>
        <w:t>Post</w:t>
      </w:r>
      <w:r>
        <w:rPr>
          <w:rFonts w:cs="Arial"/>
          <w:sz w:val="22"/>
          <w:szCs w:val="22"/>
        </w:rPr>
        <w:t xml:space="preserve"> </w:t>
      </w:r>
      <w:r w:rsidRPr="00DC0AD1">
        <w:rPr>
          <w:rFonts w:cs="Arial"/>
          <w:sz w:val="22"/>
          <w:szCs w:val="22"/>
        </w:rPr>
        <w:t>hoc</w:t>
      </w:r>
      <w:r w:rsidRPr="00190608">
        <w:rPr>
          <w:rFonts w:cs="Arial"/>
          <w:sz w:val="22"/>
          <w:szCs w:val="22"/>
        </w:rPr>
        <w:t xml:space="preserve"> analyses were performed to describe mean changes from baseline in Disease Activity Score 28 </w:t>
      </w:r>
      <w:r>
        <w:rPr>
          <w:rFonts w:cs="Arial"/>
          <w:sz w:val="22"/>
          <w:szCs w:val="22"/>
        </w:rPr>
        <w:t>(</w:t>
      </w:r>
      <w:r w:rsidRPr="00190608">
        <w:rPr>
          <w:rFonts w:cs="Arial"/>
          <w:sz w:val="22"/>
          <w:szCs w:val="22"/>
        </w:rPr>
        <w:t>C</w:t>
      </w:r>
      <w:r>
        <w:rPr>
          <w:rFonts w:cs="Arial"/>
          <w:sz w:val="22"/>
          <w:szCs w:val="22"/>
        </w:rPr>
        <w:t>-</w:t>
      </w:r>
      <w:r w:rsidRPr="00190608">
        <w:rPr>
          <w:rFonts w:cs="Arial"/>
          <w:sz w:val="22"/>
          <w:szCs w:val="22"/>
        </w:rPr>
        <w:t xml:space="preserve">reactive protein </w:t>
      </w:r>
      <w:r>
        <w:rPr>
          <w:rFonts w:cs="Arial"/>
          <w:sz w:val="22"/>
          <w:szCs w:val="22"/>
        </w:rPr>
        <w:t>[</w:t>
      </w:r>
      <w:r w:rsidRPr="00190608">
        <w:rPr>
          <w:rFonts w:cs="Arial"/>
          <w:sz w:val="22"/>
          <w:szCs w:val="22"/>
        </w:rPr>
        <w:t>CRP</w:t>
      </w:r>
      <w:r>
        <w:rPr>
          <w:rFonts w:cs="Arial"/>
          <w:sz w:val="22"/>
          <w:szCs w:val="22"/>
        </w:rPr>
        <w:t>]</w:t>
      </w:r>
      <w:r w:rsidRPr="00190608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 xml:space="preserve">and Disease Activity index for </w:t>
      </w:r>
      <w:proofErr w:type="spellStart"/>
      <w:r>
        <w:rPr>
          <w:rFonts w:cs="Arial"/>
          <w:sz w:val="22"/>
          <w:szCs w:val="22"/>
        </w:rPr>
        <w:t>PSoriatic</w:t>
      </w:r>
      <w:proofErr w:type="spellEnd"/>
      <w:r>
        <w:rPr>
          <w:rFonts w:cs="Arial"/>
          <w:sz w:val="22"/>
          <w:szCs w:val="22"/>
        </w:rPr>
        <w:t xml:space="preserve"> Arthritis (DAPSA) </w:t>
      </w:r>
      <w:r w:rsidRPr="00190608">
        <w:rPr>
          <w:rFonts w:cs="Arial"/>
          <w:sz w:val="22"/>
          <w:szCs w:val="22"/>
        </w:rPr>
        <w:t>at week</w:t>
      </w:r>
      <w:r>
        <w:rPr>
          <w:rFonts w:cs="Arial"/>
          <w:sz w:val="22"/>
          <w:szCs w:val="22"/>
        </w:rPr>
        <w:t>s</w:t>
      </w:r>
      <w:r w:rsidRPr="00190608">
        <w:rPr>
          <w:rFonts w:cs="Arial"/>
          <w:sz w:val="22"/>
          <w:szCs w:val="22"/>
        </w:rPr>
        <w:t xml:space="preserve"> 24 and 44, ACR20 responses at week 24 in patients with elevated CRP (&gt;upper limit of normal) at baseline and mean changes from baseline in HAQ-DI scores at week 24 in </w:t>
      </w:r>
      <w:proofErr w:type="spellStart"/>
      <w:r w:rsidRPr="00190608">
        <w:rPr>
          <w:rFonts w:cs="Arial"/>
          <w:sz w:val="22"/>
          <w:szCs w:val="22"/>
        </w:rPr>
        <w:t>TNFi</w:t>
      </w:r>
      <w:proofErr w:type="spellEnd"/>
      <w:r w:rsidRPr="00190608">
        <w:rPr>
          <w:rFonts w:cs="Arial"/>
          <w:sz w:val="22"/>
          <w:szCs w:val="22"/>
        </w:rPr>
        <w:t xml:space="preserve">-naïve and </w:t>
      </w:r>
      <w:proofErr w:type="spellStart"/>
      <w:r w:rsidRPr="00190608">
        <w:rPr>
          <w:rFonts w:cs="Arial"/>
          <w:sz w:val="22"/>
          <w:szCs w:val="22"/>
        </w:rPr>
        <w:t>TNFi</w:t>
      </w:r>
      <w:proofErr w:type="spellEnd"/>
      <w:r w:rsidRPr="00190608">
        <w:rPr>
          <w:rFonts w:cs="Arial"/>
          <w:sz w:val="22"/>
          <w:szCs w:val="22"/>
        </w:rPr>
        <w:t>-exposed subgroups.</w:t>
      </w:r>
    </w:p>
    <w:p w:rsidR="00CE3903" w:rsidRDefault="00CE3903">
      <w:bookmarkStart w:id="0" w:name="_GoBack"/>
      <w:bookmarkEnd w:id="0"/>
    </w:p>
    <w:sectPr w:rsidR="00CE3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5D"/>
    <w:rsid w:val="004B745B"/>
    <w:rsid w:val="00B31688"/>
    <w:rsid w:val="00CE3903"/>
    <w:rsid w:val="00CF2A87"/>
    <w:rsid w:val="00E00B5D"/>
    <w:rsid w:val="00FA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F57E4-3F2B-43B4-834E-F6687C56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B5D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Jasmin (OXF-CDX)</dc:creator>
  <cp:keywords/>
  <dc:description/>
  <cp:lastModifiedBy>Schulz, Jasmin (OXF-CDX)</cp:lastModifiedBy>
  <cp:revision>1</cp:revision>
  <dcterms:created xsi:type="dcterms:W3CDTF">2017-03-16T10:53:00Z</dcterms:created>
  <dcterms:modified xsi:type="dcterms:W3CDTF">2017-03-16T10:54:00Z</dcterms:modified>
</cp:coreProperties>
</file>